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2D41F" w14:textId="77777777" w:rsidR="00436E4E" w:rsidRDefault="00436E4E">
      <w:pPr>
        <w:pStyle w:val="a6"/>
        <w:rPr>
          <w:rtl/>
        </w:rPr>
      </w:pPr>
    </w:p>
    <w:p w14:paraId="07406FEC" w14:textId="77777777" w:rsidR="00436E4E" w:rsidRDefault="00436E4E">
      <w:pPr>
        <w:pStyle w:val="a6"/>
        <w:rPr>
          <w:rtl/>
        </w:rPr>
      </w:pPr>
      <w:r>
        <w:rPr>
          <w:rtl/>
        </w:rPr>
        <w:t>מדינת ישראל</w:t>
      </w:r>
    </w:p>
    <w:p w14:paraId="4E126F39" w14:textId="77777777" w:rsidR="00436E4E" w:rsidRDefault="00436E4E">
      <w:pPr>
        <w:pStyle w:val="a6"/>
        <w:rPr>
          <w:szCs w:val="24"/>
          <w:rtl/>
        </w:rPr>
      </w:pPr>
      <w:r>
        <w:rPr>
          <w:rtl/>
        </w:rPr>
        <w:t>האוצר - אגף התקציבים</w:t>
      </w:r>
    </w:p>
    <w:p w14:paraId="3441CA47" w14:textId="77777777" w:rsidR="00436E4E" w:rsidRDefault="00436E4E">
      <w:pPr>
        <w:rPr>
          <w:rtl/>
        </w:rPr>
      </w:pPr>
    </w:p>
    <w:p w14:paraId="5AF9E733" w14:textId="77777777" w:rsidR="00436E4E" w:rsidRDefault="00436E4E">
      <w:pPr>
        <w:rPr>
          <w:rtl/>
        </w:rPr>
      </w:pPr>
    </w:p>
    <w:p w14:paraId="40276E76" w14:textId="151CDBA4" w:rsidR="00436E4E" w:rsidRDefault="00436E4E">
      <w:pPr>
        <w:tabs>
          <w:tab w:val="left" w:pos="6300"/>
        </w:tabs>
        <w:rPr>
          <w:rtl/>
        </w:rPr>
      </w:pPr>
      <w:r>
        <w:rPr>
          <w:rtl/>
        </w:rPr>
        <w:tab/>
      </w:r>
      <w:bookmarkStart w:id="0" w:name="TAKZIV8"/>
      <w:r w:rsidR="00FA49EB">
        <w:rPr>
          <w:rtl/>
        </w:rPr>
        <w:t>תקציב רגיל</w:t>
      </w:r>
      <w:bookmarkEnd w:id="0"/>
    </w:p>
    <w:p w14:paraId="43C58407" w14:textId="77777777" w:rsidR="00436E4E" w:rsidRDefault="00436E4E">
      <w:pPr>
        <w:tabs>
          <w:tab w:val="left" w:pos="6300"/>
        </w:tabs>
        <w:rPr>
          <w:rtl/>
        </w:rPr>
      </w:pPr>
      <w:r>
        <w:rPr>
          <w:rtl/>
        </w:rPr>
        <w:tab/>
      </w:r>
    </w:p>
    <w:p w14:paraId="0B66CE3F" w14:textId="77777777" w:rsidR="00436E4E" w:rsidRPr="002E1D22" w:rsidRDefault="00436E4E" w:rsidP="002E1D22">
      <w:pPr>
        <w:rPr>
          <w:rFonts w:cs="FrankRuehl"/>
          <w:sz w:val="26"/>
          <w:szCs w:val="26"/>
          <w:rtl/>
        </w:rPr>
      </w:pPr>
      <w:r>
        <w:rPr>
          <w:rtl/>
        </w:rPr>
        <w:tab/>
      </w:r>
      <w:r w:rsidR="002E1D22">
        <w:rPr>
          <w:rtl/>
        </w:rPr>
        <w:tab/>
      </w:r>
      <w:r w:rsidR="002E1D22">
        <w:rPr>
          <w:rtl/>
        </w:rPr>
        <w:tab/>
      </w:r>
      <w:r w:rsidR="002E1D22">
        <w:rPr>
          <w:rtl/>
        </w:rPr>
        <w:tab/>
      </w:r>
      <w:r w:rsidR="002E1D22">
        <w:rPr>
          <w:rtl/>
        </w:rPr>
        <w:tab/>
      </w:r>
      <w:r w:rsidR="002E1D22">
        <w:rPr>
          <w:rtl/>
        </w:rPr>
        <w:tab/>
      </w:r>
      <w:r w:rsidR="002E1D22">
        <w:rPr>
          <w:rtl/>
        </w:rPr>
        <w:tab/>
      </w:r>
      <w:r w:rsidR="002E1D22">
        <w:rPr>
          <w:rtl/>
        </w:rPr>
        <w:tab/>
      </w:r>
      <w:r w:rsidRPr="002E1D22">
        <w:rPr>
          <w:rFonts w:cs="FrankRuehl"/>
          <w:sz w:val="26"/>
          <w:szCs w:val="26"/>
          <w:rtl/>
        </w:rPr>
        <w:t xml:space="preserve">ירושלים, </w:t>
      </w:r>
      <w:bookmarkStart w:id="1" w:name="TAKZIV9"/>
      <w:bookmarkEnd w:id="1"/>
    </w:p>
    <w:p w14:paraId="0203083A" w14:textId="218F77A2" w:rsidR="00436E4E" w:rsidRDefault="00436E4E" w:rsidP="002E1D22">
      <w:pPr>
        <w:tabs>
          <w:tab w:val="left" w:pos="5755"/>
        </w:tabs>
        <w:rPr>
          <w:rFonts w:cs="FrankRuehl"/>
          <w:sz w:val="26"/>
          <w:szCs w:val="26"/>
          <w:rtl/>
        </w:rPr>
      </w:pPr>
      <w:r w:rsidRPr="002E1D22">
        <w:rPr>
          <w:rFonts w:cs="FrankRuehl"/>
          <w:sz w:val="26"/>
          <w:szCs w:val="26"/>
          <w:rtl/>
        </w:rPr>
        <w:tab/>
        <w:t xml:space="preserve">בקשה מספר </w:t>
      </w:r>
      <w:bookmarkStart w:id="2" w:name="TAKZIV4"/>
      <w:r w:rsidR="00FA49EB">
        <w:rPr>
          <w:rFonts w:cs="FrankRuehl"/>
          <w:sz w:val="26"/>
          <w:szCs w:val="26"/>
          <w:rtl/>
        </w:rPr>
        <w:t>237</w:t>
      </w:r>
      <w:bookmarkEnd w:id="2"/>
      <w:r w:rsidRPr="002E1D22">
        <w:rPr>
          <w:rFonts w:cs="FrankRuehl"/>
          <w:sz w:val="26"/>
          <w:szCs w:val="26"/>
          <w:rtl/>
        </w:rPr>
        <w:t xml:space="preserve"> </w:t>
      </w:r>
      <w:r w:rsidR="00EE3C91">
        <w:rPr>
          <w:rFonts w:cs="FrankRuehl"/>
          <w:sz w:val="26"/>
          <w:szCs w:val="26"/>
          <w:rtl/>
        </w:rPr>
        <w:t>–</w:t>
      </w:r>
      <w:r w:rsidRPr="002E1D22">
        <w:rPr>
          <w:rFonts w:cs="FrankRuehl"/>
          <w:sz w:val="26"/>
          <w:szCs w:val="26"/>
          <w:rtl/>
        </w:rPr>
        <w:t xml:space="preserve"> </w:t>
      </w:r>
      <w:bookmarkStart w:id="3" w:name="TAKZIV3"/>
      <w:r w:rsidR="00FA49EB">
        <w:rPr>
          <w:rFonts w:cs="FrankRuehl"/>
          <w:sz w:val="26"/>
          <w:szCs w:val="26"/>
          <w:rtl/>
        </w:rPr>
        <w:t>54</w:t>
      </w:r>
      <w:bookmarkEnd w:id="3"/>
      <w:r w:rsidR="00EE3C91">
        <w:rPr>
          <w:rFonts w:cs="FrankRuehl" w:hint="cs"/>
          <w:sz w:val="26"/>
          <w:szCs w:val="26"/>
          <w:rtl/>
        </w:rPr>
        <w:t>,</w:t>
      </w:r>
    </w:p>
    <w:p w14:paraId="17ED48A9" w14:textId="47A6BF75" w:rsidR="00EE3C91" w:rsidRPr="002E1D22" w:rsidRDefault="00EE3C91" w:rsidP="002E1D22">
      <w:pPr>
        <w:tabs>
          <w:tab w:val="left" w:pos="5755"/>
        </w:tabs>
        <w:rPr>
          <w:rFonts w:cs="FrankRuehl"/>
          <w:sz w:val="26"/>
          <w:szCs w:val="26"/>
          <w:rtl/>
        </w:rPr>
      </w:pPr>
      <w:r>
        <w:rPr>
          <w:rFonts w:cs="FrankRuehl"/>
          <w:sz w:val="26"/>
          <w:szCs w:val="26"/>
          <w:rtl/>
        </w:rPr>
        <w:tab/>
      </w:r>
      <w:r>
        <w:rPr>
          <w:rFonts w:cs="FrankRuehl" w:hint="cs"/>
          <w:sz w:val="26"/>
          <w:szCs w:val="26"/>
          <w:rtl/>
        </w:rPr>
        <w:t>38-211</w:t>
      </w:r>
    </w:p>
    <w:p w14:paraId="55C11116" w14:textId="77F73508" w:rsidR="00EE3C91" w:rsidRDefault="00436E4E" w:rsidP="002E1D22">
      <w:pPr>
        <w:rPr>
          <w:rFonts w:cs="FrankRuehl"/>
          <w:sz w:val="26"/>
          <w:szCs w:val="26"/>
          <w:rtl/>
        </w:rPr>
      </w:pPr>
      <w:r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Pr="002E1D22">
        <w:rPr>
          <w:rFonts w:cs="FrankRuehl"/>
          <w:sz w:val="26"/>
          <w:szCs w:val="26"/>
          <w:rtl/>
        </w:rPr>
        <w:t xml:space="preserve">מספר פניה </w:t>
      </w:r>
      <w:r w:rsidR="00EE3C91" w:rsidRPr="002E1D22">
        <w:rPr>
          <w:rFonts w:cs="FrankRuehl" w:hint="cs"/>
          <w:sz w:val="26"/>
          <w:szCs w:val="26"/>
          <w:rtl/>
        </w:rPr>
        <w:t>לוועד</w:t>
      </w:r>
      <w:r w:rsidR="00EE3C91" w:rsidRPr="002E1D22">
        <w:rPr>
          <w:rFonts w:cs="FrankRuehl" w:hint="eastAsia"/>
          <w:sz w:val="26"/>
          <w:szCs w:val="26"/>
          <w:rtl/>
        </w:rPr>
        <w:t>ה</w:t>
      </w:r>
      <w:r w:rsidRPr="002E1D22">
        <w:rPr>
          <w:rFonts w:cs="FrankRuehl"/>
          <w:sz w:val="26"/>
          <w:szCs w:val="26"/>
          <w:rtl/>
        </w:rPr>
        <w:t>:</w:t>
      </w:r>
    </w:p>
    <w:p w14:paraId="495F5B88" w14:textId="0EE6E658" w:rsidR="00436E4E" w:rsidRDefault="00EE3C91" w:rsidP="00EE3C91">
      <w:pPr>
        <w:ind w:left="5040" w:firstLine="720"/>
        <w:rPr>
          <w:rFonts w:cs="FrankRuehl"/>
          <w:sz w:val="26"/>
          <w:szCs w:val="26"/>
          <w:rtl/>
        </w:rPr>
      </w:pPr>
      <w:r>
        <w:rPr>
          <w:rFonts w:cs="FrankRuehl" w:hint="cs"/>
          <w:sz w:val="26"/>
          <w:szCs w:val="26"/>
          <w:rtl/>
        </w:rPr>
        <w:t>184 עד</w:t>
      </w:r>
      <w:r w:rsidR="00436E4E" w:rsidRPr="002E1D22">
        <w:rPr>
          <w:rFonts w:cs="FrankRuehl"/>
          <w:sz w:val="26"/>
          <w:szCs w:val="26"/>
          <w:rtl/>
        </w:rPr>
        <w:t xml:space="preserve"> </w:t>
      </w:r>
      <w:bookmarkStart w:id="4" w:name="TAKZIV11"/>
      <w:r w:rsidR="00FA49EB">
        <w:rPr>
          <w:rFonts w:cs="FrankRuehl"/>
          <w:sz w:val="26"/>
          <w:szCs w:val="26"/>
          <w:rtl/>
        </w:rPr>
        <w:t>185</w:t>
      </w:r>
      <w:bookmarkEnd w:id="4"/>
      <w:r w:rsidR="00436E4E" w:rsidRPr="002E1D22">
        <w:rPr>
          <w:rFonts w:cs="FrankRuehl"/>
          <w:sz w:val="26"/>
          <w:szCs w:val="26"/>
          <w:rtl/>
        </w:rPr>
        <w:tab/>
      </w:r>
    </w:p>
    <w:p w14:paraId="4B1F8659" w14:textId="77777777" w:rsidR="00EE3C91" w:rsidRPr="002E1D22" w:rsidRDefault="00EE3C91" w:rsidP="00EE3C91">
      <w:pPr>
        <w:ind w:left="5040" w:firstLine="720"/>
        <w:rPr>
          <w:rFonts w:cs="FrankRuehl"/>
          <w:sz w:val="26"/>
          <w:szCs w:val="26"/>
          <w:rtl/>
        </w:rPr>
      </w:pPr>
    </w:p>
    <w:p w14:paraId="6A474EAB" w14:textId="77777777" w:rsidR="00436E4E" w:rsidRPr="002E1D22" w:rsidRDefault="00436E4E">
      <w:pPr>
        <w:rPr>
          <w:rFonts w:cs="FrankRuehl"/>
          <w:sz w:val="26"/>
          <w:szCs w:val="26"/>
          <w:rtl/>
        </w:rPr>
      </w:pPr>
      <w:r w:rsidRPr="002E1D22">
        <w:rPr>
          <w:rFonts w:cs="FrankRuehl"/>
          <w:sz w:val="26"/>
          <w:szCs w:val="26"/>
          <w:rtl/>
        </w:rPr>
        <w:t>לכבוד,</w:t>
      </w:r>
    </w:p>
    <w:p w14:paraId="4CA1D3EE" w14:textId="77777777" w:rsidR="00436E4E" w:rsidRPr="002E1D22" w:rsidRDefault="00436E4E">
      <w:pPr>
        <w:rPr>
          <w:rFonts w:cs="FrankRuehl"/>
          <w:sz w:val="26"/>
          <w:szCs w:val="26"/>
          <w:rtl/>
        </w:rPr>
      </w:pPr>
      <w:r w:rsidRPr="002E1D22">
        <w:rPr>
          <w:rFonts w:cs="FrankRuehl"/>
          <w:sz w:val="26"/>
          <w:szCs w:val="26"/>
          <w:rtl/>
        </w:rPr>
        <w:t>יו"ר ועדת הכספים</w:t>
      </w:r>
    </w:p>
    <w:p w14:paraId="774C3B2F" w14:textId="77777777" w:rsidR="00436E4E" w:rsidRPr="002E1D22" w:rsidRDefault="00436E4E">
      <w:pPr>
        <w:rPr>
          <w:rFonts w:cs="FrankRuehl"/>
          <w:sz w:val="26"/>
          <w:szCs w:val="26"/>
          <w:rtl/>
        </w:rPr>
      </w:pPr>
      <w:r w:rsidRPr="002E1D22">
        <w:rPr>
          <w:rFonts w:cs="FrankRuehl"/>
          <w:sz w:val="26"/>
          <w:szCs w:val="26"/>
          <w:rtl/>
        </w:rPr>
        <w:t>של הכנסת</w:t>
      </w:r>
    </w:p>
    <w:p w14:paraId="42875F3A" w14:textId="77777777" w:rsidR="00436E4E" w:rsidRPr="002E1D22" w:rsidRDefault="00436E4E">
      <w:pPr>
        <w:rPr>
          <w:rFonts w:cs="FrankRuehl"/>
          <w:sz w:val="26"/>
          <w:szCs w:val="26"/>
          <w:rtl/>
        </w:rPr>
      </w:pPr>
    </w:p>
    <w:p w14:paraId="5E5D164D" w14:textId="77777777" w:rsidR="00436E4E" w:rsidRPr="002E1D22" w:rsidRDefault="00436E4E">
      <w:pPr>
        <w:rPr>
          <w:rFonts w:cs="FrankRuehl"/>
          <w:sz w:val="26"/>
          <w:szCs w:val="26"/>
          <w:rtl/>
        </w:rPr>
      </w:pPr>
      <w:r w:rsidRPr="002E1D22">
        <w:rPr>
          <w:rFonts w:cs="FrankRuehl"/>
          <w:sz w:val="26"/>
          <w:szCs w:val="26"/>
          <w:rtl/>
        </w:rPr>
        <w:t>א.נ.,</w:t>
      </w:r>
    </w:p>
    <w:p w14:paraId="342D66D5" w14:textId="77777777" w:rsidR="00436E4E" w:rsidRPr="002E1D22" w:rsidRDefault="00436E4E">
      <w:pPr>
        <w:rPr>
          <w:rFonts w:cs="FrankRuehl"/>
          <w:sz w:val="26"/>
          <w:szCs w:val="26"/>
          <w:rtl/>
        </w:rPr>
      </w:pPr>
    </w:p>
    <w:p w14:paraId="4CCED192" w14:textId="77777777" w:rsidR="00436E4E" w:rsidRPr="002E1D22" w:rsidRDefault="00436E4E">
      <w:pPr>
        <w:pStyle w:val="a7"/>
        <w:rPr>
          <w:rFonts w:cs="FrankRuehl"/>
          <w:sz w:val="26"/>
          <w:rtl/>
        </w:rPr>
      </w:pPr>
      <w:r w:rsidRPr="002E1D22">
        <w:rPr>
          <w:rFonts w:cs="FrankRuehl"/>
          <w:bCs w:val="0"/>
          <w:sz w:val="26"/>
          <w:u w:val="none"/>
          <w:rtl/>
        </w:rPr>
        <w:t xml:space="preserve">הנדון: </w:t>
      </w:r>
      <w:r w:rsidRPr="002E1D22">
        <w:rPr>
          <w:rFonts w:cs="FrankRuehl"/>
          <w:bCs w:val="0"/>
          <w:sz w:val="26"/>
          <w:rtl/>
        </w:rPr>
        <w:t>שימוש ברזרבה הכללית לשנת</w:t>
      </w:r>
      <w:r w:rsidRPr="002E1D22">
        <w:rPr>
          <w:rFonts w:cs="FrankRuehl"/>
          <w:sz w:val="26"/>
          <w:rtl/>
        </w:rPr>
        <w:t xml:space="preserve"> </w:t>
      </w:r>
      <w:bookmarkStart w:id="5" w:name="TAKZIV1"/>
      <w:r w:rsidR="00FA49EB">
        <w:rPr>
          <w:rFonts w:cs="FrankRuehl"/>
          <w:sz w:val="26"/>
          <w:rtl/>
        </w:rPr>
        <w:t>2026</w:t>
      </w:r>
      <w:bookmarkEnd w:id="5"/>
      <w:r w:rsidRPr="002E1D22">
        <w:rPr>
          <w:rFonts w:cs="FrankRuehl"/>
          <w:sz w:val="26"/>
          <w:rtl/>
        </w:rPr>
        <w:t xml:space="preserve">     </w:t>
      </w:r>
    </w:p>
    <w:p w14:paraId="354A9FDD" w14:textId="77777777" w:rsidR="00436E4E" w:rsidRPr="002E1D22" w:rsidRDefault="00436E4E" w:rsidP="002E1D22">
      <w:pPr>
        <w:jc w:val="both"/>
        <w:rPr>
          <w:rFonts w:cs="FrankRuehl"/>
          <w:sz w:val="26"/>
          <w:szCs w:val="26"/>
          <w:rtl/>
        </w:rPr>
      </w:pPr>
    </w:p>
    <w:p w14:paraId="0AE3A240" w14:textId="2DA45C9A" w:rsidR="00436E4E" w:rsidRPr="002E1D22" w:rsidRDefault="00436E4E" w:rsidP="00710FD8">
      <w:pPr>
        <w:jc w:val="both"/>
        <w:rPr>
          <w:rFonts w:cs="FrankRuehl"/>
          <w:sz w:val="26"/>
          <w:szCs w:val="26"/>
          <w:rtl/>
        </w:rPr>
      </w:pPr>
      <w:r w:rsidRPr="002E1D22">
        <w:rPr>
          <w:rFonts w:cs="FrankRuehl"/>
          <w:sz w:val="26"/>
          <w:szCs w:val="26"/>
          <w:rtl/>
        </w:rPr>
        <w:t xml:space="preserve">שר האוצר מבקש את אישורה של ועדת הכספים של הכנסת להעברת סכום של </w:t>
      </w:r>
      <w:bookmarkStart w:id="6" w:name="TAKZIV30"/>
      <w:r w:rsidR="00FA49EB">
        <w:rPr>
          <w:rFonts w:cs="FrankRuehl"/>
          <w:sz w:val="26"/>
          <w:szCs w:val="26"/>
          <w:rtl/>
        </w:rPr>
        <w:t>4,837</w:t>
      </w:r>
      <w:bookmarkEnd w:id="6"/>
      <w:r w:rsidRPr="002E1D22">
        <w:rPr>
          <w:rFonts w:cs="FrankRuehl"/>
          <w:sz w:val="26"/>
          <w:szCs w:val="26"/>
          <w:rtl/>
        </w:rPr>
        <w:t xml:space="preserve"> אלפי שקלים חדשים מסעיף</w:t>
      </w:r>
      <w:r w:rsidR="00EE3C91">
        <w:rPr>
          <w:rFonts w:cs="FrankRuehl" w:hint="cs"/>
          <w:sz w:val="26"/>
          <w:szCs w:val="26"/>
          <w:rtl/>
        </w:rPr>
        <w:t xml:space="preserve"> 38 </w:t>
      </w:r>
      <w:r w:rsidR="00EE3C91">
        <w:rPr>
          <w:rFonts w:cs="FrankRuehl"/>
          <w:sz w:val="26"/>
          <w:szCs w:val="26"/>
          <w:rtl/>
        </w:rPr>
        <w:t>–</w:t>
      </w:r>
      <w:r w:rsidR="00EE3C91">
        <w:rPr>
          <w:rFonts w:cs="FrankRuehl" w:hint="cs"/>
          <w:sz w:val="26"/>
          <w:szCs w:val="26"/>
          <w:rtl/>
        </w:rPr>
        <w:t xml:space="preserve"> כלכלה ותעשייה לסעיף</w:t>
      </w:r>
      <w:r w:rsidRPr="002E1D22">
        <w:rPr>
          <w:rFonts w:cs="FrankRuehl"/>
          <w:sz w:val="26"/>
          <w:szCs w:val="26"/>
          <w:rtl/>
        </w:rPr>
        <w:t xml:space="preserve"> 47 - רזרבה כללית, בהתאם לסעיף 11 (ה) 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w:t>
      </w:r>
    </w:p>
    <w:p w14:paraId="59D4373B" w14:textId="77777777" w:rsidR="00436E4E" w:rsidRPr="002E1D22" w:rsidRDefault="00436E4E" w:rsidP="00710FD8">
      <w:pPr>
        <w:jc w:val="both"/>
        <w:rPr>
          <w:rFonts w:cs="FrankRuehl"/>
          <w:sz w:val="26"/>
          <w:szCs w:val="26"/>
          <w:rtl/>
        </w:rPr>
      </w:pPr>
    </w:p>
    <w:p w14:paraId="6B38DFE8" w14:textId="7174406E" w:rsidR="00436E4E" w:rsidRPr="002E1D22" w:rsidRDefault="00436E4E" w:rsidP="00710FD8">
      <w:pPr>
        <w:jc w:val="both"/>
        <w:rPr>
          <w:rFonts w:cs="FrankRuehl"/>
          <w:sz w:val="26"/>
          <w:szCs w:val="26"/>
          <w:rtl/>
        </w:rPr>
      </w:pPr>
      <w:r w:rsidRPr="002E1D22">
        <w:rPr>
          <w:rFonts w:cs="FrankRuehl"/>
          <w:sz w:val="26"/>
          <w:szCs w:val="26"/>
          <w:rtl/>
        </w:rPr>
        <w:t xml:space="preserve">כמו כן, מבקש שר האוצר את אישורה של ועדת הכספים של הכנסת להעברת סכום </w:t>
      </w:r>
      <w:r w:rsidR="00EE3C91" w:rsidRPr="002E1D22">
        <w:rPr>
          <w:rFonts w:cs="FrankRuehl"/>
          <w:sz w:val="26"/>
          <w:szCs w:val="26"/>
          <w:rtl/>
        </w:rPr>
        <w:t xml:space="preserve">של </w:t>
      </w:r>
      <w:r w:rsidR="00EE3C91">
        <w:rPr>
          <w:rFonts w:cs="FrankRuehl"/>
          <w:sz w:val="26"/>
          <w:szCs w:val="26"/>
          <w:rtl/>
        </w:rPr>
        <w:t>4,837</w:t>
      </w:r>
      <w:r w:rsidR="00EE3C91" w:rsidRPr="002E1D22">
        <w:rPr>
          <w:rFonts w:cs="FrankRuehl"/>
          <w:sz w:val="26"/>
          <w:szCs w:val="26"/>
          <w:rtl/>
        </w:rPr>
        <w:t xml:space="preserve"> אלפי </w:t>
      </w:r>
      <w:r w:rsidRPr="002E1D22">
        <w:rPr>
          <w:rFonts w:cs="FrankRuehl"/>
          <w:sz w:val="26"/>
          <w:szCs w:val="26"/>
          <w:rtl/>
        </w:rPr>
        <w:t xml:space="preserve">שקלים חדשים מסעיף 47 - רזרבה כללית </w:t>
      </w:r>
      <w:r w:rsidR="00EE3C91" w:rsidRPr="002E1D22">
        <w:rPr>
          <w:rFonts w:cs="FrankRuehl"/>
          <w:sz w:val="26"/>
          <w:szCs w:val="26"/>
          <w:rtl/>
        </w:rPr>
        <w:t xml:space="preserve">לסעיף </w:t>
      </w:r>
      <w:bookmarkStart w:id="7" w:name="TAKZIV3_1"/>
      <w:r w:rsidR="00EE3C91">
        <w:rPr>
          <w:rFonts w:cs="FrankRuehl"/>
          <w:sz w:val="26"/>
          <w:szCs w:val="26"/>
          <w:rtl/>
        </w:rPr>
        <w:t>54</w:t>
      </w:r>
      <w:bookmarkEnd w:id="7"/>
      <w:r w:rsidR="00EE3C91" w:rsidRPr="002E1D22">
        <w:rPr>
          <w:rFonts w:cs="FrankRuehl"/>
          <w:sz w:val="26"/>
          <w:szCs w:val="26"/>
          <w:rtl/>
        </w:rPr>
        <w:t xml:space="preserve"> - </w:t>
      </w:r>
      <w:bookmarkStart w:id="8" w:name="TAKZIV6"/>
      <w:r w:rsidR="00EE3C91">
        <w:rPr>
          <w:rFonts w:cs="FrankRuehl"/>
          <w:sz w:val="26"/>
          <w:szCs w:val="26"/>
          <w:rtl/>
        </w:rPr>
        <w:t>רשויות פיקוח</w:t>
      </w:r>
      <w:bookmarkEnd w:id="8"/>
      <w:r w:rsidR="00EE3C91" w:rsidRPr="002E1D22">
        <w:rPr>
          <w:rFonts w:cs="FrankRuehl"/>
          <w:sz w:val="26"/>
          <w:szCs w:val="26"/>
          <w:rtl/>
        </w:rPr>
        <w:t xml:space="preserve"> </w:t>
      </w:r>
      <w:r w:rsidRPr="002E1D22">
        <w:rPr>
          <w:rFonts w:cs="FrankRuehl"/>
          <w:sz w:val="26"/>
          <w:szCs w:val="26"/>
          <w:rtl/>
        </w:rPr>
        <w:t>בהתאם לסעיף 12 (א)</w:t>
      </w:r>
      <w:r w:rsidR="00EE3C91">
        <w:rPr>
          <w:rFonts w:cs="FrankRuehl" w:hint="cs"/>
          <w:sz w:val="26"/>
          <w:szCs w:val="26"/>
          <w:rtl/>
        </w:rPr>
        <w:t xml:space="preserve"> </w:t>
      </w:r>
      <w:r w:rsidRPr="002E1D22">
        <w:rPr>
          <w:rFonts w:cs="FrankRuehl"/>
          <w:sz w:val="26"/>
          <w:szCs w:val="26"/>
          <w:rtl/>
        </w:rPr>
        <w:t xml:space="preserve">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 כמפורט בתדפיס המצורף בזה.</w:t>
      </w:r>
    </w:p>
    <w:p w14:paraId="7FF2A550" w14:textId="77777777" w:rsidR="00436E4E" w:rsidRPr="002E1D22" w:rsidRDefault="00436E4E" w:rsidP="00710FD8">
      <w:pPr>
        <w:jc w:val="both"/>
        <w:rPr>
          <w:rFonts w:cs="FrankRuehl"/>
          <w:sz w:val="26"/>
          <w:szCs w:val="26"/>
          <w:rtl/>
        </w:rPr>
      </w:pPr>
    </w:p>
    <w:p w14:paraId="47BA21AF" w14:textId="77777777" w:rsidR="00710FD8" w:rsidRDefault="00710FD8" w:rsidP="00710FD8">
      <w:pPr>
        <w:contextualSpacing/>
        <w:jc w:val="both"/>
        <w:rPr>
          <w:rFonts w:ascii="FrankRuehl" w:hAnsi="FrankRuehl" w:cs="FrankRuehl"/>
          <w:sz w:val="26"/>
          <w:lang w:eastAsia="en-US"/>
        </w:rPr>
      </w:pPr>
      <w:r>
        <w:rPr>
          <w:rFonts w:ascii="FrankRuehl" w:hAnsi="FrankRuehl" w:cs="FrankRuehl" w:hint="cs"/>
          <w:b/>
          <w:bCs/>
          <w:sz w:val="26"/>
          <w:rtl/>
        </w:rPr>
        <w:t xml:space="preserve">הבקשה דנה בסעיף תקציבי: </w:t>
      </w:r>
      <w:r>
        <w:rPr>
          <w:rFonts w:ascii="FrankRuehl" w:hAnsi="FrankRuehl" w:cs="FrankRuehl" w:hint="cs"/>
          <w:sz w:val="26"/>
          <w:rtl/>
        </w:rPr>
        <w:t>54– רשויות פיקוח</w:t>
      </w:r>
    </w:p>
    <w:p w14:paraId="4AAB14D5" w14:textId="77777777" w:rsidR="00710FD8" w:rsidRDefault="00710FD8" w:rsidP="00710FD8">
      <w:pPr>
        <w:contextualSpacing/>
        <w:jc w:val="both"/>
        <w:rPr>
          <w:rFonts w:ascii="FrankRuehl" w:hAnsi="FrankRuehl" w:cs="FrankRuehl" w:hint="cs"/>
          <w:b/>
          <w:bCs/>
          <w:sz w:val="26"/>
        </w:rPr>
      </w:pPr>
    </w:p>
    <w:p w14:paraId="204B1C8D" w14:textId="77777777" w:rsidR="00710FD8" w:rsidRDefault="00710FD8" w:rsidP="00710FD8">
      <w:pPr>
        <w:contextualSpacing/>
        <w:jc w:val="both"/>
        <w:rPr>
          <w:rFonts w:ascii="FrankRuehl" w:hAnsi="FrankRuehl" w:cs="FrankRuehl" w:hint="cs"/>
          <w:sz w:val="26"/>
          <w:rtl/>
        </w:rPr>
      </w:pPr>
      <w:r>
        <w:rPr>
          <w:rFonts w:ascii="FrankRuehl" w:hAnsi="FrankRuehl" w:cs="FrankRuehl" w:hint="cs"/>
          <w:b/>
          <w:bCs/>
          <w:sz w:val="26"/>
          <w:rtl/>
        </w:rPr>
        <w:t>עיקרי הפנייה:</w:t>
      </w:r>
      <w:r>
        <w:rPr>
          <w:rFonts w:ascii="FrankRuehl" w:hAnsi="FrankRuehl" w:cs="FrankRuehl" w:hint="cs"/>
          <w:sz w:val="26"/>
          <w:rtl/>
        </w:rPr>
        <w:t xml:space="preserve"> </w:t>
      </w:r>
    </w:p>
    <w:p w14:paraId="7C9319A5" w14:textId="77777777" w:rsidR="00710FD8" w:rsidRDefault="00710FD8" w:rsidP="00710FD8">
      <w:pPr>
        <w:contextualSpacing/>
        <w:jc w:val="both"/>
        <w:rPr>
          <w:rFonts w:ascii="FrankRuehl" w:hAnsi="FrankRuehl" w:cs="FrankRuehl" w:hint="cs"/>
          <w:sz w:val="26"/>
        </w:rPr>
      </w:pPr>
      <w:r>
        <w:rPr>
          <w:rFonts w:ascii="FrankRuehl" w:hAnsi="FrankRuehl" w:cs="FrankRuehl" w:hint="cs"/>
          <w:sz w:val="26"/>
          <w:rtl/>
        </w:rPr>
        <w:t>הפניה התקציבית נועדה לתקצוב סך של 4,837 אלפי ש"ח בהוצאה עבור רשות להגנת הצרכן ועבור המועצה הישראלית לצרכנות, והוספת תקן כוח אדם 1 לרשות התחרות.</w:t>
      </w:r>
    </w:p>
    <w:p w14:paraId="324BD9A3" w14:textId="77777777" w:rsidR="00710FD8" w:rsidRDefault="00710FD8" w:rsidP="00710FD8">
      <w:pPr>
        <w:contextualSpacing/>
        <w:jc w:val="both"/>
        <w:rPr>
          <w:rFonts w:ascii="FrankRuehl" w:hAnsi="FrankRuehl" w:cs="FrankRuehl" w:hint="cs"/>
          <w:b/>
          <w:bCs/>
          <w:sz w:val="26"/>
          <w:rtl/>
        </w:rPr>
      </w:pPr>
    </w:p>
    <w:p w14:paraId="22E8FE16" w14:textId="77777777" w:rsidR="00710FD8" w:rsidRDefault="00710FD8" w:rsidP="00710FD8">
      <w:pPr>
        <w:contextualSpacing/>
        <w:jc w:val="both"/>
        <w:rPr>
          <w:rFonts w:ascii="FrankRuehl" w:hAnsi="FrankRuehl" w:cs="FrankRuehl" w:hint="cs"/>
          <w:sz w:val="26"/>
          <w:rtl/>
        </w:rPr>
      </w:pPr>
      <w:r>
        <w:rPr>
          <w:rFonts w:ascii="FrankRuehl" w:hAnsi="FrankRuehl" w:cs="FrankRuehl" w:hint="cs"/>
          <w:sz w:val="26"/>
          <w:rtl/>
        </w:rPr>
        <w:t>עיקרי הפנייה התקציבית בחלוקה לתוכניות מובאים להלן:</w:t>
      </w:r>
    </w:p>
    <w:p w14:paraId="5F684A7D" w14:textId="77777777" w:rsidR="00710FD8" w:rsidRDefault="00710FD8" w:rsidP="00710FD8">
      <w:pPr>
        <w:contextualSpacing/>
        <w:jc w:val="both"/>
        <w:rPr>
          <w:rFonts w:ascii="FrankRuehl" w:hAnsi="FrankRuehl" w:cs="FrankRuehl" w:hint="cs"/>
          <w:b/>
          <w:bCs/>
          <w:sz w:val="26"/>
          <w:rtl/>
        </w:rPr>
      </w:pPr>
      <w:r>
        <w:rPr>
          <w:rFonts w:ascii="FrankRuehl" w:hAnsi="FrankRuehl" w:cs="FrankRuehl" w:hint="cs"/>
          <w:b/>
          <w:bCs/>
          <w:sz w:val="26"/>
          <w:rtl/>
        </w:rPr>
        <w:t>541001- שכר- 1 תקני כוח אדם.</w:t>
      </w:r>
    </w:p>
    <w:p w14:paraId="3EFE759A" w14:textId="77777777" w:rsidR="00710FD8" w:rsidRDefault="00710FD8" w:rsidP="00710FD8">
      <w:pPr>
        <w:contextualSpacing/>
        <w:jc w:val="both"/>
        <w:rPr>
          <w:rFonts w:ascii="FrankRuehl" w:hAnsi="FrankRuehl" w:cs="FrankRuehl" w:hint="cs"/>
          <w:sz w:val="26"/>
          <w:rtl/>
        </w:rPr>
      </w:pPr>
      <w:r>
        <w:rPr>
          <w:rFonts w:ascii="FrankRuehl" w:hAnsi="FrankRuehl" w:cs="FrankRuehl" w:hint="cs"/>
          <w:b/>
          <w:bCs/>
          <w:sz w:val="26"/>
          <w:rtl/>
        </w:rPr>
        <w:t xml:space="preserve">תיאור התוכנית: </w:t>
      </w:r>
    </w:p>
    <w:p w14:paraId="42F266C4" w14:textId="77777777" w:rsidR="00710FD8" w:rsidRDefault="00710FD8" w:rsidP="00710FD8">
      <w:pPr>
        <w:contextualSpacing/>
        <w:jc w:val="both"/>
        <w:rPr>
          <w:rFonts w:ascii="FrankRuehl" w:hAnsi="FrankRuehl" w:cs="FrankRuehl" w:hint="cs"/>
          <w:sz w:val="26"/>
        </w:rPr>
      </w:pPr>
      <w:r>
        <w:rPr>
          <w:rFonts w:cs="FrankRuehl" w:hint="cs"/>
          <w:rtl/>
        </w:rPr>
        <w:t>תכנית זו משמשת לתקצוב הוצאות השכר של רשות התחרות.</w:t>
      </w:r>
    </w:p>
    <w:p w14:paraId="685D5487" w14:textId="77777777" w:rsidR="00710FD8" w:rsidRDefault="00710FD8" w:rsidP="00710FD8">
      <w:pPr>
        <w:contextualSpacing/>
        <w:jc w:val="both"/>
        <w:rPr>
          <w:rFonts w:ascii="FrankRuehl" w:hAnsi="FrankRuehl" w:cs="FrankRuehl" w:hint="cs"/>
          <w:b/>
          <w:bCs/>
          <w:sz w:val="26"/>
          <w:rtl/>
        </w:rPr>
      </w:pPr>
      <w:r>
        <w:rPr>
          <w:rFonts w:ascii="FrankRuehl" w:hAnsi="FrankRuehl" w:cs="FrankRuehl" w:hint="cs"/>
          <w:b/>
          <w:bCs/>
          <w:sz w:val="26"/>
          <w:rtl/>
        </w:rPr>
        <w:t xml:space="preserve">מטרת השינוי: </w:t>
      </w:r>
    </w:p>
    <w:p w14:paraId="5F80AB63" w14:textId="77777777" w:rsidR="00710FD8" w:rsidRDefault="00710FD8" w:rsidP="00710FD8">
      <w:pPr>
        <w:contextualSpacing/>
        <w:jc w:val="both"/>
        <w:rPr>
          <w:rFonts w:ascii="FrankRuehl" w:hAnsi="FrankRuehl" w:cs="FrankRuehl" w:hint="cs"/>
          <w:sz w:val="26"/>
          <w:rtl/>
        </w:rPr>
      </w:pPr>
      <w:r>
        <w:rPr>
          <w:rFonts w:ascii="FrankRuehl" w:hAnsi="FrankRuehl" w:cs="FrankRuehl" w:hint="cs"/>
          <w:sz w:val="26"/>
          <w:rtl/>
        </w:rPr>
        <w:t>תקצוב סך של 1 תקנים עבור רשות התחרות.</w:t>
      </w:r>
    </w:p>
    <w:p w14:paraId="663BE7D4" w14:textId="77777777" w:rsidR="00710FD8" w:rsidRDefault="00710FD8" w:rsidP="00710FD8">
      <w:pPr>
        <w:contextualSpacing/>
        <w:jc w:val="both"/>
        <w:rPr>
          <w:rFonts w:ascii="FrankRuehl" w:hAnsi="FrankRuehl" w:cs="FrankRuehl" w:hint="cs"/>
          <w:b/>
          <w:bCs/>
          <w:sz w:val="26"/>
        </w:rPr>
      </w:pPr>
    </w:p>
    <w:p w14:paraId="23399B51" w14:textId="77777777" w:rsidR="00710FD8" w:rsidRDefault="00710FD8" w:rsidP="00710FD8">
      <w:pPr>
        <w:contextualSpacing/>
        <w:jc w:val="both"/>
        <w:rPr>
          <w:rFonts w:ascii="FrankRuehl" w:hAnsi="FrankRuehl" w:cs="FrankRuehl" w:hint="cs"/>
          <w:b/>
          <w:bCs/>
          <w:sz w:val="26"/>
          <w:rtl/>
        </w:rPr>
      </w:pPr>
      <w:r>
        <w:rPr>
          <w:rFonts w:ascii="FrankRuehl" w:hAnsi="FrankRuehl" w:cs="FrankRuehl" w:hint="cs"/>
          <w:b/>
          <w:bCs/>
          <w:sz w:val="26"/>
          <w:rtl/>
        </w:rPr>
        <w:t>541101 – שכר – 313 אלפי ש"ח בהוצאה</w:t>
      </w:r>
    </w:p>
    <w:p w14:paraId="74082A18" w14:textId="77777777" w:rsidR="00710FD8" w:rsidRDefault="00710FD8" w:rsidP="00710FD8">
      <w:pPr>
        <w:contextualSpacing/>
        <w:jc w:val="both"/>
        <w:rPr>
          <w:rFonts w:ascii="FrankRuehl" w:hAnsi="FrankRuehl" w:cs="FrankRuehl" w:hint="cs"/>
          <w:sz w:val="26"/>
          <w:rtl/>
        </w:rPr>
      </w:pPr>
      <w:r>
        <w:rPr>
          <w:rFonts w:ascii="FrankRuehl" w:hAnsi="FrankRuehl" w:cs="FrankRuehl" w:hint="cs"/>
          <w:b/>
          <w:bCs/>
          <w:sz w:val="26"/>
          <w:rtl/>
        </w:rPr>
        <w:t xml:space="preserve">תיאור התוכנית: </w:t>
      </w:r>
    </w:p>
    <w:p w14:paraId="7843D958" w14:textId="77777777" w:rsidR="00710FD8" w:rsidRDefault="00710FD8" w:rsidP="00710FD8">
      <w:pPr>
        <w:contextualSpacing/>
        <w:jc w:val="both"/>
        <w:rPr>
          <w:rFonts w:ascii="FrankRuehl" w:hAnsi="FrankRuehl" w:cs="FrankRuehl" w:hint="cs"/>
          <w:sz w:val="26"/>
        </w:rPr>
      </w:pPr>
      <w:r>
        <w:rPr>
          <w:rFonts w:cs="FrankRuehl" w:hint="cs"/>
          <w:rtl/>
        </w:rPr>
        <w:t>תכנית זו משמשת לתקצוב הוצאות השכר של הרשות להגנת הצרכן ולסחר הוגן</w:t>
      </w:r>
    </w:p>
    <w:p w14:paraId="5DF60445" w14:textId="77777777" w:rsidR="00710FD8" w:rsidRDefault="00710FD8" w:rsidP="00710FD8">
      <w:pPr>
        <w:contextualSpacing/>
        <w:jc w:val="both"/>
        <w:rPr>
          <w:rFonts w:ascii="FrankRuehl" w:hAnsi="FrankRuehl" w:cs="FrankRuehl" w:hint="cs"/>
          <w:sz w:val="26"/>
          <w:rtl/>
        </w:rPr>
      </w:pPr>
      <w:r>
        <w:rPr>
          <w:rFonts w:ascii="FrankRuehl" w:hAnsi="FrankRuehl" w:cs="FrankRuehl" w:hint="cs"/>
          <w:sz w:val="26"/>
          <w:rtl/>
        </w:rPr>
        <w:softHyphen/>
      </w:r>
      <w:r>
        <w:rPr>
          <w:rFonts w:ascii="FrankRuehl" w:hAnsi="FrankRuehl" w:cs="FrankRuehl" w:hint="cs"/>
          <w:sz w:val="26"/>
          <w:rtl/>
        </w:rPr>
        <w:softHyphen/>
      </w:r>
      <w:r>
        <w:rPr>
          <w:rFonts w:ascii="FrankRuehl" w:hAnsi="FrankRuehl" w:cs="FrankRuehl" w:hint="cs"/>
          <w:sz w:val="26"/>
          <w:rtl/>
        </w:rPr>
        <w:softHyphen/>
      </w:r>
      <w:r>
        <w:rPr>
          <w:rFonts w:ascii="FrankRuehl" w:hAnsi="FrankRuehl" w:cs="FrankRuehl" w:hint="cs"/>
          <w:sz w:val="26"/>
          <w:rtl/>
        </w:rPr>
        <w:softHyphen/>
      </w:r>
      <w:r>
        <w:rPr>
          <w:rFonts w:ascii="FrankRuehl" w:hAnsi="FrankRuehl" w:cs="FrankRuehl" w:hint="cs"/>
          <w:sz w:val="26"/>
          <w:rtl/>
        </w:rPr>
        <w:softHyphen/>
      </w:r>
      <w:r>
        <w:rPr>
          <w:rFonts w:ascii="FrankRuehl" w:hAnsi="FrankRuehl" w:cs="FrankRuehl" w:hint="cs"/>
          <w:sz w:val="26"/>
          <w:rtl/>
        </w:rPr>
        <w:softHyphen/>
      </w:r>
      <w:r>
        <w:rPr>
          <w:rFonts w:ascii="FrankRuehl" w:hAnsi="FrankRuehl" w:cs="FrankRuehl" w:hint="cs"/>
          <w:sz w:val="26"/>
          <w:rtl/>
        </w:rPr>
        <w:softHyphen/>
      </w:r>
      <w:r>
        <w:rPr>
          <w:rFonts w:ascii="FrankRuehl" w:hAnsi="FrankRuehl" w:cs="FrankRuehl" w:hint="cs"/>
          <w:sz w:val="26"/>
          <w:rtl/>
        </w:rPr>
        <w:softHyphen/>
      </w:r>
      <w:r>
        <w:rPr>
          <w:rFonts w:ascii="FrankRuehl" w:hAnsi="FrankRuehl" w:cs="FrankRuehl" w:hint="cs"/>
          <w:sz w:val="26"/>
          <w:rtl/>
        </w:rPr>
        <w:softHyphen/>
      </w:r>
      <w:r>
        <w:rPr>
          <w:rFonts w:ascii="FrankRuehl" w:hAnsi="FrankRuehl" w:cs="FrankRuehl" w:hint="cs"/>
          <w:sz w:val="26"/>
          <w:rtl/>
        </w:rPr>
        <w:softHyphen/>
      </w:r>
      <w:r>
        <w:rPr>
          <w:rFonts w:ascii="FrankRuehl" w:hAnsi="FrankRuehl" w:cs="FrankRuehl" w:hint="cs"/>
          <w:sz w:val="26"/>
          <w:rtl/>
        </w:rPr>
        <w:softHyphen/>
      </w:r>
      <w:r>
        <w:rPr>
          <w:rFonts w:ascii="FrankRuehl" w:hAnsi="FrankRuehl" w:cs="FrankRuehl" w:hint="cs"/>
          <w:sz w:val="26"/>
          <w:rtl/>
        </w:rPr>
        <w:softHyphen/>
      </w:r>
      <w:r>
        <w:rPr>
          <w:rFonts w:ascii="FrankRuehl" w:hAnsi="FrankRuehl" w:cs="FrankRuehl" w:hint="cs"/>
          <w:b/>
          <w:bCs/>
          <w:sz w:val="26"/>
          <w:rtl/>
        </w:rPr>
        <w:t xml:space="preserve">מטרת השינוי: </w:t>
      </w:r>
    </w:p>
    <w:p w14:paraId="420EBC49" w14:textId="77777777" w:rsidR="00710FD8" w:rsidRDefault="00710FD8" w:rsidP="00710FD8">
      <w:pPr>
        <w:contextualSpacing/>
        <w:jc w:val="both"/>
        <w:rPr>
          <w:rFonts w:ascii="FrankRuehl" w:hAnsi="FrankRuehl" w:cs="FrankRuehl" w:hint="cs"/>
          <w:sz w:val="26"/>
        </w:rPr>
      </w:pPr>
      <w:r>
        <w:rPr>
          <w:rFonts w:ascii="FrankRuehl" w:hAnsi="FrankRuehl" w:cs="FrankRuehl" w:hint="cs"/>
          <w:sz w:val="26"/>
          <w:rtl/>
        </w:rPr>
        <w:t>תקצוב סך של 313 אלפי ש"ח בהוצאה עבור התאמת תחזית לביצוע בפועל בתוכנית השכר של הרשות להגנת הצרכן וסחר הוגן.</w:t>
      </w:r>
    </w:p>
    <w:p w14:paraId="4A5A019A" w14:textId="77777777" w:rsidR="00710FD8" w:rsidRDefault="00710FD8" w:rsidP="00710FD8">
      <w:pPr>
        <w:contextualSpacing/>
        <w:jc w:val="both"/>
        <w:rPr>
          <w:rFonts w:ascii="FrankRuehl" w:hAnsi="FrankRuehl" w:cs="FrankRuehl" w:hint="cs"/>
          <w:sz w:val="26"/>
          <w:rtl/>
        </w:rPr>
      </w:pPr>
    </w:p>
    <w:p w14:paraId="79FC5CEA" w14:textId="77777777" w:rsidR="00710FD8" w:rsidRDefault="00710FD8" w:rsidP="00710FD8">
      <w:pPr>
        <w:contextualSpacing/>
        <w:jc w:val="both"/>
        <w:rPr>
          <w:rFonts w:ascii="FrankRuehl" w:hAnsi="FrankRuehl" w:cs="FrankRuehl" w:hint="cs"/>
          <w:b/>
          <w:bCs/>
          <w:sz w:val="26"/>
        </w:rPr>
      </w:pPr>
      <w:r>
        <w:rPr>
          <w:rFonts w:ascii="FrankRuehl" w:hAnsi="FrankRuehl" w:cs="FrankRuehl" w:hint="cs"/>
          <w:b/>
          <w:bCs/>
          <w:sz w:val="26"/>
          <w:rtl/>
        </w:rPr>
        <w:softHyphen/>
      </w:r>
      <w:r>
        <w:rPr>
          <w:rFonts w:ascii="FrankRuehl" w:hAnsi="FrankRuehl" w:cs="FrankRuehl" w:hint="cs"/>
          <w:b/>
          <w:bCs/>
          <w:sz w:val="26"/>
          <w:rtl/>
        </w:rPr>
        <w:softHyphen/>
      </w:r>
      <w:r>
        <w:rPr>
          <w:rFonts w:ascii="FrankRuehl" w:hAnsi="FrankRuehl" w:cs="FrankRuehl" w:hint="cs"/>
          <w:b/>
          <w:bCs/>
          <w:sz w:val="26"/>
          <w:rtl/>
        </w:rPr>
        <w:softHyphen/>
      </w:r>
      <w:r>
        <w:rPr>
          <w:rFonts w:ascii="FrankRuehl" w:hAnsi="FrankRuehl" w:cs="FrankRuehl" w:hint="cs"/>
          <w:b/>
          <w:bCs/>
          <w:sz w:val="26"/>
          <w:rtl/>
        </w:rPr>
        <w:softHyphen/>
      </w:r>
      <w:r>
        <w:rPr>
          <w:rFonts w:ascii="FrankRuehl" w:hAnsi="FrankRuehl" w:cs="FrankRuehl" w:hint="cs"/>
          <w:b/>
          <w:bCs/>
          <w:sz w:val="26"/>
          <w:rtl/>
        </w:rPr>
        <w:softHyphen/>
      </w:r>
      <w:r>
        <w:rPr>
          <w:rFonts w:ascii="FrankRuehl" w:hAnsi="FrankRuehl" w:cs="FrankRuehl" w:hint="cs"/>
          <w:b/>
          <w:bCs/>
          <w:sz w:val="26"/>
          <w:rtl/>
        </w:rPr>
        <w:softHyphen/>
      </w:r>
      <w:r>
        <w:rPr>
          <w:rFonts w:ascii="FrankRuehl" w:hAnsi="FrankRuehl" w:cs="FrankRuehl" w:hint="cs"/>
          <w:b/>
          <w:bCs/>
          <w:sz w:val="26"/>
          <w:rtl/>
        </w:rPr>
        <w:softHyphen/>
      </w:r>
      <w:r>
        <w:rPr>
          <w:rFonts w:ascii="FrankRuehl" w:hAnsi="FrankRuehl" w:cs="FrankRuehl" w:hint="cs"/>
          <w:b/>
          <w:bCs/>
          <w:sz w:val="26"/>
          <w:rtl/>
        </w:rPr>
        <w:softHyphen/>
      </w:r>
      <w:r>
        <w:rPr>
          <w:rFonts w:ascii="FrankRuehl" w:hAnsi="FrankRuehl" w:cs="FrankRuehl" w:hint="cs"/>
          <w:b/>
          <w:bCs/>
          <w:sz w:val="26"/>
          <w:rtl/>
        </w:rPr>
        <w:softHyphen/>
      </w:r>
      <w:r>
        <w:rPr>
          <w:rFonts w:ascii="FrankRuehl" w:hAnsi="FrankRuehl" w:cs="FrankRuehl" w:hint="cs"/>
          <w:b/>
          <w:bCs/>
          <w:sz w:val="26"/>
          <w:rtl/>
        </w:rPr>
        <w:softHyphen/>
      </w:r>
      <w:r>
        <w:rPr>
          <w:rFonts w:ascii="FrankRuehl" w:hAnsi="FrankRuehl" w:cs="FrankRuehl" w:hint="cs"/>
          <w:b/>
          <w:bCs/>
          <w:sz w:val="26"/>
          <w:rtl/>
        </w:rPr>
        <w:softHyphen/>
        <w:t>541102 – תפעול – 3,869 אלפי ש"ח בהוצאה</w:t>
      </w:r>
    </w:p>
    <w:p w14:paraId="61857365" w14:textId="77777777" w:rsidR="00710FD8" w:rsidRDefault="00710FD8" w:rsidP="00710FD8">
      <w:pPr>
        <w:contextualSpacing/>
        <w:jc w:val="both"/>
        <w:rPr>
          <w:rFonts w:ascii="FrankRuehl" w:hAnsi="FrankRuehl" w:cs="FrankRuehl" w:hint="cs"/>
          <w:sz w:val="26"/>
        </w:rPr>
      </w:pPr>
      <w:r>
        <w:rPr>
          <w:rFonts w:ascii="FrankRuehl" w:hAnsi="FrankRuehl" w:cs="FrankRuehl" w:hint="cs"/>
          <w:b/>
          <w:bCs/>
          <w:sz w:val="26"/>
          <w:rtl/>
        </w:rPr>
        <w:t xml:space="preserve">תיאור התוכנית: </w:t>
      </w:r>
    </w:p>
    <w:p w14:paraId="57A8C33B" w14:textId="77777777" w:rsidR="00710FD8" w:rsidRDefault="00710FD8" w:rsidP="00710FD8">
      <w:pPr>
        <w:contextualSpacing/>
        <w:jc w:val="both"/>
        <w:rPr>
          <w:rFonts w:ascii="FrankRuehl" w:hAnsi="FrankRuehl" w:cs="FrankRuehl" w:hint="cs"/>
          <w:sz w:val="26"/>
        </w:rPr>
      </w:pPr>
      <w:r>
        <w:rPr>
          <w:rFonts w:cs="FrankRuehl" w:hint="cs"/>
          <w:rtl/>
        </w:rPr>
        <w:t>תכנית זו משמשת לתקצוב התפעול, המחשוב, הדיור והפעולות הנוספות של הרשות להכנת הצרכן ולסחר הוגן</w:t>
      </w:r>
    </w:p>
    <w:p w14:paraId="00568A99" w14:textId="77777777" w:rsidR="00710FD8" w:rsidRDefault="00710FD8" w:rsidP="00710FD8">
      <w:pPr>
        <w:contextualSpacing/>
        <w:jc w:val="both"/>
        <w:rPr>
          <w:rFonts w:ascii="FrankRuehl" w:hAnsi="FrankRuehl" w:cs="FrankRuehl" w:hint="cs"/>
          <w:sz w:val="26"/>
          <w:rtl/>
        </w:rPr>
      </w:pPr>
      <w:r>
        <w:rPr>
          <w:rFonts w:ascii="FrankRuehl" w:hAnsi="FrankRuehl" w:cs="FrankRuehl" w:hint="cs"/>
          <w:sz w:val="26"/>
          <w:rtl/>
        </w:rPr>
        <w:softHyphen/>
      </w:r>
      <w:r>
        <w:rPr>
          <w:rFonts w:ascii="FrankRuehl" w:hAnsi="FrankRuehl" w:cs="FrankRuehl" w:hint="cs"/>
          <w:sz w:val="26"/>
          <w:rtl/>
        </w:rPr>
        <w:softHyphen/>
      </w:r>
      <w:r>
        <w:rPr>
          <w:rFonts w:ascii="FrankRuehl" w:hAnsi="FrankRuehl" w:cs="FrankRuehl" w:hint="cs"/>
          <w:sz w:val="26"/>
          <w:rtl/>
        </w:rPr>
        <w:softHyphen/>
      </w:r>
      <w:r>
        <w:rPr>
          <w:rFonts w:ascii="FrankRuehl" w:hAnsi="FrankRuehl" w:cs="FrankRuehl" w:hint="cs"/>
          <w:sz w:val="26"/>
          <w:rtl/>
        </w:rPr>
        <w:softHyphen/>
      </w:r>
      <w:r>
        <w:rPr>
          <w:rFonts w:ascii="FrankRuehl" w:hAnsi="FrankRuehl" w:cs="FrankRuehl" w:hint="cs"/>
          <w:sz w:val="26"/>
          <w:rtl/>
        </w:rPr>
        <w:softHyphen/>
      </w:r>
      <w:r>
        <w:rPr>
          <w:rFonts w:ascii="FrankRuehl" w:hAnsi="FrankRuehl" w:cs="FrankRuehl" w:hint="cs"/>
          <w:sz w:val="26"/>
          <w:rtl/>
        </w:rPr>
        <w:softHyphen/>
      </w:r>
      <w:r>
        <w:rPr>
          <w:rFonts w:ascii="FrankRuehl" w:hAnsi="FrankRuehl" w:cs="FrankRuehl" w:hint="cs"/>
          <w:sz w:val="26"/>
          <w:rtl/>
        </w:rPr>
        <w:softHyphen/>
      </w:r>
      <w:r>
        <w:rPr>
          <w:rFonts w:ascii="FrankRuehl" w:hAnsi="FrankRuehl" w:cs="FrankRuehl" w:hint="cs"/>
          <w:sz w:val="26"/>
          <w:rtl/>
        </w:rPr>
        <w:softHyphen/>
      </w:r>
      <w:r>
        <w:rPr>
          <w:rFonts w:ascii="FrankRuehl" w:hAnsi="FrankRuehl" w:cs="FrankRuehl" w:hint="cs"/>
          <w:b/>
          <w:bCs/>
          <w:sz w:val="26"/>
          <w:rtl/>
        </w:rPr>
        <w:t xml:space="preserve">מטרת השינוי: </w:t>
      </w:r>
    </w:p>
    <w:p w14:paraId="130FD318" w14:textId="77777777" w:rsidR="00710FD8" w:rsidRDefault="00710FD8" w:rsidP="00710FD8">
      <w:pPr>
        <w:contextualSpacing/>
        <w:jc w:val="both"/>
        <w:rPr>
          <w:rFonts w:ascii="FrankRuehl" w:hAnsi="FrankRuehl" w:cs="FrankRuehl" w:hint="cs"/>
          <w:sz w:val="26"/>
          <w:rtl/>
        </w:rPr>
      </w:pPr>
      <w:r>
        <w:rPr>
          <w:rFonts w:ascii="FrankRuehl" w:hAnsi="FrankRuehl" w:cs="FrankRuehl" w:hint="cs"/>
          <w:sz w:val="26"/>
          <w:rtl/>
        </w:rPr>
        <w:t>תקצוב סך של 3,869 אלפי ש"ח בהוצאה עבור התאמות בתקציב התפעול ולפי צרכי הרשות להגנת הצרכן.</w:t>
      </w:r>
    </w:p>
    <w:p w14:paraId="61220C72" w14:textId="77777777" w:rsidR="00710FD8" w:rsidRDefault="00710FD8" w:rsidP="00710FD8">
      <w:pPr>
        <w:contextualSpacing/>
        <w:jc w:val="both"/>
        <w:rPr>
          <w:rFonts w:ascii="FrankRuehl" w:hAnsi="FrankRuehl" w:cs="FrankRuehl" w:hint="cs"/>
          <w:sz w:val="26"/>
          <w:rtl/>
        </w:rPr>
      </w:pPr>
      <w:r>
        <w:rPr>
          <w:rFonts w:ascii="FrankRuehl" w:hAnsi="FrankRuehl" w:cs="FrankRuehl" w:hint="cs"/>
          <w:sz w:val="26"/>
          <w:rtl/>
        </w:rPr>
        <w:softHyphen/>
      </w:r>
      <w:r>
        <w:rPr>
          <w:rFonts w:ascii="FrankRuehl" w:hAnsi="FrankRuehl" w:cs="FrankRuehl" w:hint="cs"/>
          <w:sz w:val="26"/>
          <w:rtl/>
        </w:rPr>
        <w:softHyphen/>
      </w:r>
      <w:r>
        <w:rPr>
          <w:rFonts w:ascii="FrankRuehl" w:hAnsi="FrankRuehl" w:cs="FrankRuehl" w:hint="cs"/>
          <w:sz w:val="26"/>
          <w:rtl/>
        </w:rPr>
        <w:softHyphen/>
      </w:r>
      <w:r>
        <w:rPr>
          <w:rFonts w:ascii="FrankRuehl" w:hAnsi="FrankRuehl" w:cs="FrankRuehl" w:hint="cs"/>
          <w:sz w:val="26"/>
          <w:rtl/>
        </w:rPr>
        <w:softHyphen/>
      </w:r>
      <w:r>
        <w:rPr>
          <w:rFonts w:ascii="FrankRuehl" w:hAnsi="FrankRuehl" w:cs="FrankRuehl" w:hint="cs"/>
          <w:sz w:val="26"/>
          <w:rtl/>
        </w:rPr>
        <w:softHyphen/>
      </w:r>
      <w:r>
        <w:rPr>
          <w:rFonts w:ascii="FrankRuehl" w:hAnsi="FrankRuehl" w:cs="FrankRuehl" w:hint="cs"/>
          <w:sz w:val="26"/>
          <w:rtl/>
        </w:rPr>
        <w:softHyphen/>
      </w:r>
      <w:r>
        <w:rPr>
          <w:rFonts w:ascii="FrankRuehl" w:hAnsi="FrankRuehl" w:cs="FrankRuehl" w:hint="cs"/>
          <w:sz w:val="26"/>
          <w:rtl/>
        </w:rPr>
        <w:softHyphen/>
      </w:r>
      <w:r>
        <w:rPr>
          <w:rFonts w:ascii="FrankRuehl" w:hAnsi="FrankRuehl" w:cs="FrankRuehl" w:hint="cs"/>
          <w:sz w:val="26"/>
          <w:rtl/>
        </w:rPr>
        <w:softHyphen/>
      </w:r>
      <w:r>
        <w:rPr>
          <w:rFonts w:ascii="FrankRuehl" w:hAnsi="FrankRuehl" w:cs="FrankRuehl" w:hint="cs"/>
          <w:sz w:val="26"/>
          <w:rtl/>
        </w:rPr>
        <w:softHyphen/>
      </w:r>
      <w:r>
        <w:rPr>
          <w:rFonts w:ascii="FrankRuehl" w:hAnsi="FrankRuehl" w:cs="FrankRuehl" w:hint="cs"/>
          <w:sz w:val="26"/>
          <w:rtl/>
        </w:rPr>
        <w:softHyphen/>
      </w:r>
      <w:r>
        <w:rPr>
          <w:rFonts w:ascii="FrankRuehl" w:hAnsi="FrankRuehl" w:cs="FrankRuehl" w:hint="cs"/>
          <w:sz w:val="26"/>
          <w:rtl/>
        </w:rPr>
        <w:softHyphen/>
      </w:r>
    </w:p>
    <w:p w14:paraId="7244599E" w14:textId="77777777" w:rsidR="00710FD8" w:rsidRDefault="00710FD8" w:rsidP="00710FD8">
      <w:pPr>
        <w:contextualSpacing/>
        <w:jc w:val="both"/>
        <w:rPr>
          <w:rFonts w:ascii="FrankRuehl" w:hAnsi="FrankRuehl" w:cs="FrankRuehl" w:hint="cs"/>
          <w:b/>
          <w:bCs/>
          <w:sz w:val="26"/>
        </w:rPr>
      </w:pPr>
      <w:r>
        <w:rPr>
          <w:rFonts w:ascii="FrankRuehl" w:hAnsi="FrankRuehl" w:cs="FrankRuehl" w:hint="cs"/>
          <w:b/>
          <w:bCs/>
          <w:sz w:val="26"/>
          <w:rtl/>
        </w:rPr>
        <w:lastRenderedPageBreak/>
        <w:t>541201 – פעילות המועצה הישראלית לצרכנות – 655 אלפי ש"ח בהוצאה</w:t>
      </w:r>
    </w:p>
    <w:p w14:paraId="432EFD81" w14:textId="77777777" w:rsidR="00710FD8" w:rsidRDefault="00710FD8" w:rsidP="00710FD8">
      <w:pPr>
        <w:contextualSpacing/>
        <w:jc w:val="both"/>
        <w:rPr>
          <w:rFonts w:ascii="FrankRuehl" w:hAnsi="FrankRuehl" w:cs="FrankRuehl" w:hint="cs"/>
          <w:sz w:val="26"/>
          <w:rtl/>
        </w:rPr>
      </w:pPr>
      <w:r>
        <w:rPr>
          <w:rFonts w:ascii="FrankRuehl" w:hAnsi="FrankRuehl" w:cs="FrankRuehl" w:hint="cs"/>
          <w:b/>
          <w:bCs/>
          <w:sz w:val="26"/>
          <w:rtl/>
        </w:rPr>
        <w:t xml:space="preserve">תיאור התוכנית: </w:t>
      </w:r>
    </w:p>
    <w:p w14:paraId="7CC0287C" w14:textId="77777777" w:rsidR="00710FD8" w:rsidRDefault="00710FD8" w:rsidP="00710FD8">
      <w:pPr>
        <w:contextualSpacing/>
        <w:jc w:val="both"/>
        <w:rPr>
          <w:rFonts w:ascii="FrankRuehl" w:hAnsi="FrankRuehl" w:cs="FrankRuehl" w:hint="cs"/>
          <w:sz w:val="26"/>
        </w:rPr>
      </w:pPr>
      <w:r>
        <w:rPr>
          <w:rFonts w:ascii="FrankRuehl" w:hAnsi="FrankRuehl" w:cs="FrankRuehl" w:hint="cs"/>
          <w:sz w:val="26"/>
          <w:rtl/>
        </w:rPr>
        <w:t>תכנית זו משמשת לתקצוב הפעילות של המועצה הישראלית לצרכנות</w:t>
      </w:r>
      <w:r>
        <w:rPr>
          <w:rFonts w:ascii="FrankRuehl" w:hAnsi="FrankRuehl" w:cs="FrankRuehl" w:hint="cs"/>
          <w:sz w:val="26"/>
        </w:rPr>
        <w:t>.</w:t>
      </w:r>
      <w:r>
        <w:rPr>
          <w:rFonts w:ascii="FrankRuehl" w:hAnsi="FrankRuehl" w:cs="FrankRuehl" w:hint="cs"/>
          <w:sz w:val="26"/>
          <w:rtl/>
        </w:rPr>
        <w:t xml:space="preserve"> המועצה הישראלית לצרכנות פועלת מכוח חוק המועצה הישראלית לצרכנות, תשס"ח–2008, כארגון ללא כוונת רווח, שתכליתו לפעול להגנת ציבור הצרכנים בישראל. בין תפקידה לפי החוק, המועצה מייצגת את ציבור הצרכנים בישראל בפני הגורמים הרלבנטיים השונים. המועצה פועלת כדי להגן על זכויות ציבור הצרכנים ולהגברת המודעות הצרכנית</w:t>
      </w:r>
      <w:r>
        <w:rPr>
          <w:rFonts w:ascii="FrankRuehl" w:hAnsi="FrankRuehl" w:cs="FrankRuehl" w:hint="cs"/>
          <w:sz w:val="26"/>
        </w:rPr>
        <w:t>.</w:t>
      </w:r>
      <w:r>
        <w:rPr>
          <w:rFonts w:ascii="FrankRuehl" w:hAnsi="FrankRuehl" w:cs="FrankRuehl" w:hint="cs"/>
          <w:sz w:val="26"/>
          <w:rtl/>
        </w:rPr>
        <w:t xml:space="preserve"> במסגרת זו מקדמת המועצה פניות הציבור, עורכת מחקרים, יוזמת חקיקה ומייצגת את הצרכנים בפני הרשויות השונות</w:t>
      </w:r>
      <w:r>
        <w:rPr>
          <w:rFonts w:ascii="FrankRuehl" w:hAnsi="FrankRuehl" w:cs="FrankRuehl" w:hint="cs"/>
          <w:sz w:val="26"/>
          <w:rtl/>
        </w:rPr>
        <w:softHyphen/>
      </w:r>
      <w:r>
        <w:rPr>
          <w:rFonts w:ascii="FrankRuehl" w:hAnsi="FrankRuehl" w:cs="FrankRuehl" w:hint="cs"/>
          <w:sz w:val="26"/>
          <w:rtl/>
        </w:rPr>
        <w:softHyphen/>
      </w:r>
      <w:r>
        <w:rPr>
          <w:rFonts w:ascii="FrankRuehl" w:hAnsi="FrankRuehl" w:cs="FrankRuehl" w:hint="cs"/>
          <w:sz w:val="26"/>
          <w:rtl/>
        </w:rPr>
        <w:softHyphen/>
      </w:r>
      <w:r>
        <w:rPr>
          <w:rFonts w:ascii="FrankRuehl" w:hAnsi="FrankRuehl" w:cs="FrankRuehl" w:hint="cs"/>
          <w:sz w:val="26"/>
          <w:rtl/>
        </w:rPr>
        <w:softHyphen/>
      </w:r>
      <w:r>
        <w:rPr>
          <w:rFonts w:ascii="FrankRuehl" w:hAnsi="FrankRuehl" w:cs="FrankRuehl" w:hint="cs"/>
          <w:sz w:val="26"/>
          <w:rtl/>
        </w:rPr>
        <w:softHyphen/>
      </w:r>
      <w:r>
        <w:rPr>
          <w:rFonts w:ascii="FrankRuehl" w:hAnsi="FrankRuehl" w:cs="FrankRuehl" w:hint="cs"/>
          <w:sz w:val="26"/>
          <w:rtl/>
        </w:rPr>
        <w:softHyphen/>
      </w:r>
      <w:r>
        <w:rPr>
          <w:rFonts w:ascii="FrankRuehl" w:hAnsi="FrankRuehl" w:cs="FrankRuehl" w:hint="cs"/>
          <w:sz w:val="26"/>
          <w:rtl/>
        </w:rPr>
        <w:softHyphen/>
      </w:r>
      <w:r>
        <w:rPr>
          <w:rFonts w:ascii="FrankRuehl" w:hAnsi="FrankRuehl" w:cs="FrankRuehl" w:hint="cs"/>
          <w:sz w:val="26"/>
          <w:rtl/>
        </w:rPr>
        <w:softHyphen/>
      </w:r>
      <w:r>
        <w:rPr>
          <w:rFonts w:ascii="FrankRuehl" w:hAnsi="FrankRuehl" w:cs="FrankRuehl" w:hint="cs"/>
          <w:sz w:val="26"/>
          <w:rtl/>
        </w:rPr>
        <w:softHyphen/>
      </w:r>
      <w:r>
        <w:rPr>
          <w:rFonts w:ascii="FrankRuehl" w:hAnsi="FrankRuehl" w:cs="FrankRuehl" w:hint="cs"/>
          <w:sz w:val="26"/>
          <w:rtl/>
        </w:rPr>
        <w:softHyphen/>
      </w:r>
      <w:r>
        <w:rPr>
          <w:rFonts w:ascii="FrankRuehl" w:hAnsi="FrankRuehl" w:cs="FrankRuehl" w:hint="cs"/>
          <w:sz w:val="26"/>
          <w:rtl/>
        </w:rPr>
        <w:softHyphen/>
        <w:t>.</w:t>
      </w:r>
    </w:p>
    <w:p w14:paraId="72DE0917" w14:textId="77777777" w:rsidR="00710FD8" w:rsidRDefault="00710FD8" w:rsidP="00710FD8">
      <w:pPr>
        <w:contextualSpacing/>
        <w:jc w:val="both"/>
        <w:rPr>
          <w:rFonts w:ascii="FrankRuehl" w:hAnsi="FrankRuehl" w:cs="FrankRuehl" w:hint="cs"/>
          <w:sz w:val="26"/>
          <w:rtl/>
        </w:rPr>
      </w:pPr>
      <w:r>
        <w:rPr>
          <w:rFonts w:ascii="FrankRuehl" w:hAnsi="FrankRuehl" w:cs="FrankRuehl" w:hint="cs"/>
          <w:b/>
          <w:bCs/>
          <w:sz w:val="26"/>
          <w:rtl/>
        </w:rPr>
        <w:t xml:space="preserve">מטרת השינוי: </w:t>
      </w:r>
    </w:p>
    <w:p w14:paraId="4B0FB4DC" w14:textId="77777777" w:rsidR="00710FD8" w:rsidRDefault="00710FD8" w:rsidP="00710FD8">
      <w:pPr>
        <w:contextualSpacing/>
        <w:jc w:val="both"/>
        <w:rPr>
          <w:rFonts w:ascii="FrankRuehl" w:hAnsi="FrankRuehl" w:cs="FrankRuehl" w:hint="cs"/>
          <w:sz w:val="26"/>
        </w:rPr>
      </w:pPr>
      <w:r>
        <w:rPr>
          <w:rFonts w:ascii="FrankRuehl" w:hAnsi="FrankRuehl" w:cs="FrankRuehl" w:hint="cs"/>
          <w:sz w:val="26"/>
          <w:rtl/>
        </w:rPr>
        <w:t xml:space="preserve">תקצוב סך של 655 אלפי ש"ח בהוצאה עבור התאמת תחזית לביצוע בפועל של שכר העובדים במועצה הישראלית לצרכנות. </w:t>
      </w:r>
    </w:p>
    <w:p w14:paraId="349A3F5A" w14:textId="77777777" w:rsidR="00710FD8" w:rsidRDefault="00710FD8" w:rsidP="00710FD8">
      <w:pPr>
        <w:contextualSpacing/>
        <w:jc w:val="both"/>
        <w:rPr>
          <w:rFonts w:ascii="FrankRuehl" w:hAnsi="FrankRuehl" w:cs="FrankRuehl" w:hint="cs"/>
          <w:sz w:val="26"/>
          <w:rtl/>
        </w:rPr>
      </w:pPr>
    </w:p>
    <w:p w14:paraId="1C7D3AF6" w14:textId="77777777" w:rsidR="00710FD8" w:rsidRDefault="00710FD8" w:rsidP="00710FD8">
      <w:pPr>
        <w:contextualSpacing/>
        <w:jc w:val="both"/>
        <w:rPr>
          <w:rFonts w:ascii="FrankRuehl" w:hAnsi="FrankRuehl" w:cs="FrankRuehl" w:hint="cs"/>
          <w:b/>
          <w:bCs/>
          <w:sz w:val="26"/>
        </w:rPr>
      </w:pPr>
      <w:r>
        <w:rPr>
          <w:rFonts w:ascii="FrankRuehl" w:hAnsi="FrankRuehl" w:cs="FrankRuehl" w:hint="cs"/>
          <w:b/>
          <w:bCs/>
          <w:sz w:val="26"/>
          <w:rtl/>
        </w:rPr>
        <w:t xml:space="preserve">השפעה על כוח אדם: </w:t>
      </w:r>
      <w:r>
        <w:rPr>
          <w:rFonts w:ascii="FrankRuehl" w:hAnsi="FrankRuehl" w:cs="FrankRuehl" w:hint="cs"/>
          <w:sz w:val="26"/>
          <w:rtl/>
        </w:rPr>
        <w:t>כמפורט לעיל.</w:t>
      </w:r>
    </w:p>
    <w:p w14:paraId="4B526E52" w14:textId="77777777" w:rsidR="00436E4E" w:rsidRPr="002E1D22" w:rsidRDefault="00436E4E">
      <w:pPr>
        <w:tabs>
          <w:tab w:val="center" w:pos="6867"/>
        </w:tabs>
        <w:rPr>
          <w:rFonts w:cs="FrankRuehl"/>
          <w:sz w:val="26"/>
          <w:szCs w:val="26"/>
          <w:rtl/>
        </w:rPr>
      </w:pPr>
      <w:r w:rsidRPr="002E1D22">
        <w:rPr>
          <w:rFonts w:cs="FrankRuehl"/>
          <w:sz w:val="26"/>
          <w:szCs w:val="26"/>
          <w:rtl/>
        </w:rPr>
        <w:tab/>
        <w:t>בכבוד רב,</w:t>
      </w:r>
    </w:p>
    <w:p w14:paraId="345F28C4" w14:textId="77777777" w:rsidR="00436E4E" w:rsidRDefault="00C13197">
      <w:pPr>
        <w:tabs>
          <w:tab w:val="center" w:pos="6867"/>
        </w:tabs>
        <w:rPr>
          <w:rFonts w:cs="FrankRuehl"/>
          <w:sz w:val="26"/>
          <w:szCs w:val="26"/>
          <w:rtl/>
        </w:rPr>
      </w:pPr>
      <w:r>
        <w:rPr>
          <w:rFonts w:cs="FrankRuehl"/>
          <w:sz w:val="26"/>
          <w:szCs w:val="26"/>
          <w:rtl/>
        </w:rPr>
        <w:tab/>
      </w:r>
    </w:p>
    <w:p w14:paraId="41ABAD09" w14:textId="77777777" w:rsidR="00C13197" w:rsidRPr="002E1D22" w:rsidRDefault="00C13197">
      <w:pPr>
        <w:tabs>
          <w:tab w:val="center" w:pos="6867"/>
        </w:tabs>
        <w:rPr>
          <w:rFonts w:cs="FrankRuehl"/>
          <w:sz w:val="26"/>
          <w:szCs w:val="26"/>
        </w:rPr>
      </w:pPr>
      <w:r>
        <w:rPr>
          <w:rFonts w:cs="FrankRuehl"/>
          <w:sz w:val="26"/>
          <w:szCs w:val="26"/>
          <w:rtl/>
        </w:rPr>
        <w:tab/>
      </w:r>
      <w:bookmarkStart w:id="9" w:name="Sign_Image"/>
      <w:bookmarkEnd w:id="9"/>
    </w:p>
    <w:p w14:paraId="721A1732"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6DF8CCB3"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7CD1F2D3" w14:textId="77777777" w:rsidR="00436E4E" w:rsidRPr="002E1D22" w:rsidRDefault="00436E4E" w:rsidP="00026F4F">
      <w:pPr>
        <w:tabs>
          <w:tab w:val="center" w:pos="6867"/>
        </w:tabs>
        <w:rPr>
          <w:rFonts w:cs="FrankRuehl"/>
          <w:sz w:val="26"/>
          <w:szCs w:val="26"/>
          <w:rtl/>
        </w:rPr>
      </w:pPr>
      <w:r w:rsidRPr="002E1D22">
        <w:rPr>
          <w:rFonts w:cs="FrankRuehl"/>
          <w:sz w:val="26"/>
          <w:szCs w:val="26"/>
          <w:rtl/>
        </w:rPr>
        <w:tab/>
      </w:r>
    </w:p>
    <w:p w14:paraId="1D5D75FA" w14:textId="77777777" w:rsidR="00436E4E" w:rsidRPr="002E1D22" w:rsidRDefault="00436E4E">
      <w:pPr>
        <w:rPr>
          <w:rFonts w:cs="FrankRuehl"/>
          <w:sz w:val="26"/>
          <w:szCs w:val="26"/>
          <w:rtl/>
        </w:rPr>
      </w:pPr>
      <w:r w:rsidRPr="002E1D22">
        <w:rPr>
          <w:rFonts w:cs="FrankRuehl"/>
          <w:sz w:val="26"/>
          <w:szCs w:val="26"/>
          <w:rtl/>
        </w:rPr>
        <w:t>העתק:</w:t>
      </w:r>
    </w:p>
    <w:p w14:paraId="2583ABE6" w14:textId="77777777" w:rsidR="00436E4E" w:rsidRPr="002E1D22" w:rsidRDefault="00436E4E">
      <w:pPr>
        <w:rPr>
          <w:rFonts w:cs="FrankRuehl"/>
          <w:sz w:val="26"/>
          <w:szCs w:val="26"/>
          <w:rtl/>
        </w:rPr>
      </w:pPr>
      <w:r w:rsidRPr="002E1D22">
        <w:rPr>
          <w:rFonts w:cs="FrankRuehl"/>
          <w:sz w:val="26"/>
          <w:szCs w:val="26"/>
          <w:rtl/>
        </w:rPr>
        <w:t>החשב הכללי</w:t>
      </w:r>
    </w:p>
    <w:p w14:paraId="4766533F" w14:textId="77777777" w:rsidR="00436E4E" w:rsidRPr="002E1D22" w:rsidRDefault="00436E4E">
      <w:pPr>
        <w:rPr>
          <w:rFonts w:cs="FrankRuehl"/>
          <w:sz w:val="26"/>
          <w:szCs w:val="26"/>
          <w:rtl/>
        </w:rPr>
      </w:pPr>
      <w:r w:rsidRPr="002E1D22">
        <w:rPr>
          <w:rFonts w:cs="FrankRuehl"/>
          <w:sz w:val="26"/>
          <w:szCs w:val="26"/>
          <w:rtl/>
        </w:rPr>
        <w:t>מבקר המדינה (2)</w:t>
      </w:r>
    </w:p>
    <w:p w14:paraId="564DCB0D" w14:textId="77777777" w:rsidR="00FA49EB" w:rsidRDefault="00FA49EB">
      <w:pPr>
        <w:rPr>
          <w:rFonts w:cs="FrankRuehl"/>
          <w:sz w:val="26"/>
          <w:szCs w:val="26"/>
          <w:rtl/>
        </w:rPr>
      </w:pPr>
      <w:bookmarkStart w:id="10" w:name="TAKZIV22"/>
      <w:r>
        <w:rPr>
          <w:rFonts w:cs="FrankRuehl"/>
          <w:sz w:val="26"/>
          <w:szCs w:val="26"/>
          <w:rtl/>
        </w:rPr>
        <w:t>חשב הרשות להגנת הצרכן ולסחר הוגן</w:t>
      </w:r>
    </w:p>
    <w:p w14:paraId="49AF5A1F" w14:textId="77777777" w:rsidR="00FA49EB" w:rsidRDefault="00FA49EB">
      <w:pPr>
        <w:rPr>
          <w:rFonts w:cs="FrankRuehl"/>
          <w:sz w:val="26"/>
          <w:szCs w:val="26"/>
          <w:rtl/>
        </w:rPr>
      </w:pPr>
      <w:r>
        <w:rPr>
          <w:rFonts w:cs="FrankRuehl"/>
          <w:sz w:val="26"/>
          <w:szCs w:val="26"/>
          <w:rtl/>
        </w:rPr>
        <w:t>חשב משרד הכלכלה והתעשיה</w:t>
      </w:r>
    </w:p>
    <w:p w14:paraId="7F31D1E8" w14:textId="77777777" w:rsidR="00FA49EB" w:rsidRDefault="00FA49EB">
      <w:pPr>
        <w:rPr>
          <w:rFonts w:cs="FrankRuehl"/>
          <w:sz w:val="26"/>
          <w:szCs w:val="26"/>
          <w:rtl/>
        </w:rPr>
      </w:pPr>
      <w:r>
        <w:rPr>
          <w:rFonts w:cs="FrankRuehl"/>
          <w:sz w:val="26"/>
          <w:szCs w:val="26"/>
          <w:rtl/>
        </w:rPr>
        <w:t>חשב החשב הכללי</w:t>
      </w:r>
    </w:p>
    <w:p w14:paraId="3B9476AC" w14:textId="354EA678" w:rsidR="00436E4E" w:rsidRPr="002E1D22" w:rsidRDefault="00FA49EB">
      <w:pPr>
        <w:rPr>
          <w:rFonts w:cs="FrankRuehl"/>
          <w:sz w:val="26"/>
          <w:szCs w:val="26"/>
          <w:rtl/>
        </w:rPr>
      </w:pPr>
      <w:r>
        <w:rPr>
          <w:rFonts w:cs="FrankRuehl"/>
          <w:sz w:val="26"/>
          <w:szCs w:val="26"/>
          <w:rtl/>
        </w:rPr>
        <w:t>חשב רשות התחרות</w:t>
      </w:r>
      <w:bookmarkEnd w:id="10"/>
    </w:p>
    <w:p w14:paraId="499975B5" w14:textId="7696EDD9" w:rsidR="00436E4E" w:rsidRPr="002E1D22" w:rsidRDefault="00436E4E">
      <w:pPr>
        <w:rPr>
          <w:rFonts w:cs="FrankRuehl"/>
          <w:sz w:val="26"/>
          <w:szCs w:val="26"/>
          <w:rtl/>
        </w:rPr>
      </w:pPr>
      <w:r w:rsidRPr="002E1D22">
        <w:rPr>
          <w:rFonts w:cs="FrankRuehl"/>
          <w:sz w:val="26"/>
          <w:szCs w:val="26"/>
          <w:rtl/>
        </w:rPr>
        <w:t xml:space="preserve">קצין תקציבים </w:t>
      </w:r>
      <w:bookmarkStart w:id="11" w:name="TAKZIV6_1"/>
      <w:r w:rsidR="00FA49EB">
        <w:rPr>
          <w:rFonts w:cs="FrankRuehl"/>
          <w:sz w:val="26"/>
          <w:szCs w:val="26"/>
          <w:rtl/>
        </w:rPr>
        <w:t>רשויות פיקוח</w:t>
      </w:r>
      <w:bookmarkEnd w:id="11"/>
    </w:p>
    <w:p w14:paraId="1F4576B3" w14:textId="172F8563" w:rsidR="00436E4E" w:rsidRPr="002E1D22" w:rsidRDefault="00436E4E">
      <w:pPr>
        <w:rPr>
          <w:rFonts w:cs="FrankRuehl"/>
          <w:sz w:val="26"/>
          <w:szCs w:val="26"/>
          <w:rtl/>
        </w:rPr>
      </w:pPr>
      <w:r w:rsidRPr="002E1D22">
        <w:rPr>
          <w:rFonts w:cs="FrankRuehl"/>
          <w:sz w:val="26"/>
          <w:szCs w:val="26"/>
          <w:rtl/>
        </w:rPr>
        <w:t xml:space="preserve">רפרנט </w:t>
      </w:r>
      <w:bookmarkStart w:id="12" w:name="TAKZIV6_2"/>
      <w:r w:rsidR="00FA49EB">
        <w:rPr>
          <w:rFonts w:cs="FrankRuehl"/>
          <w:sz w:val="26"/>
          <w:szCs w:val="26"/>
          <w:rtl/>
        </w:rPr>
        <w:t>רשויות פיקוח</w:t>
      </w:r>
      <w:bookmarkEnd w:id="12"/>
    </w:p>
    <w:p w14:paraId="46E7719E" w14:textId="255526BB" w:rsidR="00436E4E" w:rsidRPr="002E1D22" w:rsidRDefault="00FA49EB">
      <w:pPr>
        <w:rPr>
          <w:rFonts w:cs="FrankRuehl"/>
          <w:sz w:val="26"/>
          <w:szCs w:val="26"/>
          <w:rtl/>
        </w:rPr>
      </w:pPr>
      <w:bookmarkStart w:id="13" w:name="TAKZIV23"/>
      <w:r>
        <w:rPr>
          <w:rFonts w:cs="FrankRuehl"/>
          <w:sz w:val="26"/>
          <w:szCs w:val="26"/>
          <w:rtl/>
        </w:rPr>
        <w:t>נציבות שירות המדינה</w:t>
      </w:r>
      <w:bookmarkEnd w:id="13"/>
    </w:p>
    <w:p w14:paraId="37FE83E7" w14:textId="77777777" w:rsidR="00436E4E" w:rsidRPr="002E1D22" w:rsidRDefault="00436E4E">
      <w:pPr>
        <w:rPr>
          <w:rFonts w:cs="FrankRuehl"/>
          <w:sz w:val="26"/>
          <w:szCs w:val="26"/>
          <w:rtl/>
        </w:rPr>
      </w:pPr>
    </w:p>
    <w:p w14:paraId="3A43C5B7" w14:textId="77777777" w:rsidR="00710FD8" w:rsidRDefault="00710FD8" w:rsidP="00710FD8">
      <w:pPr>
        <w:contextualSpacing/>
        <w:rPr>
          <w:rFonts w:ascii="FrankRuehl" w:hAnsi="FrankRuehl" w:cs="FrankRuehl" w:hint="cs"/>
          <w:b/>
          <w:bCs/>
          <w:sz w:val="26"/>
        </w:rPr>
      </w:pPr>
      <w:bookmarkStart w:id="14" w:name="TAKZIV25"/>
      <w:bookmarkEnd w:id="14"/>
    </w:p>
    <w:tbl>
      <w:tblPr>
        <w:tblW w:w="9840" w:type="dxa"/>
        <w:tblLook w:val="04A0" w:firstRow="1" w:lastRow="0" w:firstColumn="1" w:lastColumn="0" w:noHBand="0" w:noVBand="1"/>
      </w:tblPr>
      <w:tblGrid>
        <w:gridCol w:w="1140"/>
        <w:gridCol w:w="1420"/>
        <w:gridCol w:w="980"/>
        <w:gridCol w:w="1140"/>
        <w:gridCol w:w="980"/>
        <w:gridCol w:w="1140"/>
        <w:gridCol w:w="980"/>
        <w:gridCol w:w="1140"/>
        <w:gridCol w:w="920"/>
      </w:tblGrid>
      <w:tr w:rsidR="00710FD8" w14:paraId="2C9260BB" w14:textId="77777777" w:rsidTr="005E4429">
        <w:trPr>
          <w:trHeight w:val="675"/>
        </w:trPr>
        <w:tc>
          <w:tcPr>
            <w:tcW w:w="1140" w:type="dxa"/>
            <w:tcBorders>
              <w:top w:val="single" w:sz="4" w:space="0" w:color="979991"/>
              <w:left w:val="single" w:sz="4" w:space="0" w:color="979991"/>
              <w:bottom w:val="nil"/>
              <w:right w:val="nil"/>
            </w:tcBorders>
            <w:shd w:val="clear" w:color="auto" w:fill="F0F4FA"/>
            <w:vAlign w:val="center"/>
            <w:hideMark/>
          </w:tcPr>
          <w:p w14:paraId="5504DF1C" w14:textId="77777777" w:rsidR="00710FD8" w:rsidRDefault="00710FD8" w:rsidP="005E4429">
            <w:pPr>
              <w:rPr>
                <w:rFonts w:ascii="Calibri" w:hAnsi="Calibri" w:cs="Calibri" w:hint="cs"/>
                <w:b/>
                <w:bCs/>
                <w:color w:val="000000"/>
                <w:sz w:val="16"/>
                <w:szCs w:val="16"/>
                <w:rtl/>
              </w:rPr>
            </w:pPr>
            <w:r>
              <w:rPr>
                <w:rFonts w:ascii="Calibri" w:hAnsi="Calibri" w:cs="Calibri"/>
                <w:b/>
                <w:bCs/>
                <w:color w:val="000000"/>
                <w:sz w:val="16"/>
                <w:szCs w:val="16"/>
                <w:rtl/>
              </w:rPr>
              <w:t>קוד תוכנית</w:t>
            </w:r>
          </w:p>
        </w:tc>
        <w:tc>
          <w:tcPr>
            <w:tcW w:w="1420" w:type="dxa"/>
            <w:tcBorders>
              <w:top w:val="single" w:sz="4" w:space="0" w:color="979991"/>
              <w:left w:val="single" w:sz="4" w:space="0" w:color="979991"/>
              <w:bottom w:val="single" w:sz="4" w:space="0" w:color="979991"/>
              <w:right w:val="nil"/>
            </w:tcBorders>
            <w:shd w:val="clear" w:color="auto" w:fill="F0F4FA"/>
            <w:vAlign w:val="center"/>
            <w:hideMark/>
          </w:tcPr>
          <w:p w14:paraId="36F02903" w14:textId="77777777" w:rsidR="00710FD8" w:rsidRDefault="00710FD8" w:rsidP="005E4429">
            <w:pPr>
              <w:rPr>
                <w:rFonts w:ascii="Calibri" w:hAnsi="Calibri" w:cs="Calibri"/>
                <w:b/>
                <w:bCs/>
                <w:color w:val="000000"/>
                <w:sz w:val="16"/>
                <w:szCs w:val="16"/>
              </w:rPr>
            </w:pPr>
            <w:r>
              <w:rPr>
                <w:rFonts w:ascii="Calibri" w:hAnsi="Calibri" w:cs="Calibri"/>
                <w:b/>
                <w:bCs/>
                <w:color w:val="000000"/>
                <w:sz w:val="16"/>
                <w:szCs w:val="16"/>
                <w:rtl/>
              </w:rPr>
              <w:t>השינוי התקציב המוצע בפנייה הוצאות נטו</w:t>
            </w:r>
          </w:p>
        </w:tc>
        <w:tc>
          <w:tcPr>
            <w:tcW w:w="980" w:type="dxa"/>
            <w:tcBorders>
              <w:top w:val="single" w:sz="4" w:space="0" w:color="979991"/>
              <w:left w:val="single" w:sz="4" w:space="0" w:color="979991"/>
              <w:bottom w:val="single" w:sz="4" w:space="0" w:color="979991"/>
              <w:right w:val="nil"/>
            </w:tcBorders>
            <w:shd w:val="clear" w:color="auto" w:fill="F0F4FA"/>
            <w:vAlign w:val="center"/>
            <w:hideMark/>
          </w:tcPr>
          <w:p w14:paraId="36622AE3" w14:textId="77777777" w:rsidR="00710FD8" w:rsidRDefault="00710FD8" w:rsidP="005E4429">
            <w:pPr>
              <w:rPr>
                <w:rFonts w:ascii="Calibri" w:hAnsi="Calibri" w:cs="Calibri"/>
                <w:b/>
                <w:bCs/>
                <w:color w:val="000000"/>
                <w:sz w:val="16"/>
                <w:szCs w:val="16"/>
                <w:rtl/>
              </w:rPr>
            </w:pPr>
            <w:r>
              <w:rPr>
                <w:rFonts w:ascii="Calibri" w:hAnsi="Calibri" w:cs="Calibri"/>
                <w:b/>
                <w:bCs/>
                <w:color w:val="000000"/>
                <w:sz w:val="16"/>
                <w:szCs w:val="16"/>
                <w:rtl/>
              </w:rPr>
              <w:t>מקורי 2026</w:t>
            </w:r>
          </w:p>
        </w:tc>
        <w:tc>
          <w:tcPr>
            <w:tcW w:w="1140" w:type="dxa"/>
            <w:tcBorders>
              <w:top w:val="single" w:sz="4" w:space="0" w:color="979991"/>
              <w:left w:val="single" w:sz="4" w:space="0" w:color="979991"/>
              <w:bottom w:val="single" w:sz="4" w:space="0" w:color="979991"/>
              <w:right w:val="nil"/>
            </w:tcBorders>
            <w:shd w:val="clear" w:color="auto" w:fill="F0F4FA"/>
            <w:vAlign w:val="center"/>
            <w:hideMark/>
          </w:tcPr>
          <w:p w14:paraId="6F141549" w14:textId="77777777" w:rsidR="00710FD8" w:rsidRDefault="00710FD8" w:rsidP="005E4429">
            <w:pPr>
              <w:rPr>
                <w:rFonts w:ascii="Calibri" w:hAnsi="Calibri" w:cs="Calibri"/>
                <w:b/>
                <w:bCs/>
                <w:color w:val="000000"/>
                <w:sz w:val="16"/>
                <w:szCs w:val="16"/>
                <w:rtl/>
              </w:rPr>
            </w:pPr>
            <w:r>
              <w:rPr>
                <w:rFonts w:ascii="Calibri" w:hAnsi="Calibri" w:cs="Calibri"/>
                <w:b/>
                <w:bCs/>
                <w:color w:val="000000"/>
                <w:sz w:val="16"/>
                <w:szCs w:val="16"/>
                <w:rtl/>
              </w:rPr>
              <w:t xml:space="preserve">מאושר 2025 בניכוי עודפים שעברו ב-2025 </w:t>
            </w:r>
          </w:p>
        </w:tc>
        <w:tc>
          <w:tcPr>
            <w:tcW w:w="980" w:type="dxa"/>
            <w:tcBorders>
              <w:top w:val="single" w:sz="4" w:space="0" w:color="979991"/>
              <w:left w:val="single" w:sz="4" w:space="0" w:color="979991"/>
              <w:bottom w:val="single" w:sz="4" w:space="0" w:color="979991"/>
              <w:right w:val="nil"/>
            </w:tcBorders>
            <w:shd w:val="clear" w:color="auto" w:fill="F0F4FA"/>
            <w:vAlign w:val="center"/>
            <w:hideMark/>
          </w:tcPr>
          <w:p w14:paraId="70819504" w14:textId="77777777" w:rsidR="00710FD8" w:rsidRDefault="00710FD8" w:rsidP="005E4429">
            <w:pP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1140" w:type="dxa"/>
            <w:tcBorders>
              <w:top w:val="single" w:sz="4" w:space="0" w:color="979991"/>
              <w:left w:val="single" w:sz="4" w:space="0" w:color="979991"/>
              <w:bottom w:val="single" w:sz="4" w:space="0" w:color="979991"/>
              <w:right w:val="nil"/>
            </w:tcBorders>
            <w:shd w:val="clear" w:color="auto" w:fill="F0F4FA"/>
            <w:vAlign w:val="center"/>
            <w:hideMark/>
          </w:tcPr>
          <w:p w14:paraId="363EB244" w14:textId="77777777" w:rsidR="00710FD8" w:rsidRDefault="00710FD8" w:rsidP="005E4429">
            <w:pPr>
              <w:rPr>
                <w:rFonts w:ascii="Calibri" w:hAnsi="Calibri" w:cs="Calibri"/>
                <w:b/>
                <w:bCs/>
                <w:color w:val="000000"/>
                <w:sz w:val="16"/>
                <w:szCs w:val="16"/>
                <w:rtl/>
              </w:rPr>
            </w:pPr>
            <w:r>
              <w:rPr>
                <w:rFonts w:ascii="Calibri" w:hAnsi="Calibri" w:cs="Calibri"/>
                <w:b/>
                <w:bCs/>
                <w:color w:val="000000"/>
                <w:sz w:val="16"/>
                <w:szCs w:val="16"/>
                <w:rtl/>
              </w:rPr>
              <w:t>מאושר 2024 בניכוי עודפים שעברו ב-2024</w:t>
            </w:r>
          </w:p>
        </w:tc>
        <w:tc>
          <w:tcPr>
            <w:tcW w:w="980" w:type="dxa"/>
            <w:tcBorders>
              <w:top w:val="single" w:sz="4" w:space="0" w:color="979991"/>
              <w:left w:val="single" w:sz="4" w:space="0" w:color="979991"/>
              <w:bottom w:val="single" w:sz="4" w:space="0" w:color="979991"/>
              <w:right w:val="nil"/>
            </w:tcBorders>
            <w:shd w:val="clear" w:color="auto" w:fill="F0F4FA"/>
            <w:vAlign w:val="center"/>
            <w:hideMark/>
          </w:tcPr>
          <w:p w14:paraId="1E499F44" w14:textId="77777777" w:rsidR="00710FD8" w:rsidRDefault="00710FD8" w:rsidP="005E4429">
            <w:pP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1140" w:type="dxa"/>
            <w:tcBorders>
              <w:top w:val="single" w:sz="4" w:space="0" w:color="979991"/>
              <w:left w:val="single" w:sz="4" w:space="0" w:color="979991"/>
              <w:bottom w:val="single" w:sz="4" w:space="0" w:color="979991"/>
              <w:right w:val="nil"/>
            </w:tcBorders>
            <w:shd w:val="clear" w:color="auto" w:fill="F0F4FA"/>
            <w:vAlign w:val="center"/>
            <w:hideMark/>
          </w:tcPr>
          <w:p w14:paraId="096FAEE6" w14:textId="77777777" w:rsidR="00710FD8" w:rsidRDefault="00710FD8" w:rsidP="005E4429">
            <w:pPr>
              <w:rPr>
                <w:rFonts w:ascii="Calibri" w:hAnsi="Calibri" w:cs="Calibri"/>
                <w:b/>
                <w:bCs/>
                <w:color w:val="000000"/>
                <w:sz w:val="16"/>
                <w:szCs w:val="16"/>
                <w:rtl/>
              </w:rPr>
            </w:pPr>
            <w:r>
              <w:rPr>
                <w:rFonts w:ascii="Calibri" w:hAnsi="Calibri" w:cs="Calibri"/>
                <w:b/>
                <w:bCs/>
                <w:color w:val="000000"/>
                <w:sz w:val="16"/>
                <w:szCs w:val="16"/>
                <w:rtl/>
              </w:rPr>
              <w:t>מאושר 2023 בניכוי עודפים שעברו ב-2023</w:t>
            </w:r>
          </w:p>
        </w:tc>
        <w:tc>
          <w:tcPr>
            <w:tcW w:w="920" w:type="dxa"/>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1C957411" w14:textId="77777777" w:rsidR="00710FD8" w:rsidRDefault="00710FD8" w:rsidP="005E4429">
            <w:pP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710FD8" w14:paraId="2C9B2018" w14:textId="77777777" w:rsidTr="005E4429">
        <w:trPr>
          <w:trHeight w:val="300"/>
        </w:trPr>
        <w:tc>
          <w:tcPr>
            <w:tcW w:w="1140" w:type="dxa"/>
            <w:tcBorders>
              <w:top w:val="single" w:sz="4" w:space="0" w:color="979991"/>
              <w:left w:val="single" w:sz="4" w:space="0" w:color="979991"/>
              <w:bottom w:val="single" w:sz="4" w:space="0" w:color="979991"/>
              <w:right w:val="nil"/>
            </w:tcBorders>
            <w:shd w:val="clear" w:color="auto" w:fill="F0F4FA"/>
            <w:vAlign w:val="center"/>
            <w:hideMark/>
          </w:tcPr>
          <w:p w14:paraId="0695B463" w14:textId="77777777" w:rsidR="00710FD8" w:rsidRDefault="00710FD8" w:rsidP="005E4429">
            <w:pPr>
              <w:bidi w:val="0"/>
              <w:rPr>
                <w:rFonts w:ascii="Calibri" w:hAnsi="Calibri" w:cs="Calibri"/>
                <w:color w:val="000000"/>
                <w:sz w:val="16"/>
                <w:szCs w:val="16"/>
                <w:rtl/>
              </w:rPr>
            </w:pPr>
            <w:r>
              <w:rPr>
                <w:rFonts w:ascii="Calibri" w:hAnsi="Calibri" w:cs="Calibri"/>
                <w:color w:val="000000"/>
                <w:sz w:val="16"/>
                <w:szCs w:val="16"/>
              </w:rPr>
              <w:t>541001</w:t>
            </w:r>
          </w:p>
        </w:tc>
        <w:tc>
          <w:tcPr>
            <w:tcW w:w="1420" w:type="dxa"/>
            <w:tcBorders>
              <w:top w:val="nil"/>
              <w:left w:val="single" w:sz="4" w:space="0" w:color="979991"/>
              <w:bottom w:val="single" w:sz="4" w:space="0" w:color="979991"/>
              <w:right w:val="nil"/>
            </w:tcBorders>
            <w:shd w:val="clear" w:color="auto" w:fill="FFFFFF"/>
            <w:vAlign w:val="center"/>
            <w:hideMark/>
          </w:tcPr>
          <w:p w14:paraId="3835F443" w14:textId="77777777" w:rsidR="00710FD8" w:rsidRDefault="00710FD8" w:rsidP="005E4429">
            <w:pPr>
              <w:bidi w:val="0"/>
              <w:rPr>
                <w:rFonts w:ascii="Calibri" w:hAnsi="Calibri" w:cs="Calibri" w:hint="cs"/>
                <w:color w:val="000000"/>
                <w:sz w:val="16"/>
                <w:szCs w:val="16"/>
                <w:rtl/>
              </w:rPr>
            </w:pPr>
            <w:r>
              <w:rPr>
                <w:rFonts w:ascii="Calibri" w:hAnsi="Calibri" w:cs="Calibri"/>
                <w:color w:val="000000"/>
                <w:sz w:val="16"/>
                <w:szCs w:val="16"/>
              </w:rPr>
              <w:t>0</w:t>
            </w:r>
          </w:p>
        </w:tc>
        <w:tc>
          <w:tcPr>
            <w:tcW w:w="980" w:type="dxa"/>
            <w:tcBorders>
              <w:top w:val="nil"/>
              <w:left w:val="single" w:sz="4" w:space="0" w:color="979991"/>
              <w:bottom w:val="single" w:sz="4" w:space="0" w:color="979991"/>
              <w:right w:val="nil"/>
            </w:tcBorders>
            <w:shd w:val="clear" w:color="auto" w:fill="FFFFFF"/>
            <w:vAlign w:val="center"/>
            <w:hideMark/>
          </w:tcPr>
          <w:p w14:paraId="08E86DF5" w14:textId="77777777" w:rsidR="00710FD8" w:rsidRDefault="00710FD8" w:rsidP="005E4429">
            <w:pPr>
              <w:bidi w:val="0"/>
              <w:rPr>
                <w:rFonts w:ascii="Calibri" w:hAnsi="Calibri" w:cs="Calibri"/>
                <w:color w:val="000000"/>
                <w:sz w:val="16"/>
                <w:szCs w:val="16"/>
              </w:rPr>
            </w:pPr>
            <w:r>
              <w:rPr>
                <w:rFonts w:ascii="Calibri" w:hAnsi="Calibri" w:cs="Calibri"/>
                <w:color w:val="000000"/>
                <w:sz w:val="16"/>
                <w:szCs w:val="16"/>
              </w:rPr>
              <w:t>46,515</w:t>
            </w:r>
          </w:p>
        </w:tc>
        <w:tc>
          <w:tcPr>
            <w:tcW w:w="1140" w:type="dxa"/>
            <w:tcBorders>
              <w:top w:val="nil"/>
              <w:left w:val="single" w:sz="4" w:space="0" w:color="979991"/>
              <w:bottom w:val="single" w:sz="4" w:space="0" w:color="979991"/>
              <w:right w:val="nil"/>
            </w:tcBorders>
            <w:shd w:val="clear" w:color="auto" w:fill="FFFFFF"/>
            <w:vAlign w:val="center"/>
            <w:hideMark/>
          </w:tcPr>
          <w:p w14:paraId="57CF0BA5" w14:textId="77777777" w:rsidR="00710FD8" w:rsidRDefault="00710FD8" w:rsidP="005E4429">
            <w:pPr>
              <w:bidi w:val="0"/>
              <w:rPr>
                <w:rFonts w:ascii="Calibri" w:hAnsi="Calibri" w:cs="Calibri"/>
                <w:color w:val="000000"/>
                <w:sz w:val="16"/>
                <w:szCs w:val="16"/>
              </w:rPr>
            </w:pPr>
            <w:r>
              <w:rPr>
                <w:rFonts w:ascii="Calibri" w:hAnsi="Calibri" w:cs="Calibri"/>
                <w:color w:val="000000"/>
                <w:sz w:val="16"/>
                <w:szCs w:val="16"/>
              </w:rPr>
              <w:t>44,601</w:t>
            </w:r>
          </w:p>
        </w:tc>
        <w:tc>
          <w:tcPr>
            <w:tcW w:w="980" w:type="dxa"/>
            <w:tcBorders>
              <w:top w:val="nil"/>
              <w:left w:val="single" w:sz="4" w:space="0" w:color="979991"/>
              <w:bottom w:val="single" w:sz="4" w:space="0" w:color="979991"/>
              <w:right w:val="nil"/>
            </w:tcBorders>
            <w:shd w:val="clear" w:color="auto" w:fill="FFFFFF"/>
            <w:vAlign w:val="center"/>
            <w:hideMark/>
          </w:tcPr>
          <w:p w14:paraId="3CFEA942" w14:textId="77777777" w:rsidR="00710FD8" w:rsidRDefault="00710FD8" w:rsidP="005E4429">
            <w:pPr>
              <w:bidi w:val="0"/>
              <w:rPr>
                <w:rFonts w:ascii="Calibri" w:hAnsi="Calibri" w:cs="Calibri"/>
                <w:color w:val="000000"/>
                <w:sz w:val="16"/>
                <w:szCs w:val="16"/>
              </w:rPr>
            </w:pPr>
            <w:r>
              <w:rPr>
                <w:rFonts w:ascii="Calibri" w:hAnsi="Calibri" w:cs="Calibri"/>
                <w:color w:val="000000"/>
                <w:sz w:val="16"/>
                <w:szCs w:val="16"/>
              </w:rPr>
              <w:t>44,415</w:t>
            </w:r>
          </w:p>
        </w:tc>
        <w:tc>
          <w:tcPr>
            <w:tcW w:w="1140" w:type="dxa"/>
            <w:tcBorders>
              <w:top w:val="nil"/>
              <w:left w:val="single" w:sz="4" w:space="0" w:color="979991"/>
              <w:bottom w:val="single" w:sz="4" w:space="0" w:color="979991"/>
              <w:right w:val="nil"/>
            </w:tcBorders>
            <w:shd w:val="clear" w:color="auto" w:fill="FFFFFF"/>
            <w:vAlign w:val="center"/>
            <w:hideMark/>
          </w:tcPr>
          <w:p w14:paraId="10B02D89" w14:textId="77777777" w:rsidR="00710FD8" w:rsidRDefault="00710FD8" w:rsidP="005E4429">
            <w:pPr>
              <w:bidi w:val="0"/>
              <w:rPr>
                <w:rFonts w:ascii="Calibri" w:hAnsi="Calibri" w:cs="Calibri"/>
                <w:color w:val="000000"/>
                <w:sz w:val="16"/>
                <w:szCs w:val="16"/>
              </w:rPr>
            </w:pPr>
            <w:r>
              <w:rPr>
                <w:rFonts w:ascii="Calibri" w:hAnsi="Calibri" w:cs="Calibri"/>
                <w:color w:val="000000"/>
                <w:sz w:val="16"/>
                <w:szCs w:val="16"/>
              </w:rPr>
              <w:t>43,444</w:t>
            </w:r>
          </w:p>
        </w:tc>
        <w:tc>
          <w:tcPr>
            <w:tcW w:w="980" w:type="dxa"/>
            <w:tcBorders>
              <w:top w:val="nil"/>
              <w:left w:val="single" w:sz="4" w:space="0" w:color="979991"/>
              <w:bottom w:val="single" w:sz="4" w:space="0" w:color="979991"/>
              <w:right w:val="nil"/>
            </w:tcBorders>
            <w:shd w:val="clear" w:color="auto" w:fill="FFFFFF"/>
            <w:vAlign w:val="center"/>
            <w:hideMark/>
          </w:tcPr>
          <w:p w14:paraId="51CF8B1A" w14:textId="77777777" w:rsidR="00710FD8" w:rsidRDefault="00710FD8" w:rsidP="005E4429">
            <w:pPr>
              <w:bidi w:val="0"/>
              <w:rPr>
                <w:rFonts w:ascii="Calibri" w:hAnsi="Calibri" w:cs="Calibri"/>
                <w:color w:val="000000"/>
                <w:sz w:val="16"/>
                <w:szCs w:val="16"/>
              </w:rPr>
            </w:pPr>
            <w:r>
              <w:rPr>
                <w:rFonts w:ascii="Calibri" w:hAnsi="Calibri" w:cs="Calibri"/>
                <w:color w:val="000000"/>
                <w:sz w:val="16"/>
                <w:szCs w:val="16"/>
              </w:rPr>
              <w:t>43,444</w:t>
            </w:r>
          </w:p>
        </w:tc>
        <w:tc>
          <w:tcPr>
            <w:tcW w:w="1140" w:type="dxa"/>
            <w:tcBorders>
              <w:top w:val="nil"/>
              <w:left w:val="single" w:sz="4" w:space="0" w:color="979991"/>
              <w:bottom w:val="single" w:sz="4" w:space="0" w:color="979991"/>
              <w:right w:val="nil"/>
            </w:tcBorders>
            <w:shd w:val="clear" w:color="auto" w:fill="FFFFFF"/>
            <w:vAlign w:val="center"/>
            <w:hideMark/>
          </w:tcPr>
          <w:p w14:paraId="22185657" w14:textId="77777777" w:rsidR="00710FD8" w:rsidRDefault="00710FD8" w:rsidP="005E4429">
            <w:pPr>
              <w:bidi w:val="0"/>
              <w:rPr>
                <w:rFonts w:ascii="Calibri" w:hAnsi="Calibri" w:cs="Calibri"/>
                <w:color w:val="000000"/>
                <w:sz w:val="16"/>
                <w:szCs w:val="16"/>
              </w:rPr>
            </w:pPr>
            <w:r>
              <w:rPr>
                <w:rFonts w:ascii="Calibri" w:hAnsi="Calibri" w:cs="Calibri"/>
                <w:color w:val="000000"/>
                <w:sz w:val="16"/>
                <w:szCs w:val="16"/>
              </w:rPr>
              <w:t>41,870</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1AB4FEAE" w14:textId="77777777" w:rsidR="00710FD8" w:rsidRDefault="00710FD8" w:rsidP="005E4429">
            <w:pPr>
              <w:bidi w:val="0"/>
              <w:rPr>
                <w:rFonts w:ascii="Calibri" w:hAnsi="Calibri" w:cs="Calibri"/>
                <w:color w:val="000000"/>
                <w:sz w:val="16"/>
                <w:szCs w:val="16"/>
              </w:rPr>
            </w:pPr>
            <w:r>
              <w:rPr>
                <w:rFonts w:ascii="Calibri" w:hAnsi="Calibri" w:cs="Calibri"/>
                <w:color w:val="000000"/>
                <w:sz w:val="16"/>
                <w:szCs w:val="16"/>
              </w:rPr>
              <w:t>41,367</w:t>
            </w:r>
          </w:p>
        </w:tc>
      </w:tr>
      <w:tr w:rsidR="00710FD8" w14:paraId="56B99B9D" w14:textId="77777777" w:rsidTr="005E4429">
        <w:trPr>
          <w:trHeight w:val="300"/>
        </w:trPr>
        <w:tc>
          <w:tcPr>
            <w:tcW w:w="1140" w:type="dxa"/>
            <w:tcBorders>
              <w:top w:val="nil"/>
              <w:left w:val="single" w:sz="4" w:space="0" w:color="979991"/>
              <w:bottom w:val="single" w:sz="4" w:space="0" w:color="979991"/>
              <w:right w:val="nil"/>
            </w:tcBorders>
            <w:shd w:val="clear" w:color="auto" w:fill="F0F4FA"/>
            <w:vAlign w:val="center"/>
            <w:hideMark/>
          </w:tcPr>
          <w:p w14:paraId="562B0C1D" w14:textId="77777777" w:rsidR="00710FD8" w:rsidRDefault="00710FD8" w:rsidP="005E4429">
            <w:pPr>
              <w:bidi w:val="0"/>
              <w:rPr>
                <w:rFonts w:ascii="Calibri" w:hAnsi="Calibri" w:cs="Calibri"/>
                <w:color w:val="000000"/>
                <w:sz w:val="16"/>
                <w:szCs w:val="16"/>
              </w:rPr>
            </w:pPr>
            <w:r>
              <w:rPr>
                <w:rFonts w:ascii="Calibri" w:hAnsi="Calibri" w:cs="Calibri"/>
                <w:color w:val="000000"/>
                <w:sz w:val="16"/>
                <w:szCs w:val="16"/>
              </w:rPr>
              <w:t>541101</w:t>
            </w:r>
          </w:p>
        </w:tc>
        <w:tc>
          <w:tcPr>
            <w:tcW w:w="1420" w:type="dxa"/>
            <w:tcBorders>
              <w:top w:val="nil"/>
              <w:left w:val="single" w:sz="4" w:space="0" w:color="979991"/>
              <w:bottom w:val="single" w:sz="4" w:space="0" w:color="979991"/>
              <w:right w:val="nil"/>
            </w:tcBorders>
            <w:shd w:val="clear" w:color="auto" w:fill="FFFFFF"/>
            <w:vAlign w:val="center"/>
            <w:hideMark/>
          </w:tcPr>
          <w:p w14:paraId="4C7C94BE" w14:textId="77777777" w:rsidR="00710FD8" w:rsidRDefault="00710FD8" w:rsidP="005E4429">
            <w:pPr>
              <w:bidi w:val="0"/>
              <w:rPr>
                <w:rFonts w:ascii="Calibri" w:hAnsi="Calibri" w:cs="Calibri"/>
                <w:color w:val="000000"/>
                <w:sz w:val="16"/>
                <w:szCs w:val="16"/>
              </w:rPr>
            </w:pPr>
            <w:r>
              <w:rPr>
                <w:rFonts w:ascii="Calibri" w:hAnsi="Calibri" w:cs="Calibri"/>
                <w:color w:val="000000"/>
                <w:sz w:val="16"/>
                <w:szCs w:val="16"/>
              </w:rPr>
              <w:t>313</w:t>
            </w:r>
          </w:p>
        </w:tc>
        <w:tc>
          <w:tcPr>
            <w:tcW w:w="980" w:type="dxa"/>
            <w:tcBorders>
              <w:top w:val="nil"/>
              <w:left w:val="single" w:sz="4" w:space="0" w:color="979991"/>
              <w:bottom w:val="single" w:sz="4" w:space="0" w:color="979991"/>
              <w:right w:val="nil"/>
            </w:tcBorders>
            <w:shd w:val="clear" w:color="auto" w:fill="FFFFFF"/>
            <w:vAlign w:val="center"/>
            <w:hideMark/>
          </w:tcPr>
          <w:p w14:paraId="62631F8D" w14:textId="77777777" w:rsidR="00710FD8" w:rsidRDefault="00710FD8" w:rsidP="005E4429">
            <w:pPr>
              <w:bidi w:val="0"/>
              <w:rPr>
                <w:rFonts w:ascii="Calibri" w:hAnsi="Calibri" w:cs="Calibri"/>
                <w:color w:val="000000"/>
                <w:sz w:val="16"/>
                <w:szCs w:val="16"/>
              </w:rPr>
            </w:pPr>
            <w:r>
              <w:rPr>
                <w:rFonts w:ascii="Calibri" w:hAnsi="Calibri" w:cs="Calibri"/>
                <w:color w:val="000000"/>
                <w:sz w:val="16"/>
                <w:szCs w:val="16"/>
              </w:rPr>
              <w:t>20,438</w:t>
            </w:r>
          </w:p>
        </w:tc>
        <w:tc>
          <w:tcPr>
            <w:tcW w:w="1140" w:type="dxa"/>
            <w:tcBorders>
              <w:top w:val="nil"/>
              <w:left w:val="single" w:sz="4" w:space="0" w:color="979991"/>
              <w:bottom w:val="single" w:sz="4" w:space="0" w:color="979991"/>
              <w:right w:val="nil"/>
            </w:tcBorders>
            <w:shd w:val="clear" w:color="auto" w:fill="FFFFFF"/>
            <w:vAlign w:val="center"/>
            <w:hideMark/>
          </w:tcPr>
          <w:p w14:paraId="0FBE5EF5" w14:textId="77777777" w:rsidR="00710FD8" w:rsidRDefault="00710FD8" w:rsidP="005E4429">
            <w:pPr>
              <w:bidi w:val="0"/>
              <w:rPr>
                <w:rFonts w:ascii="Calibri" w:hAnsi="Calibri" w:cs="Calibri"/>
                <w:color w:val="000000"/>
                <w:sz w:val="16"/>
                <w:szCs w:val="16"/>
              </w:rPr>
            </w:pPr>
            <w:r>
              <w:rPr>
                <w:rFonts w:ascii="Calibri" w:hAnsi="Calibri" w:cs="Calibri"/>
                <w:color w:val="000000"/>
                <w:sz w:val="16"/>
                <w:szCs w:val="16"/>
              </w:rPr>
              <w:t>20,497</w:t>
            </w:r>
          </w:p>
        </w:tc>
        <w:tc>
          <w:tcPr>
            <w:tcW w:w="980" w:type="dxa"/>
            <w:tcBorders>
              <w:top w:val="nil"/>
              <w:left w:val="single" w:sz="4" w:space="0" w:color="979991"/>
              <w:bottom w:val="single" w:sz="4" w:space="0" w:color="979991"/>
              <w:right w:val="nil"/>
            </w:tcBorders>
            <w:shd w:val="clear" w:color="auto" w:fill="FFFFFF"/>
            <w:vAlign w:val="center"/>
            <w:hideMark/>
          </w:tcPr>
          <w:p w14:paraId="154DA4B7" w14:textId="77777777" w:rsidR="00710FD8" w:rsidRDefault="00710FD8" w:rsidP="005E4429">
            <w:pPr>
              <w:bidi w:val="0"/>
              <w:rPr>
                <w:rFonts w:ascii="Calibri" w:hAnsi="Calibri" w:cs="Calibri"/>
                <w:color w:val="000000"/>
                <w:sz w:val="16"/>
                <w:szCs w:val="16"/>
              </w:rPr>
            </w:pPr>
            <w:r>
              <w:rPr>
                <w:rFonts w:ascii="Calibri" w:hAnsi="Calibri" w:cs="Calibri"/>
                <w:color w:val="000000"/>
                <w:sz w:val="16"/>
                <w:szCs w:val="16"/>
              </w:rPr>
              <w:t>19,768</w:t>
            </w:r>
          </w:p>
        </w:tc>
        <w:tc>
          <w:tcPr>
            <w:tcW w:w="1140" w:type="dxa"/>
            <w:tcBorders>
              <w:top w:val="nil"/>
              <w:left w:val="single" w:sz="4" w:space="0" w:color="979991"/>
              <w:bottom w:val="single" w:sz="4" w:space="0" w:color="979991"/>
              <w:right w:val="nil"/>
            </w:tcBorders>
            <w:shd w:val="clear" w:color="auto" w:fill="FFFFFF"/>
            <w:vAlign w:val="center"/>
            <w:hideMark/>
          </w:tcPr>
          <w:p w14:paraId="5EB4AD70" w14:textId="77777777" w:rsidR="00710FD8" w:rsidRDefault="00710FD8" w:rsidP="005E4429">
            <w:pPr>
              <w:bidi w:val="0"/>
              <w:rPr>
                <w:rFonts w:ascii="Calibri" w:hAnsi="Calibri" w:cs="Calibri"/>
                <w:color w:val="000000"/>
                <w:sz w:val="16"/>
                <w:szCs w:val="16"/>
              </w:rPr>
            </w:pPr>
            <w:r>
              <w:rPr>
                <w:rFonts w:ascii="Calibri" w:hAnsi="Calibri" w:cs="Calibri"/>
                <w:color w:val="000000"/>
                <w:sz w:val="16"/>
                <w:szCs w:val="16"/>
              </w:rPr>
              <w:t>19,011</w:t>
            </w:r>
          </w:p>
        </w:tc>
        <w:tc>
          <w:tcPr>
            <w:tcW w:w="980" w:type="dxa"/>
            <w:tcBorders>
              <w:top w:val="nil"/>
              <w:left w:val="single" w:sz="4" w:space="0" w:color="979991"/>
              <w:bottom w:val="single" w:sz="4" w:space="0" w:color="979991"/>
              <w:right w:val="nil"/>
            </w:tcBorders>
            <w:shd w:val="clear" w:color="auto" w:fill="FFFFFF"/>
            <w:vAlign w:val="center"/>
            <w:hideMark/>
          </w:tcPr>
          <w:p w14:paraId="546E7AED" w14:textId="77777777" w:rsidR="00710FD8" w:rsidRDefault="00710FD8" w:rsidP="005E4429">
            <w:pPr>
              <w:bidi w:val="0"/>
              <w:rPr>
                <w:rFonts w:ascii="Calibri" w:hAnsi="Calibri" w:cs="Calibri"/>
                <w:color w:val="000000"/>
                <w:sz w:val="16"/>
                <w:szCs w:val="16"/>
              </w:rPr>
            </w:pPr>
            <w:r>
              <w:rPr>
                <w:rFonts w:ascii="Calibri" w:hAnsi="Calibri" w:cs="Calibri"/>
                <w:color w:val="000000"/>
                <w:sz w:val="16"/>
                <w:szCs w:val="16"/>
              </w:rPr>
              <w:t>19,011</w:t>
            </w:r>
          </w:p>
        </w:tc>
        <w:tc>
          <w:tcPr>
            <w:tcW w:w="1140" w:type="dxa"/>
            <w:tcBorders>
              <w:top w:val="nil"/>
              <w:left w:val="single" w:sz="4" w:space="0" w:color="979991"/>
              <w:bottom w:val="single" w:sz="4" w:space="0" w:color="979991"/>
              <w:right w:val="nil"/>
            </w:tcBorders>
            <w:shd w:val="clear" w:color="auto" w:fill="FFFFFF"/>
            <w:vAlign w:val="center"/>
            <w:hideMark/>
          </w:tcPr>
          <w:p w14:paraId="2D6EBCC0" w14:textId="77777777" w:rsidR="00710FD8" w:rsidRDefault="00710FD8" w:rsidP="005E4429">
            <w:pPr>
              <w:bidi w:val="0"/>
              <w:rPr>
                <w:rFonts w:ascii="Calibri" w:hAnsi="Calibri" w:cs="Calibri"/>
                <w:color w:val="000000"/>
                <w:sz w:val="16"/>
                <w:szCs w:val="16"/>
              </w:rPr>
            </w:pPr>
            <w:r>
              <w:rPr>
                <w:rFonts w:ascii="Calibri" w:hAnsi="Calibri" w:cs="Calibri"/>
                <w:color w:val="000000"/>
                <w:sz w:val="16"/>
                <w:szCs w:val="16"/>
              </w:rPr>
              <w:t>20,587</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0C4BE5C0" w14:textId="77777777" w:rsidR="00710FD8" w:rsidRDefault="00710FD8" w:rsidP="005E4429">
            <w:pPr>
              <w:bidi w:val="0"/>
              <w:rPr>
                <w:rFonts w:ascii="Calibri" w:hAnsi="Calibri" w:cs="Calibri"/>
                <w:color w:val="000000"/>
                <w:sz w:val="16"/>
                <w:szCs w:val="16"/>
              </w:rPr>
            </w:pPr>
            <w:r>
              <w:rPr>
                <w:rFonts w:ascii="Calibri" w:hAnsi="Calibri" w:cs="Calibri"/>
                <w:color w:val="000000"/>
                <w:sz w:val="16"/>
                <w:szCs w:val="16"/>
              </w:rPr>
              <w:t>18,930</w:t>
            </w:r>
          </w:p>
        </w:tc>
      </w:tr>
      <w:tr w:rsidR="00710FD8" w14:paraId="57B25E6D" w14:textId="77777777" w:rsidTr="005E4429">
        <w:trPr>
          <w:trHeight w:val="300"/>
        </w:trPr>
        <w:tc>
          <w:tcPr>
            <w:tcW w:w="1140" w:type="dxa"/>
            <w:tcBorders>
              <w:top w:val="nil"/>
              <w:left w:val="single" w:sz="4" w:space="0" w:color="979991"/>
              <w:bottom w:val="single" w:sz="4" w:space="0" w:color="979991"/>
              <w:right w:val="nil"/>
            </w:tcBorders>
            <w:shd w:val="clear" w:color="auto" w:fill="F0F4FA"/>
            <w:vAlign w:val="center"/>
            <w:hideMark/>
          </w:tcPr>
          <w:p w14:paraId="2993BDF6" w14:textId="77777777" w:rsidR="00710FD8" w:rsidRDefault="00710FD8" w:rsidP="005E4429">
            <w:pPr>
              <w:bidi w:val="0"/>
              <w:rPr>
                <w:rFonts w:ascii="Calibri" w:hAnsi="Calibri" w:cs="Calibri"/>
                <w:color w:val="000000"/>
                <w:sz w:val="16"/>
                <w:szCs w:val="16"/>
              </w:rPr>
            </w:pPr>
            <w:r>
              <w:rPr>
                <w:rFonts w:ascii="Calibri" w:hAnsi="Calibri" w:cs="Calibri"/>
                <w:color w:val="000000"/>
                <w:sz w:val="16"/>
                <w:szCs w:val="16"/>
              </w:rPr>
              <w:t>541102</w:t>
            </w:r>
          </w:p>
        </w:tc>
        <w:tc>
          <w:tcPr>
            <w:tcW w:w="1420" w:type="dxa"/>
            <w:tcBorders>
              <w:top w:val="nil"/>
              <w:left w:val="single" w:sz="4" w:space="0" w:color="979991"/>
              <w:bottom w:val="single" w:sz="4" w:space="0" w:color="979991"/>
              <w:right w:val="nil"/>
            </w:tcBorders>
            <w:shd w:val="clear" w:color="auto" w:fill="FFFFFF"/>
            <w:vAlign w:val="center"/>
            <w:hideMark/>
          </w:tcPr>
          <w:p w14:paraId="23EB5DBC" w14:textId="77777777" w:rsidR="00710FD8" w:rsidRDefault="00710FD8" w:rsidP="005E4429">
            <w:pPr>
              <w:bidi w:val="0"/>
              <w:rPr>
                <w:rFonts w:ascii="Calibri" w:hAnsi="Calibri" w:cs="Calibri"/>
                <w:color w:val="000000"/>
                <w:sz w:val="16"/>
                <w:szCs w:val="16"/>
              </w:rPr>
            </w:pPr>
            <w:r>
              <w:rPr>
                <w:rFonts w:ascii="Calibri" w:hAnsi="Calibri" w:cs="Calibri"/>
                <w:color w:val="000000"/>
                <w:sz w:val="16"/>
                <w:szCs w:val="16"/>
              </w:rPr>
              <w:t>3,869</w:t>
            </w:r>
          </w:p>
        </w:tc>
        <w:tc>
          <w:tcPr>
            <w:tcW w:w="980" w:type="dxa"/>
            <w:tcBorders>
              <w:top w:val="nil"/>
              <w:left w:val="single" w:sz="4" w:space="0" w:color="979991"/>
              <w:bottom w:val="single" w:sz="4" w:space="0" w:color="979991"/>
              <w:right w:val="nil"/>
            </w:tcBorders>
            <w:shd w:val="clear" w:color="auto" w:fill="FFFFFF"/>
            <w:vAlign w:val="center"/>
            <w:hideMark/>
          </w:tcPr>
          <w:p w14:paraId="1777C732" w14:textId="77777777" w:rsidR="00710FD8" w:rsidRDefault="00710FD8" w:rsidP="005E4429">
            <w:pPr>
              <w:bidi w:val="0"/>
              <w:rPr>
                <w:rFonts w:ascii="Calibri" w:hAnsi="Calibri" w:cs="Calibri"/>
                <w:color w:val="000000"/>
                <w:sz w:val="16"/>
                <w:szCs w:val="16"/>
              </w:rPr>
            </w:pPr>
            <w:r>
              <w:rPr>
                <w:rFonts w:ascii="Calibri" w:hAnsi="Calibri" w:cs="Calibri"/>
                <w:color w:val="000000"/>
                <w:sz w:val="16"/>
                <w:szCs w:val="16"/>
              </w:rPr>
              <w:t>9,596</w:t>
            </w:r>
          </w:p>
        </w:tc>
        <w:tc>
          <w:tcPr>
            <w:tcW w:w="1140" w:type="dxa"/>
            <w:tcBorders>
              <w:top w:val="nil"/>
              <w:left w:val="single" w:sz="4" w:space="0" w:color="979991"/>
              <w:bottom w:val="single" w:sz="4" w:space="0" w:color="979991"/>
              <w:right w:val="nil"/>
            </w:tcBorders>
            <w:shd w:val="clear" w:color="auto" w:fill="FFFFFF"/>
            <w:vAlign w:val="center"/>
            <w:hideMark/>
          </w:tcPr>
          <w:p w14:paraId="69219118" w14:textId="77777777" w:rsidR="00710FD8" w:rsidRDefault="00710FD8" w:rsidP="005E4429">
            <w:pPr>
              <w:bidi w:val="0"/>
              <w:rPr>
                <w:rFonts w:ascii="Calibri" w:hAnsi="Calibri" w:cs="Calibri"/>
                <w:color w:val="000000"/>
                <w:sz w:val="16"/>
                <w:szCs w:val="16"/>
              </w:rPr>
            </w:pPr>
            <w:r>
              <w:rPr>
                <w:rFonts w:ascii="Calibri" w:hAnsi="Calibri" w:cs="Calibri"/>
                <w:color w:val="000000"/>
                <w:sz w:val="16"/>
                <w:szCs w:val="16"/>
              </w:rPr>
              <w:t>10,940</w:t>
            </w:r>
          </w:p>
        </w:tc>
        <w:tc>
          <w:tcPr>
            <w:tcW w:w="980" w:type="dxa"/>
            <w:tcBorders>
              <w:top w:val="nil"/>
              <w:left w:val="single" w:sz="4" w:space="0" w:color="979991"/>
              <w:bottom w:val="single" w:sz="4" w:space="0" w:color="979991"/>
              <w:right w:val="nil"/>
            </w:tcBorders>
            <w:shd w:val="clear" w:color="auto" w:fill="FFFFFF"/>
            <w:vAlign w:val="center"/>
            <w:hideMark/>
          </w:tcPr>
          <w:p w14:paraId="47C82DF2" w14:textId="77777777" w:rsidR="00710FD8" w:rsidRDefault="00710FD8" w:rsidP="005E4429">
            <w:pPr>
              <w:bidi w:val="0"/>
              <w:rPr>
                <w:rFonts w:ascii="Calibri" w:hAnsi="Calibri" w:cs="Calibri"/>
                <w:color w:val="000000"/>
                <w:sz w:val="16"/>
                <w:szCs w:val="16"/>
              </w:rPr>
            </w:pPr>
            <w:r>
              <w:rPr>
                <w:rFonts w:ascii="Calibri" w:hAnsi="Calibri" w:cs="Calibri"/>
                <w:color w:val="000000"/>
                <w:sz w:val="16"/>
                <w:szCs w:val="16"/>
              </w:rPr>
              <w:t>10,380</w:t>
            </w:r>
          </w:p>
        </w:tc>
        <w:tc>
          <w:tcPr>
            <w:tcW w:w="1140" w:type="dxa"/>
            <w:tcBorders>
              <w:top w:val="nil"/>
              <w:left w:val="single" w:sz="4" w:space="0" w:color="979991"/>
              <w:bottom w:val="single" w:sz="4" w:space="0" w:color="979991"/>
              <w:right w:val="nil"/>
            </w:tcBorders>
            <w:shd w:val="clear" w:color="auto" w:fill="FFFFFF"/>
            <w:vAlign w:val="center"/>
            <w:hideMark/>
          </w:tcPr>
          <w:p w14:paraId="659769CA" w14:textId="77777777" w:rsidR="00710FD8" w:rsidRDefault="00710FD8" w:rsidP="005E4429">
            <w:pPr>
              <w:bidi w:val="0"/>
              <w:rPr>
                <w:rFonts w:ascii="Calibri" w:hAnsi="Calibri" w:cs="Calibri"/>
                <w:color w:val="000000"/>
                <w:sz w:val="16"/>
                <w:szCs w:val="16"/>
              </w:rPr>
            </w:pPr>
            <w:r>
              <w:rPr>
                <w:rFonts w:ascii="Calibri" w:hAnsi="Calibri" w:cs="Calibri"/>
                <w:color w:val="000000"/>
                <w:sz w:val="16"/>
                <w:szCs w:val="16"/>
              </w:rPr>
              <w:t>11,155</w:t>
            </w:r>
          </w:p>
        </w:tc>
        <w:tc>
          <w:tcPr>
            <w:tcW w:w="980" w:type="dxa"/>
            <w:tcBorders>
              <w:top w:val="nil"/>
              <w:left w:val="single" w:sz="4" w:space="0" w:color="979991"/>
              <w:bottom w:val="single" w:sz="4" w:space="0" w:color="979991"/>
              <w:right w:val="nil"/>
            </w:tcBorders>
            <w:shd w:val="clear" w:color="auto" w:fill="FFFFFF"/>
            <w:vAlign w:val="center"/>
            <w:hideMark/>
          </w:tcPr>
          <w:p w14:paraId="7CC25228" w14:textId="77777777" w:rsidR="00710FD8" w:rsidRDefault="00710FD8" w:rsidP="005E4429">
            <w:pPr>
              <w:bidi w:val="0"/>
              <w:rPr>
                <w:rFonts w:ascii="Calibri" w:hAnsi="Calibri" w:cs="Calibri"/>
                <w:color w:val="000000"/>
                <w:sz w:val="16"/>
                <w:szCs w:val="16"/>
              </w:rPr>
            </w:pPr>
            <w:r>
              <w:rPr>
                <w:rFonts w:ascii="Calibri" w:hAnsi="Calibri" w:cs="Calibri"/>
                <w:color w:val="000000"/>
                <w:sz w:val="16"/>
                <w:szCs w:val="16"/>
              </w:rPr>
              <w:t>11,188</w:t>
            </w:r>
          </w:p>
        </w:tc>
        <w:tc>
          <w:tcPr>
            <w:tcW w:w="1140" w:type="dxa"/>
            <w:tcBorders>
              <w:top w:val="nil"/>
              <w:left w:val="single" w:sz="4" w:space="0" w:color="979991"/>
              <w:bottom w:val="single" w:sz="4" w:space="0" w:color="979991"/>
              <w:right w:val="nil"/>
            </w:tcBorders>
            <w:shd w:val="clear" w:color="auto" w:fill="FFFFFF"/>
            <w:vAlign w:val="center"/>
            <w:hideMark/>
          </w:tcPr>
          <w:p w14:paraId="45D6B853" w14:textId="77777777" w:rsidR="00710FD8" w:rsidRDefault="00710FD8" w:rsidP="005E4429">
            <w:pPr>
              <w:bidi w:val="0"/>
              <w:rPr>
                <w:rFonts w:ascii="Calibri" w:hAnsi="Calibri" w:cs="Calibri"/>
                <w:color w:val="000000"/>
                <w:sz w:val="16"/>
                <w:szCs w:val="16"/>
              </w:rPr>
            </w:pPr>
            <w:r>
              <w:rPr>
                <w:rFonts w:ascii="Calibri" w:hAnsi="Calibri" w:cs="Calibri"/>
                <w:color w:val="000000"/>
                <w:sz w:val="16"/>
                <w:szCs w:val="16"/>
              </w:rPr>
              <w:t>11,535</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596A224A" w14:textId="77777777" w:rsidR="00710FD8" w:rsidRDefault="00710FD8" w:rsidP="005E4429">
            <w:pPr>
              <w:bidi w:val="0"/>
              <w:rPr>
                <w:rFonts w:ascii="Calibri" w:hAnsi="Calibri" w:cs="Calibri"/>
                <w:color w:val="000000"/>
                <w:sz w:val="16"/>
                <w:szCs w:val="16"/>
              </w:rPr>
            </w:pPr>
            <w:r>
              <w:rPr>
                <w:rFonts w:ascii="Calibri" w:hAnsi="Calibri" w:cs="Calibri"/>
                <w:color w:val="000000"/>
                <w:sz w:val="16"/>
                <w:szCs w:val="16"/>
              </w:rPr>
              <w:t>12,831</w:t>
            </w:r>
          </w:p>
        </w:tc>
      </w:tr>
      <w:tr w:rsidR="00710FD8" w14:paraId="37C4FF78" w14:textId="77777777" w:rsidTr="005E4429">
        <w:trPr>
          <w:trHeight w:val="300"/>
        </w:trPr>
        <w:tc>
          <w:tcPr>
            <w:tcW w:w="1140" w:type="dxa"/>
            <w:tcBorders>
              <w:top w:val="nil"/>
              <w:left w:val="single" w:sz="4" w:space="0" w:color="979991"/>
              <w:bottom w:val="single" w:sz="4" w:space="0" w:color="979991"/>
              <w:right w:val="nil"/>
            </w:tcBorders>
            <w:shd w:val="clear" w:color="auto" w:fill="F0F4FA"/>
            <w:vAlign w:val="center"/>
            <w:hideMark/>
          </w:tcPr>
          <w:p w14:paraId="70DD6ADD" w14:textId="77777777" w:rsidR="00710FD8" w:rsidRDefault="00710FD8" w:rsidP="005E4429">
            <w:pPr>
              <w:bidi w:val="0"/>
              <w:rPr>
                <w:rFonts w:ascii="Calibri" w:hAnsi="Calibri" w:cs="Calibri"/>
                <w:color w:val="000000"/>
                <w:sz w:val="16"/>
                <w:szCs w:val="16"/>
              </w:rPr>
            </w:pPr>
            <w:r>
              <w:rPr>
                <w:rFonts w:ascii="Calibri" w:hAnsi="Calibri" w:cs="Calibri"/>
                <w:color w:val="000000"/>
                <w:sz w:val="16"/>
                <w:szCs w:val="16"/>
              </w:rPr>
              <w:t>541201</w:t>
            </w:r>
          </w:p>
        </w:tc>
        <w:tc>
          <w:tcPr>
            <w:tcW w:w="1420" w:type="dxa"/>
            <w:tcBorders>
              <w:top w:val="nil"/>
              <w:left w:val="single" w:sz="4" w:space="0" w:color="979991"/>
              <w:bottom w:val="single" w:sz="4" w:space="0" w:color="979991"/>
              <w:right w:val="nil"/>
            </w:tcBorders>
            <w:shd w:val="clear" w:color="auto" w:fill="FFFFFF"/>
            <w:vAlign w:val="center"/>
            <w:hideMark/>
          </w:tcPr>
          <w:p w14:paraId="7959965E" w14:textId="77777777" w:rsidR="00710FD8" w:rsidRDefault="00710FD8" w:rsidP="005E4429">
            <w:pPr>
              <w:bidi w:val="0"/>
              <w:rPr>
                <w:rFonts w:ascii="Calibri" w:hAnsi="Calibri" w:cs="Calibri"/>
                <w:color w:val="000000"/>
                <w:sz w:val="16"/>
                <w:szCs w:val="16"/>
              </w:rPr>
            </w:pPr>
            <w:r>
              <w:rPr>
                <w:rFonts w:ascii="Calibri" w:hAnsi="Calibri" w:cs="Calibri"/>
                <w:color w:val="000000"/>
                <w:sz w:val="16"/>
                <w:szCs w:val="16"/>
              </w:rPr>
              <w:t>655</w:t>
            </w:r>
          </w:p>
        </w:tc>
        <w:tc>
          <w:tcPr>
            <w:tcW w:w="980" w:type="dxa"/>
            <w:tcBorders>
              <w:top w:val="nil"/>
              <w:left w:val="single" w:sz="4" w:space="0" w:color="979991"/>
              <w:bottom w:val="single" w:sz="4" w:space="0" w:color="979991"/>
              <w:right w:val="nil"/>
            </w:tcBorders>
            <w:shd w:val="clear" w:color="auto" w:fill="FFFFFF"/>
            <w:vAlign w:val="center"/>
            <w:hideMark/>
          </w:tcPr>
          <w:p w14:paraId="7CEA9E8A" w14:textId="77777777" w:rsidR="00710FD8" w:rsidRDefault="00710FD8" w:rsidP="005E4429">
            <w:pPr>
              <w:bidi w:val="0"/>
              <w:rPr>
                <w:rFonts w:ascii="Calibri" w:hAnsi="Calibri" w:cs="Calibri"/>
                <w:color w:val="000000"/>
                <w:sz w:val="16"/>
                <w:szCs w:val="16"/>
              </w:rPr>
            </w:pPr>
            <w:r>
              <w:rPr>
                <w:rFonts w:ascii="Calibri" w:hAnsi="Calibri" w:cs="Calibri"/>
                <w:color w:val="000000"/>
                <w:sz w:val="16"/>
                <w:szCs w:val="16"/>
              </w:rPr>
              <w:t>5,686</w:t>
            </w:r>
          </w:p>
        </w:tc>
        <w:tc>
          <w:tcPr>
            <w:tcW w:w="1140" w:type="dxa"/>
            <w:tcBorders>
              <w:top w:val="nil"/>
              <w:left w:val="single" w:sz="4" w:space="0" w:color="979991"/>
              <w:bottom w:val="single" w:sz="4" w:space="0" w:color="979991"/>
              <w:right w:val="nil"/>
            </w:tcBorders>
            <w:shd w:val="clear" w:color="auto" w:fill="FFFFFF"/>
            <w:vAlign w:val="center"/>
            <w:hideMark/>
          </w:tcPr>
          <w:p w14:paraId="4FD100DA" w14:textId="77777777" w:rsidR="00710FD8" w:rsidRDefault="00710FD8" w:rsidP="005E4429">
            <w:pPr>
              <w:bidi w:val="0"/>
              <w:rPr>
                <w:rFonts w:ascii="Calibri" w:hAnsi="Calibri" w:cs="Calibri"/>
                <w:color w:val="000000"/>
                <w:sz w:val="16"/>
                <w:szCs w:val="16"/>
              </w:rPr>
            </w:pPr>
            <w:r>
              <w:rPr>
                <w:rFonts w:ascii="Calibri" w:hAnsi="Calibri" w:cs="Calibri"/>
                <w:color w:val="000000"/>
                <w:sz w:val="16"/>
                <w:szCs w:val="16"/>
              </w:rPr>
              <w:t>6,328</w:t>
            </w:r>
          </w:p>
        </w:tc>
        <w:tc>
          <w:tcPr>
            <w:tcW w:w="980" w:type="dxa"/>
            <w:tcBorders>
              <w:top w:val="nil"/>
              <w:left w:val="single" w:sz="4" w:space="0" w:color="979991"/>
              <w:bottom w:val="single" w:sz="4" w:space="0" w:color="979991"/>
              <w:right w:val="nil"/>
            </w:tcBorders>
            <w:shd w:val="clear" w:color="auto" w:fill="FFFFFF"/>
            <w:vAlign w:val="center"/>
            <w:hideMark/>
          </w:tcPr>
          <w:p w14:paraId="201A9A9E" w14:textId="77777777" w:rsidR="00710FD8" w:rsidRDefault="00710FD8" w:rsidP="005E4429">
            <w:pPr>
              <w:bidi w:val="0"/>
              <w:rPr>
                <w:rFonts w:ascii="Calibri" w:hAnsi="Calibri" w:cs="Calibri"/>
                <w:color w:val="000000"/>
                <w:sz w:val="16"/>
                <w:szCs w:val="16"/>
              </w:rPr>
            </w:pPr>
            <w:r>
              <w:rPr>
                <w:rFonts w:ascii="Calibri" w:hAnsi="Calibri" w:cs="Calibri"/>
                <w:color w:val="000000"/>
                <w:sz w:val="16"/>
                <w:szCs w:val="16"/>
              </w:rPr>
              <w:t>5,387</w:t>
            </w:r>
          </w:p>
        </w:tc>
        <w:tc>
          <w:tcPr>
            <w:tcW w:w="1140" w:type="dxa"/>
            <w:tcBorders>
              <w:top w:val="nil"/>
              <w:left w:val="single" w:sz="4" w:space="0" w:color="979991"/>
              <w:bottom w:val="single" w:sz="4" w:space="0" w:color="979991"/>
              <w:right w:val="nil"/>
            </w:tcBorders>
            <w:shd w:val="clear" w:color="auto" w:fill="FFFFFF"/>
            <w:vAlign w:val="center"/>
            <w:hideMark/>
          </w:tcPr>
          <w:p w14:paraId="37AA56B2" w14:textId="77777777" w:rsidR="00710FD8" w:rsidRDefault="00710FD8" w:rsidP="005E4429">
            <w:pPr>
              <w:bidi w:val="0"/>
              <w:rPr>
                <w:rFonts w:ascii="Calibri" w:hAnsi="Calibri" w:cs="Calibri"/>
                <w:color w:val="000000"/>
                <w:sz w:val="16"/>
                <w:szCs w:val="16"/>
              </w:rPr>
            </w:pPr>
            <w:r>
              <w:rPr>
                <w:rFonts w:ascii="Calibri" w:hAnsi="Calibri" w:cs="Calibri"/>
                <w:color w:val="000000"/>
                <w:sz w:val="16"/>
                <w:szCs w:val="16"/>
              </w:rPr>
              <w:t>7,422</w:t>
            </w:r>
          </w:p>
        </w:tc>
        <w:tc>
          <w:tcPr>
            <w:tcW w:w="980" w:type="dxa"/>
            <w:tcBorders>
              <w:top w:val="nil"/>
              <w:left w:val="single" w:sz="4" w:space="0" w:color="979991"/>
              <w:bottom w:val="single" w:sz="4" w:space="0" w:color="979991"/>
              <w:right w:val="nil"/>
            </w:tcBorders>
            <w:shd w:val="clear" w:color="auto" w:fill="FFFFFF"/>
            <w:vAlign w:val="center"/>
            <w:hideMark/>
          </w:tcPr>
          <w:p w14:paraId="1CCCC674" w14:textId="77777777" w:rsidR="00710FD8" w:rsidRDefault="00710FD8" w:rsidP="005E4429">
            <w:pPr>
              <w:bidi w:val="0"/>
              <w:rPr>
                <w:rFonts w:ascii="Calibri" w:hAnsi="Calibri" w:cs="Calibri"/>
                <w:color w:val="000000"/>
                <w:sz w:val="16"/>
                <w:szCs w:val="16"/>
              </w:rPr>
            </w:pPr>
            <w:r>
              <w:rPr>
                <w:rFonts w:ascii="Calibri" w:hAnsi="Calibri" w:cs="Calibri"/>
                <w:color w:val="000000"/>
                <w:sz w:val="16"/>
                <w:szCs w:val="16"/>
              </w:rPr>
              <w:t>6,028</w:t>
            </w:r>
          </w:p>
        </w:tc>
        <w:tc>
          <w:tcPr>
            <w:tcW w:w="1140" w:type="dxa"/>
            <w:tcBorders>
              <w:top w:val="nil"/>
              <w:left w:val="single" w:sz="4" w:space="0" w:color="979991"/>
              <w:bottom w:val="single" w:sz="4" w:space="0" w:color="979991"/>
              <w:right w:val="nil"/>
            </w:tcBorders>
            <w:shd w:val="clear" w:color="auto" w:fill="FFFFFF"/>
            <w:vAlign w:val="center"/>
            <w:hideMark/>
          </w:tcPr>
          <w:p w14:paraId="76E6172B" w14:textId="77777777" w:rsidR="00710FD8" w:rsidRDefault="00710FD8" w:rsidP="005E4429">
            <w:pPr>
              <w:bidi w:val="0"/>
              <w:rPr>
                <w:rFonts w:ascii="Calibri" w:hAnsi="Calibri" w:cs="Calibri"/>
                <w:color w:val="000000"/>
                <w:sz w:val="16"/>
                <w:szCs w:val="16"/>
              </w:rPr>
            </w:pPr>
            <w:r>
              <w:rPr>
                <w:rFonts w:ascii="Calibri" w:hAnsi="Calibri" w:cs="Calibri"/>
                <w:color w:val="000000"/>
                <w:sz w:val="16"/>
                <w:szCs w:val="16"/>
              </w:rPr>
              <w:t>8,318</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7413D450" w14:textId="77777777" w:rsidR="00710FD8" w:rsidRDefault="00710FD8" w:rsidP="005E4429">
            <w:pPr>
              <w:bidi w:val="0"/>
              <w:rPr>
                <w:rFonts w:ascii="Calibri" w:hAnsi="Calibri" w:cs="Calibri"/>
                <w:color w:val="000000"/>
                <w:sz w:val="16"/>
                <w:szCs w:val="16"/>
              </w:rPr>
            </w:pPr>
            <w:r>
              <w:rPr>
                <w:rFonts w:ascii="Calibri" w:hAnsi="Calibri" w:cs="Calibri"/>
                <w:color w:val="000000"/>
                <w:sz w:val="16"/>
                <w:szCs w:val="16"/>
              </w:rPr>
              <w:t>6,780</w:t>
            </w:r>
          </w:p>
        </w:tc>
      </w:tr>
    </w:tbl>
    <w:p w14:paraId="1B89628E" w14:textId="77777777" w:rsidR="00710FD8" w:rsidRPr="002E1D22" w:rsidRDefault="00710FD8" w:rsidP="00710FD8">
      <w:pPr>
        <w:rPr>
          <w:rFonts w:cs="FrankRuehl"/>
          <w:sz w:val="26"/>
          <w:szCs w:val="26"/>
          <w:rtl/>
        </w:rPr>
      </w:pPr>
    </w:p>
    <w:p w14:paraId="0096B1C3" w14:textId="77777777" w:rsidR="00710FD8" w:rsidRPr="002E1D22" w:rsidRDefault="00710FD8" w:rsidP="00710FD8">
      <w:pPr>
        <w:tabs>
          <w:tab w:val="center" w:pos="6867"/>
        </w:tabs>
        <w:rPr>
          <w:rFonts w:cs="FrankRuehl"/>
          <w:sz w:val="26"/>
          <w:szCs w:val="26"/>
          <w:rtl/>
        </w:rPr>
      </w:pPr>
    </w:p>
    <w:p w14:paraId="3A171607" w14:textId="77777777" w:rsidR="00436E4E" w:rsidRPr="002E1D22" w:rsidRDefault="00436E4E">
      <w:pPr>
        <w:rPr>
          <w:rFonts w:cs="FrankRuehl"/>
          <w:sz w:val="26"/>
          <w:szCs w:val="26"/>
          <w:rtl/>
        </w:rPr>
      </w:pPr>
    </w:p>
    <w:sectPr w:rsidR="00436E4E" w:rsidRPr="002E1D22" w:rsidSect="004374A5">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E69B0" w14:textId="77777777" w:rsidR="005548AB" w:rsidRDefault="005548AB" w:rsidP="004374A5">
      <w:r>
        <w:separator/>
      </w:r>
    </w:p>
  </w:endnote>
  <w:endnote w:type="continuationSeparator" w:id="0">
    <w:p w14:paraId="3E6AD32A" w14:textId="77777777" w:rsidR="005548AB" w:rsidRDefault="005548AB" w:rsidP="00437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B1"/>
    <w:family w:val="swiss"/>
    <w:pitch w:val="variable"/>
    <w:sig w:usb0="00000801" w:usb1="00000000" w:usb2="00000000" w:usb3="00000000" w:csb0="0000002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0B15D" w14:textId="77777777" w:rsidR="00EF0529" w:rsidRDefault="00EF0529">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7896C" w14:textId="77777777" w:rsidR="00EF0529" w:rsidRDefault="00EF0529">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2D12A" w14:textId="77777777" w:rsidR="00EF0529" w:rsidRDefault="00EF052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1A8B7" w14:textId="77777777" w:rsidR="005548AB" w:rsidRDefault="005548AB" w:rsidP="004374A5">
      <w:r>
        <w:separator/>
      </w:r>
    </w:p>
  </w:footnote>
  <w:footnote w:type="continuationSeparator" w:id="0">
    <w:p w14:paraId="033823A5" w14:textId="77777777" w:rsidR="005548AB" w:rsidRDefault="005548AB" w:rsidP="00437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5A1E5" w14:textId="77777777" w:rsidR="00EF0529" w:rsidRDefault="00EF052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5426F" w14:textId="77777777" w:rsidR="004374A5" w:rsidRDefault="005548AB">
    <w:pPr>
      <w:pStyle w:val="a4"/>
    </w:pPr>
    <w:r>
      <w:rPr>
        <w:noProof/>
      </w:rPr>
      <w:pict w14:anchorId="30977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left:0;text-align:left;margin-left:-89.25pt;margin-top:-71.25pt;width:594pt;height:71.35pt;z-index:1;mso-position-horizontal-relative:margin;mso-position-vertical-relative:margin">
          <v:imagedata r:id="rId1" o:title="Header"/>
          <w10:wrap type="square"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588F7" w14:textId="77777777" w:rsidR="00EF0529" w:rsidRDefault="00EF052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5242"/>
    <w:rsid w:val="00026F4F"/>
    <w:rsid w:val="00147D0B"/>
    <w:rsid w:val="00235242"/>
    <w:rsid w:val="002634E4"/>
    <w:rsid w:val="002E1D22"/>
    <w:rsid w:val="00436E4E"/>
    <w:rsid w:val="004374A5"/>
    <w:rsid w:val="005548AB"/>
    <w:rsid w:val="00710FD8"/>
    <w:rsid w:val="007847C9"/>
    <w:rsid w:val="007C275A"/>
    <w:rsid w:val="00AC2EE6"/>
    <w:rsid w:val="00AE06DB"/>
    <w:rsid w:val="00B0145B"/>
    <w:rsid w:val="00B42666"/>
    <w:rsid w:val="00B61EA5"/>
    <w:rsid w:val="00BB3BA1"/>
    <w:rsid w:val="00C13197"/>
    <w:rsid w:val="00EE3C91"/>
    <w:rsid w:val="00EF0529"/>
    <w:rsid w:val="00FA49E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19815FE0"/>
  <w15:chartTrackingRefBased/>
  <w15:docId w15:val="{8ED006CE-2284-472C-AE49-678D45C14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semiHidden/>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4374A5"/>
    <w:pPr>
      <w:tabs>
        <w:tab w:val="center" w:pos="4153"/>
        <w:tab w:val="right" w:pos="8306"/>
      </w:tabs>
    </w:pPr>
  </w:style>
  <w:style w:type="paragraph" w:customStyle="1" w:styleId="a6">
    <w:name w:val="מדינת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4374A5"/>
    <w:rPr>
      <w:rFonts w:cs="Narkisim"/>
      <w:szCs w:val="24"/>
      <w:lang w:eastAsia="he-IL"/>
    </w:rPr>
  </w:style>
  <w:style w:type="paragraph" w:styleId="a8">
    <w:name w:val="footer"/>
    <w:basedOn w:val="a"/>
    <w:link w:val="a9"/>
    <w:uiPriority w:val="99"/>
    <w:unhideWhenUsed/>
    <w:rsid w:val="004374A5"/>
    <w:pPr>
      <w:tabs>
        <w:tab w:val="center" w:pos="4153"/>
        <w:tab w:val="right" w:pos="8306"/>
      </w:tabs>
    </w:pPr>
  </w:style>
  <w:style w:type="character" w:customStyle="1" w:styleId="a9">
    <w:name w:val="כותרת תחתונה תו"/>
    <w:link w:val="a8"/>
    <w:uiPriority w:val="99"/>
    <w:rsid w:val="004374A5"/>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684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487</Words>
  <Characters>2436</Characters>
  <Application>Microsoft Office Word</Application>
  <DocSecurity>0</DocSecurity>
  <Lines>20</Lines>
  <Paragraphs>5</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יונית בן ציון</cp:lastModifiedBy>
  <cp:revision>4</cp:revision>
  <cp:lastPrinted>1899-12-31T22:00:00Z</cp:lastPrinted>
  <dcterms:created xsi:type="dcterms:W3CDTF">2026-08-02T13:11:00Z</dcterms:created>
  <dcterms:modified xsi:type="dcterms:W3CDTF">2026-08-02T13:13:00Z</dcterms:modified>
</cp:coreProperties>
</file>