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6338" w14:textId="77777777" w:rsidR="00CB133E" w:rsidRDefault="00CB133E">
      <w:pPr>
        <w:pStyle w:val="a6"/>
        <w:rPr>
          <w:rFonts w:hint="cs"/>
          <w:rtl/>
        </w:rPr>
      </w:pPr>
    </w:p>
    <w:p w14:paraId="3B92150A" w14:textId="77777777" w:rsidR="00CB133E" w:rsidRDefault="00CB133E">
      <w:pPr>
        <w:pStyle w:val="a6"/>
        <w:rPr>
          <w:rtl/>
        </w:rPr>
      </w:pPr>
      <w:r>
        <w:rPr>
          <w:rtl/>
        </w:rPr>
        <w:t>מדינת ישראל</w:t>
      </w:r>
    </w:p>
    <w:p w14:paraId="6E3DF539" w14:textId="77777777" w:rsidR="00CB133E" w:rsidRDefault="00CB133E">
      <w:pPr>
        <w:pStyle w:val="a6"/>
        <w:rPr>
          <w:szCs w:val="24"/>
          <w:rtl/>
        </w:rPr>
      </w:pPr>
      <w:r>
        <w:rPr>
          <w:rtl/>
        </w:rPr>
        <w:t>האוצר - אגף התקציבים</w:t>
      </w:r>
    </w:p>
    <w:p w14:paraId="59F58EAE" w14:textId="77777777" w:rsidR="00CB133E" w:rsidRDefault="00CB133E">
      <w:pPr>
        <w:rPr>
          <w:rtl/>
        </w:rPr>
      </w:pPr>
    </w:p>
    <w:p w14:paraId="3C6F9688" w14:textId="77777777" w:rsidR="00CB133E" w:rsidRDefault="00CB133E" w:rsidP="006A7A7A">
      <w:pPr>
        <w:tabs>
          <w:tab w:val="left" w:pos="5613"/>
        </w:tabs>
        <w:rPr>
          <w:rtl/>
        </w:rPr>
      </w:pPr>
    </w:p>
    <w:p w14:paraId="1FEEB9C6" w14:textId="0592C71B" w:rsidR="00CB133E" w:rsidRDefault="00CB133E" w:rsidP="006A7A7A">
      <w:pPr>
        <w:tabs>
          <w:tab w:val="left" w:pos="5613"/>
        </w:tabs>
        <w:rPr>
          <w:rtl/>
        </w:rPr>
      </w:pPr>
      <w:r>
        <w:rPr>
          <w:rtl/>
        </w:rPr>
        <w:tab/>
      </w:r>
      <w:bookmarkStart w:id="0" w:name="TAKZIV8"/>
      <w:r w:rsidR="0058062A">
        <w:rPr>
          <w:rtl/>
        </w:rPr>
        <w:t>תקציב רגיל</w:t>
      </w:r>
      <w:bookmarkEnd w:id="0"/>
    </w:p>
    <w:p w14:paraId="245996A8" w14:textId="77777777" w:rsidR="00CB133E" w:rsidRPr="00161010" w:rsidRDefault="00CB133E" w:rsidP="006A7A7A">
      <w:pPr>
        <w:tabs>
          <w:tab w:val="left" w:pos="5613"/>
        </w:tabs>
        <w:rPr>
          <w:rFonts w:cs="FrankRuehl"/>
          <w:sz w:val="26"/>
          <w:szCs w:val="26"/>
          <w:rtl/>
        </w:rPr>
      </w:pPr>
      <w:r>
        <w:rPr>
          <w:rtl/>
        </w:rPr>
        <w:tab/>
      </w:r>
    </w:p>
    <w:p w14:paraId="1BF56793"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30934340" w14:textId="6D8D9C44" w:rsidR="00CB133E" w:rsidRPr="00161010" w:rsidRDefault="00CB133E" w:rsidP="00686564">
      <w:pPr>
        <w:tabs>
          <w:tab w:val="left" w:pos="5613"/>
        </w:tabs>
        <w:jc w:val="right"/>
        <w:rPr>
          <w:rFonts w:cs="FrankRuehl"/>
          <w:sz w:val="26"/>
          <w:szCs w:val="26"/>
          <w:rtl/>
        </w:rPr>
      </w:pPr>
      <w:r w:rsidRPr="00161010">
        <w:rPr>
          <w:rFonts w:cs="FrankRuehl"/>
          <w:sz w:val="26"/>
          <w:szCs w:val="26"/>
          <w:rtl/>
        </w:rPr>
        <w:tab/>
        <w:t xml:space="preserve">בקשה מספר </w:t>
      </w:r>
      <w:bookmarkStart w:id="2" w:name="TAKZIV4"/>
      <w:r w:rsidR="0058062A">
        <w:rPr>
          <w:rFonts w:cs="FrankRuehl"/>
          <w:sz w:val="26"/>
          <w:szCs w:val="26"/>
          <w:rtl/>
        </w:rPr>
        <w:t>236</w:t>
      </w:r>
      <w:bookmarkEnd w:id="2"/>
      <w:r w:rsidRPr="00161010">
        <w:rPr>
          <w:rFonts w:cs="FrankRuehl"/>
          <w:sz w:val="26"/>
          <w:szCs w:val="26"/>
          <w:rtl/>
        </w:rPr>
        <w:t xml:space="preserve"> </w:t>
      </w:r>
      <w:r w:rsidR="00686564">
        <w:rPr>
          <w:rFonts w:cs="FrankRuehl" w:hint="cs"/>
          <w:sz w:val="26"/>
          <w:szCs w:val="26"/>
          <w:rtl/>
        </w:rPr>
        <w:t>-</w:t>
      </w:r>
      <w:r w:rsidRPr="00161010">
        <w:rPr>
          <w:rFonts w:cs="FrankRuehl"/>
          <w:sz w:val="26"/>
          <w:szCs w:val="26"/>
          <w:rtl/>
        </w:rPr>
        <w:t xml:space="preserve"> </w:t>
      </w:r>
      <w:bookmarkStart w:id="3" w:name="TAKZIV3"/>
      <w:r w:rsidR="0058062A">
        <w:rPr>
          <w:rFonts w:cs="FrankRuehl"/>
          <w:sz w:val="26"/>
          <w:szCs w:val="26"/>
          <w:rtl/>
        </w:rPr>
        <w:t>54</w:t>
      </w:r>
      <w:bookmarkEnd w:id="3"/>
      <w:r w:rsidR="00686564">
        <w:rPr>
          <w:rFonts w:cs="FrankRuehl" w:hint="cs"/>
          <w:sz w:val="26"/>
          <w:szCs w:val="26"/>
          <w:rtl/>
        </w:rPr>
        <w:t>, 83-219, 22-206</w:t>
      </w:r>
    </w:p>
    <w:p w14:paraId="1C87C7B8" w14:textId="5E10B89A"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w:t>
      </w:r>
      <w:proofErr w:type="spellStart"/>
      <w:r w:rsidRPr="00161010">
        <w:rPr>
          <w:rFonts w:cs="FrankRuehl"/>
          <w:sz w:val="26"/>
          <w:szCs w:val="26"/>
          <w:rtl/>
        </w:rPr>
        <w:t>לועדה</w:t>
      </w:r>
      <w:proofErr w:type="spellEnd"/>
      <w:r w:rsidRPr="00161010">
        <w:rPr>
          <w:rFonts w:cs="FrankRuehl"/>
          <w:sz w:val="26"/>
          <w:szCs w:val="26"/>
          <w:rtl/>
        </w:rPr>
        <w:t xml:space="preserve">: </w:t>
      </w:r>
      <w:bookmarkStart w:id="4" w:name="TAKZIV11"/>
      <w:r w:rsidR="0058062A">
        <w:rPr>
          <w:rFonts w:cs="FrankRuehl"/>
          <w:sz w:val="26"/>
          <w:szCs w:val="26"/>
          <w:rtl/>
        </w:rPr>
        <w:t>179</w:t>
      </w:r>
      <w:bookmarkEnd w:id="4"/>
      <w:r w:rsidR="00686564">
        <w:rPr>
          <w:rFonts w:cs="FrankRuehl" w:hint="cs"/>
          <w:sz w:val="26"/>
          <w:szCs w:val="26"/>
          <w:rtl/>
        </w:rPr>
        <w:t xml:space="preserve"> עד 181</w:t>
      </w:r>
      <w:r w:rsidRPr="00161010">
        <w:rPr>
          <w:rFonts w:cs="FrankRuehl"/>
          <w:sz w:val="26"/>
          <w:szCs w:val="26"/>
          <w:rtl/>
        </w:rPr>
        <w:tab/>
      </w:r>
    </w:p>
    <w:p w14:paraId="20058CAD" w14:textId="77777777" w:rsidR="00CB133E" w:rsidRPr="00161010" w:rsidRDefault="00CB133E">
      <w:pPr>
        <w:rPr>
          <w:rFonts w:cs="FrankRuehl"/>
          <w:sz w:val="26"/>
          <w:szCs w:val="26"/>
          <w:rtl/>
        </w:rPr>
      </w:pPr>
      <w:r w:rsidRPr="00161010">
        <w:rPr>
          <w:rFonts w:cs="FrankRuehl"/>
          <w:sz w:val="26"/>
          <w:szCs w:val="26"/>
          <w:rtl/>
        </w:rPr>
        <w:t>לכבוד,</w:t>
      </w:r>
    </w:p>
    <w:p w14:paraId="0FF2907B" w14:textId="77777777" w:rsidR="00CB133E" w:rsidRPr="00161010" w:rsidRDefault="00CB133E">
      <w:pPr>
        <w:rPr>
          <w:rFonts w:cs="FrankRuehl"/>
          <w:sz w:val="26"/>
          <w:szCs w:val="26"/>
          <w:rtl/>
        </w:rPr>
      </w:pPr>
      <w:r w:rsidRPr="00161010">
        <w:rPr>
          <w:rFonts w:cs="FrankRuehl"/>
          <w:sz w:val="26"/>
          <w:szCs w:val="26"/>
          <w:rtl/>
        </w:rPr>
        <w:t>יו"ר ועדת הכספים</w:t>
      </w:r>
    </w:p>
    <w:p w14:paraId="679D8B09" w14:textId="77777777" w:rsidR="00CB133E" w:rsidRPr="00161010" w:rsidRDefault="00CB133E">
      <w:pPr>
        <w:rPr>
          <w:rFonts w:cs="FrankRuehl"/>
          <w:sz w:val="26"/>
          <w:szCs w:val="26"/>
          <w:rtl/>
        </w:rPr>
      </w:pPr>
      <w:r w:rsidRPr="00161010">
        <w:rPr>
          <w:rFonts w:cs="FrankRuehl"/>
          <w:sz w:val="26"/>
          <w:szCs w:val="26"/>
          <w:rtl/>
        </w:rPr>
        <w:t>של הכנסת</w:t>
      </w:r>
    </w:p>
    <w:p w14:paraId="21EBB5A2" w14:textId="77777777" w:rsidR="00CB133E" w:rsidRPr="00161010" w:rsidRDefault="00CB133E">
      <w:pPr>
        <w:rPr>
          <w:rFonts w:cs="FrankRuehl"/>
          <w:sz w:val="26"/>
          <w:szCs w:val="26"/>
          <w:rtl/>
        </w:rPr>
      </w:pPr>
    </w:p>
    <w:p w14:paraId="6AA3C7C3" w14:textId="77777777" w:rsidR="00CB133E" w:rsidRPr="00161010" w:rsidRDefault="00CB133E">
      <w:pPr>
        <w:rPr>
          <w:rFonts w:cs="FrankRuehl"/>
          <w:sz w:val="26"/>
          <w:szCs w:val="26"/>
          <w:rtl/>
        </w:rPr>
      </w:pPr>
      <w:r w:rsidRPr="00161010">
        <w:rPr>
          <w:rFonts w:cs="FrankRuehl"/>
          <w:sz w:val="26"/>
          <w:szCs w:val="26"/>
          <w:rtl/>
        </w:rPr>
        <w:t>א.נ.,</w:t>
      </w:r>
    </w:p>
    <w:p w14:paraId="283381B9" w14:textId="77777777" w:rsidR="00CB133E" w:rsidRPr="00161010" w:rsidRDefault="00CB133E">
      <w:pPr>
        <w:rPr>
          <w:rFonts w:cs="FrankRuehl"/>
          <w:sz w:val="26"/>
          <w:szCs w:val="26"/>
          <w:rtl/>
        </w:rPr>
      </w:pPr>
    </w:p>
    <w:p w14:paraId="5B044FAD" w14:textId="3B6690F6"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58062A">
        <w:rPr>
          <w:rFonts w:cs="FrankRuehl"/>
          <w:sz w:val="26"/>
          <w:rtl/>
        </w:rPr>
        <w:t>2026</w:t>
      </w:r>
      <w:bookmarkEnd w:id="5"/>
      <w:r w:rsidRPr="00161010">
        <w:rPr>
          <w:rFonts w:cs="FrankRuehl"/>
          <w:sz w:val="26"/>
          <w:rtl/>
        </w:rPr>
        <w:t xml:space="preserve">    </w:t>
      </w:r>
    </w:p>
    <w:p w14:paraId="4F7185E6" w14:textId="77777777" w:rsidR="00CB133E" w:rsidRPr="00161010" w:rsidRDefault="00CB133E">
      <w:pPr>
        <w:rPr>
          <w:rFonts w:cs="FrankRuehl"/>
          <w:sz w:val="26"/>
          <w:szCs w:val="26"/>
          <w:rtl/>
        </w:rPr>
      </w:pPr>
    </w:p>
    <w:p w14:paraId="512AB187" w14:textId="23E6932B" w:rsidR="00CB133E" w:rsidRPr="00161010" w:rsidRDefault="00CB133E" w:rsidP="00686564">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686564">
        <w:rPr>
          <w:rFonts w:cs="FrankRuehl" w:hint="cs"/>
          <w:sz w:val="26"/>
          <w:szCs w:val="26"/>
          <w:rtl/>
        </w:rPr>
        <w:t xml:space="preserve">78,006 </w:t>
      </w:r>
      <w:r w:rsidRPr="00161010">
        <w:rPr>
          <w:rFonts w:cs="FrankRuehl"/>
          <w:sz w:val="26"/>
          <w:szCs w:val="26"/>
          <w:rtl/>
        </w:rPr>
        <w:t xml:space="preserve">אלפי שקלים חדשים מסעיף </w:t>
      </w:r>
      <w:bookmarkStart w:id="6" w:name="TAKZIV3_1"/>
      <w:bookmarkEnd w:id="6"/>
      <w:r w:rsidR="00686564">
        <w:rPr>
          <w:rFonts w:cs="FrankRuehl" w:hint="cs"/>
          <w:sz w:val="26"/>
          <w:szCs w:val="26"/>
          <w:rtl/>
        </w:rPr>
        <w:t>54</w:t>
      </w:r>
      <w:r w:rsidRPr="00161010">
        <w:rPr>
          <w:rFonts w:cs="FrankRuehl"/>
          <w:sz w:val="26"/>
          <w:szCs w:val="26"/>
          <w:rtl/>
        </w:rPr>
        <w:t xml:space="preserve"> - </w:t>
      </w:r>
      <w:bookmarkStart w:id="7" w:name="TAKZIV6"/>
      <w:r w:rsidR="0058062A">
        <w:rPr>
          <w:rFonts w:cs="FrankRuehl"/>
          <w:sz w:val="26"/>
          <w:szCs w:val="26"/>
          <w:rtl/>
        </w:rPr>
        <w:t>רשויות פיקוח</w:t>
      </w:r>
      <w:bookmarkEnd w:id="7"/>
      <w:r w:rsidRPr="00161010">
        <w:rPr>
          <w:rFonts w:cs="FrankRuehl"/>
          <w:sz w:val="26"/>
          <w:szCs w:val="26"/>
          <w:rtl/>
        </w:rPr>
        <w:t>,</w:t>
      </w:r>
      <w:r w:rsidR="00686564">
        <w:rPr>
          <w:rFonts w:cs="FrankRuehl" w:hint="cs"/>
          <w:sz w:val="26"/>
          <w:szCs w:val="26"/>
          <w:rtl/>
        </w:rPr>
        <w:t xml:space="preserve"> 83 - הוצאות פיתוח אחרות,</w:t>
      </w:r>
      <w:r w:rsidRPr="00161010">
        <w:rPr>
          <w:rFonts w:cs="FrankRuehl"/>
          <w:sz w:val="26"/>
          <w:szCs w:val="26"/>
          <w:rtl/>
        </w:rPr>
        <w:t xml:space="preserve"> לסעיף 47 - רזרבה כללית, בהתאם לסעיף 11 (ה) 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w:t>
      </w:r>
    </w:p>
    <w:p w14:paraId="6DE9743D" w14:textId="77777777" w:rsidR="00CB133E" w:rsidRPr="00161010" w:rsidRDefault="00CB133E" w:rsidP="00686564">
      <w:pPr>
        <w:jc w:val="both"/>
        <w:rPr>
          <w:rFonts w:cs="FrankRuehl"/>
          <w:sz w:val="26"/>
          <w:szCs w:val="26"/>
          <w:rtl/>
        </w:rPr>
      </w:pPr>
    </w:p>
    <w:p w14:paraId="6A57989B" w14:textId="12208A25" w:rsidR="00CB133E" w:rsidRPr="00686564" w:rsidRDefault="00CB133E" w:rsidP="00686564">
      <w:pPr>
        <w:jc w:val="both"/>
        <w:rPr>
          <w:rFonts w:ascii="FrankRuehl" w:hAnsi="FrankRuehl" w:cs="FrankRuehl"/>
          <w:b/>
          <w:bCs/>
          <w:sz w:val="26"/>
          <w:szCs w:val="26"/>
          <w:rtl/>
          <w:lang w:eastAsia="en-US"/>
        </w:rPr>
      </w:pPr>
      <w:r w:rsidRPr="00161010">
        <w:rPr>
          <w:rFonts w:cs="FrankRuehl"/>
          <w:sz w:val="26"/>
          <w:szCs w:val="26"/>
          <w:rtl/>
        </w:rPr>
        <w:t xml:space="preserve">כמו כן, מבקש שר האוצר את אישורה של ועדת הכספים של הכנסת להעברת סכום של </w:t>
      </w:r>
      <w:r w:rsidR="00686564">
        <w:rPr>
          <w:rFonts w:cs="FrankRuehl" w:hint="cs"/>
          <w:sz w:val="26"/>
          <w:szCs w:val="26"/>
          <w:rtl/>
        </w:rPr>
        <w:t xml:space="preserve">78,006 </w:t>
      </w:r>
      <w:r w:rsidRPr="00161010">
        <w:rPr>
          <w:rFonts w:cs="FrankRuehl"/>
          <w:sz w:val="26"/>
          <w:szCs w:val="26"/>
          <w:rtl/>
        </w:rPr>
        <w:t>אלפי שקלים חדשים</w:t>
      </w:r>
      <w:r w:rsidR="00686564">
        <w:rPr>
          <w:rFonts w:cs="FrankRuehl" w:hint="cs"/>
          <w:sz w:val="26"/>
          <w:szCs w:val="26"/>
          <w:rtl/>
        </w:rPr>
        <w:t xml:space="preserve"> וסך של 1 תקן כוח אדם</w:t>
      </w:r>
      <w:r w:rsidRPr="00161010">
        <w:rPr>
          <w:rFonts w:cs="FrankRuehl"/>
          <w:sz w:val="26"/>
          <w:szCs w:val="26"/>
          <w:rtl/>
        </w:rPr>
        <w:t xml:space="preserve"> מסעיף 47 - רזרבה כללית לסעיף </w:t>
      </w:r>
      <w:r w:rsidR="00686564">
        <w:rPr>
          <w:rFonts w:ascii="FrankRuehl" w:hAnsi="FrankRuehl" w:cs="FrankRuehl"/>
          <w:sz w:val="26"/>
          <w:szCs w:val="26"/>
          <w:rtl/>
        </w:rPr>
        <w:t>22 - המשרד לשירותי דת</w:t>
      </w:r>
      <w:r w:rsidR="00686564">
        <w:rPr>
          <w:rFonts w:ascii="FrankRuehl" w:hAnsi="FrankRuehl" w:cs="FrankRuehl" w:hint="cs"/>
          <w:b/>
          <w:bCs/>
          <w:sz w:val="26"/>
          <w:szCs w:val="26"/>
          <w:rtl/>
          <w:lang w:eastAsia="en-US"/>
        </w:rPr>
        <w:t xml:space="preserve">, </w:t>
      </w:r>
      <w:r w:rsidRPr="00161010">
        <w:rPr>
          <w:rFonts w:cs="FrankRuehl"/>
          <w:sz w:val="26"/>
          <w:szCs w:val="26"/>
          <w:rtl/>
        </w:rPr>
        <w:t>בהתאם לסעיף 12 (א)</w:t>
      </w:r>
      <w:r w:rsidR="00686564">
        <w:rPr>
          <w:rFonts w:cs="FrankRuehl" w:hint="cs"/>
          <w:sz w:val="26"/>
          <w:szCs w:val="26"/>
          <w:rtl/>
        </w:rPr>
        <w:t xml:space="preserve"> </w:t>
      </w:r>
      <w:r w:rsidRPr="00161010">
        <w:rPr>
          <w:rFonts w:cs="FrankRuehl"/>
          <w:sz w:val="26"/>
          <w:szCs w:val="26"/>
          <w:rtl/>
        </w:rPr>
        <w:t xml:space="preserve">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 כמפורט בתדפיס המצורף בזה.</w:t>
      </w:r>
    </w:p>
    <w:p w14:paraId="3D865690" w14:textId="77777777" w:rsidR="00CB133E" w:rsidRPr="00161010" w:rsidRDefault="00CB133E" w:rsidP="00686564">
      <w:pPr>
        <w:jc w:val="both"/>
        <w:rPr>
          <w:rFonts w:cs="FrankRuehl"/>
          <w:sz w:val="26"/>
          <w:szCs w:val="26"/>
          <w:rtl/>
        </w:rPr>
      </w:pPr>
    </w:p>
    <w:p w14:paraId="5D879CDE" w14:textId="77777777" w:rsidR="00686564" w:rsidRDefault="00686564" w:rsidP="00686564">
      <w:pPr>
        <w:jc w:val="both"/>
        <w:rPr>
          <w:rFonts w:ascii="FrankRuehl" w:hAnsi="FrankRuehl" w:cs="FrankRuehl"/>
          <w:b/>
          <w:bCs/>
          <w:sz w:val="26"/>
          <w:szCs w:val="26"/>
          <w:lang w:eastAsia="en-US"/>
        </w:rPr>
      </w:pPr>
      <w:bookmarkStart w:id="8" w:name="DIVREY_HESBER"/>
      <w:bookmarkEnd w:id="8"/>
      <w:r>
        <w:rPr>
          <w:rFonts w:ascii="FrankRuehl" w:hAnsi="FrankRuehl" w:cs="FrankRuehl"/>
          <w:b/>
          <w:bCs/>
          <w:sz w:val="26"/>
          <w:szCs w:val="26"/>
          <w:rtl/>
        </w:rPr>
        <w:t xml:space="preserve">הבקשה דנה בסעיף תקציבי: </w:t>
      </w:r>
      <w:r>
        <w:rPr>
          <w:rFonts w:ascii="FrankRuehl" w:hAnsi="FrankRuehl" w:cs="FrankRuehl"/>
          <w:sz w:val="26"/>
          <w:szCs w:val="26"/>
          <w:rtl/>
        </w:rPr>
        <w:t>22 - המשרד לשירותי דת</w:t>
      </w:r>
    </w:p>
    <w:p w14:paraId="3699D32E" w14:textId="77777777" w:rsidR="00686564" w:rsidRDefault="00686564" w:rsidP="00686564">
      <w:pPr>
        <w:jc w:val="both"/>
        <w:rPr>
          <w:rFonts w:ascii="FrankRuehl" w:hAnsi="FrankRuehl" w:cs="FrankRuehl"/>
          <w:b/>
          <w:bCs/>
          <w:sz w:val="26"/>
          <w:szCs w:val="26"/>
        </w:rPr>
      </w:pPr>
    </w:p>
    <w:p w14:paraId="46476015" w14:textId="77777777" w:rsidR="00686564" w:rsidRDefault="00686564" w:rsidP="00686564">
      <w:pPr>
        <w:jc w:val="both"/>
        <w:rPr>
          <w:rFonts w:ascii="FrankRuehl" w:hAnsi="FrankRuehl" w:cs="FrankRuehl"/>
          <w:sz w:val="26"/>
          <w:szCs w:val="26"/>
          <w:rtl/>
        </w:rPr>
      </w:pPr>
      <w:r>
        <w:rPr>
          <w:rFonts w:ascii="FrankRuehl" w:hAnsi="FrankRuehl" w:cs="FrankRuehl"/>
          <w:b/>
          <w:bCs/>
          <w:sz w:val="26"/>
          <w:szCs w:val="26"/>
          <w:rtl/>
        </w:rPr>
        <w:t>עיקרי הפנייה:</w:t>
      </w:r>
      <w:r>
        <w:rPr>
          <w:rFonts w:ascii="FrankRuehl" w:hAnsi="FrankRuehl" w:cs="FrankRuehl"/>
          <w:sz w:val="26"/>
          <w:szCs w:val="26"/>
          <w:rtl/>
        </w:rPr>
        <w:t xml:space="preserve"> </w:t>
      </w:r>
    </w:p>
    <w:p w14:paraId="3B3DCD56" w14:textId="60309F00" w:rsidR="00686564" w:rsidRDefault="00686564" w:rsidP="00686564">
      <w:pPr>
        <w:jc w:val="both"/>
        <w:rPr>
          <w:rFonts w:ascii="FrankRuehl" w:hAnsi="FrankRuehl" w:cs="FrankRuehl"/>
          <w:sz w:val="26"/>
          <w:szCs w:val="26"/>
        </w:rPr>
      </w:pPr>
      <w:r>
        <w:rPr>
          <w:rFonts w:ascii="FrankRuehl" w:hAnsi="FrankRuehl" w:cs="FrankRuehl"/>
          <w:sz w:val="26"/>
          <w:szCs w:val="26"/>
          <w:rtl/>
        </w:rPr>
        <w:t xml:space="preserve">הפניה התקציבית נועדה לביצוע שינויים פנימיים בתקציב המשרד לשירותי דת ולתקצוב סך של 78,006 בהוצאה נטו, 17,500 אלפי ש"ח בהרשאה להתחייב ו-1 </w:t>
      </w:r>
      <w:r>
        <w:rPr>
          <w:rFonts w:ascii="FrankRuehl" w:hAnsi="FrankRuehl" w:cs="FrankRuehl" w:hint="cs"/>
          <w:sz w:val="26"/>
          <w:szCs w:val="26"/>
          <w:rtl/>
        </w:rPr>
        <w:t>תקן</w:t>
      </w:r>
      <w:r>
        <w:rPr>
          <w:rFonts w:ascii="FrankRuehl" w:hAnsi="FrankRuehl" w:cs="FrankRuehl"/>
          <w:sz w:val="26"/>
          <w:szCs w:val="26"/>
          <w:rtl/>
        </w:rPr>
        <w:t xml:space="preserve"> כ</w:t>
      </w:r>
      <w:r>
        <w:rPr>
          <w:rFonts w:ascii="FrankRuehl" w:hAnsi="FrankRuehl" w:cs="FrankRuehl" w:hint="cs"/>
          <w:sz w:val="26"/>
          <w:szCs w:val="26"/>
          <w:rtl/>
        </w:rPr>
        <w:t>וח אדם</w:t>
      </w:r>
      <w:r>
        <w:rPr>
          <w:rFonts w:ascii="FrankRuehl" w:hAnsi="FrankRuehl" w:cs="FrankRuehl"/>
          <w:sz w:val="26"/>
          <w:szCs w:val="26"/>
          <w:rtl/>
        </w:rPr>
        <w:t xml:space="preserve">, עבור השלמת תקצוב תמיכות ברבנים בהתיישבות </w:t>
      </w:r>
      <w:proofErr w:type="spellStart"/>
      <w:r>
        <w:rPr>
          <w:rFonts w:ascii="FrankRuehl" w:hAnsi="FrankRuehl" w:cs="FrankRuehl"/>
          <w:sz w:val="26"/>
          <w:szCs w:val="26"/>
          <w:rtl/>
        </w:rPr>
        <w:t>ובקייסים</w:t>
      </w:r>
      <w:proofErr w:type="spellEnd"/>
      <w:r>
        <w:rPr>
          <w:rFonts w:ascii="FrankRuehl" w:hAnsi="FrankRuehl" w:cs="FrankRuehl"/>
          <w:sz w:val="26"/>
          <w:szCs w:val="26"/>
          <w:rtl/>
        </w:rPr>
        <w:t>, תקצוב המרכז למקומות קדושים, פיתוח בתי עלמין, שיפוי המשרד בגין הוצאות מבצע "שאגת הארי", וכן תקצוב בהתאם להחלטת ממשלה מס' 4320 מיום 05.07.2026.</w:t>
      </w:r>
    </w:p>
    <w:p w14:paraId="4CFB2F90" w14:textId="77777777" w:rsidR="00686564" w:rsidRDefault="00686564" w:rsidP="00686564">
      <w:pPr>
        <w:jc w:val="both"/>
        <w:rPr>
          <w:rFonts w:ascii="FrankRuehl" w:hAnsi="FrankRuehl" w:cs="FrankRuehl"/>
          <w:b/>
          <w:bCs/>
          <w:sz w:val="26"/>
          <w:szCs w:val="26"/>
          <w:rtl/>
        </w:rPr>
      </w:pPr>
    </w:p>
    <w:p w14:paraId="5B5C808D"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עיקרי הפנייה התקציבית בחלוקה לתוכניות מובאים להלן:</w:t>
      </w:r>
    </w:p>
    <w:p w14:paraId="06BC87E1" w14:textId="77777777" w:rsidR="00686564" w:rsidRDefault="00686564" w:rsidP="00686564">
      <w:pPr>
        <w:jc w:val="both"/>
        <w:rPr>
          <w:rFonts w:ascii="FrankRuehl" w:hAnsi="FrankRuehl" w:cs="FrankRuehl"/>
          <w:sz w:val="26"/>
          <w:szCs w:val="26"/>
          <w:rtl/>
        </w:rPr>
      </w:pPr>
    </w:p>
    <w:p w14:paraId="09B57060"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220101 - מועצות דתיות –8,507 אלפי ש"ח בהוצאה נטו</w:t>
      </w:r>
    </w:p>
    <w:p w14:paraId="10A4B7BE"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תיאור התוכנית: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לתקצוב התמיכה של המשרד לשירותי דת בפעילות המועצות הדתיות.</w:t>
      </w:r>
    </w:p>
    <w:p w14:paraId="1A29B597" w14:textId="77777777" w:rsidR="00686564" w:rsidRDefault="00686564" w:rsidP="00686564">
      <w:pPr>
        <w:jc w:val="both"/>
        <w:rPr>
          <w:rFonts w:ascii="FrankRuehl" w:hAnsi="FrankRuehl" w:cs="FrankRuehl"/>
          <w:sz w:val="26"/>
          <w:szCs w:val="26"/>
          <w:rtl/>
        </w:rPr>
      </w:pPr>
      <w:r>
        <w:rPr>
          <w:rFonts w:ascii="FrankRuehl" w:hAnsi="FrankRuehl" w:cs="FrankRuehl"/>
          <w:b/>
          <w:bCs/>
          <w:sz w:val="26"/>
          <w:szCs w:val="26"/>
          <w:rtl/>
        </w:rPr>
        <w:t>מטרת השינוי התקציבי:</w:t>
      </w:r>
      <w:r>
        <w:rPr>
          <w:rFonts w:ascii="FrankRuehl" w:hAnsi="FrankRuehl" w:cs="FrankRuehl"/>
          <w:sz w:val="26"/>
          <w:szCs w:val="26"/>
          <w:rtl/>
        </w:rPr>
        <w:t xml:space="preserve"> תקצוב סך של 8,507 אלפי ש"ח בהוצאה עבור תקצוב שכר משרתים בקודש בהתאם  לגידול במספר התקנים ועלות השכר שלהם בפועל.</w:t>
      </w:r>
    </w:p>
    <w:p w14:paraId="4D2812DC" w14:textId="77777777" w:rsidR="00686564" w:rsidRDefault="00686564" w:rsidP="00686564">
      <w:pPr>
        <w:jc w:val="both"/>
        <w:rPr>
          <w:rFonts w:ascii="FrankRuehl" w:hAnsi="FrankRuehl" w:cs="FrankRuehl"/>
          <w:b/>
          <w:bCs/>
          <w:sz w:val="26"/>
          <w:szCs w:val="26"/>
          <w:rtl/>
        </w:rPr>
      </w:pPr>
    </w:p>
    <w:p w14:paraId="156853D2"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220102 - תמיכה בשירותי דת  - 26,816 אלפי ש"ח בהוצאה נטו</w:t>
      </w:r>
    </w:p>
    <w:p w14:paraId="5E646738"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תיאור התוכנית: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לתקצוב תמיכות ופעולות אשר מבצע המשרד עבור שיפור שירותי דת וכוללת בין היתר פיתוח מקומות קדושים, המרכז למקומות קדושים, פיתוח מוסדות ציבור, ותמיכות 3א.</w:t>
      </w:r>
    </w:p>
    <w:p w14:paraId="4CD8B792" w14:textId="77777777" w:rsidR="00686564" w:rsidRDefault="00686564" w:rsidP="00686564">
      <w:pPr>
        <w:jc w:val="both"/>
        <w:rPr>
          <w:rFonts w:ascii="FrankRuehl" w:hAnsi="FrankRuehl" w:cs="FrankRuehl"/>
          <w:sz w:val="26"/>
          <w:szCs w:val="26"/>
          <w:highlight w:val="yellow"/>
          <w:rtl/>
        </w:rPr>
      </w:pPr>
      <w:r>
        <w:rPr>
          <w:rFonts w:ascii="FrankRuehl" w:hAnsi="FrankRuehl" w:cs="FrankRuehl"/>
          <w:b/>
          <w:bCs/>
          <w:sz w:val="26"/>
          <w:szCs w:val="26"/>
          <w:rtl/>
        </w:rPr>
        <w:t>מטרת השינוי התקציבי:</w:t>
      </w:r>
      <w:r>
        <w:rPr>
          <w:rFonts w:ascii="FrankRuehl" w:hAnsi="FrankRuehl" w:cs="FrankRuehl"/>
          <w:sz w:val="26"/>
          <w:szCs w:val="26"/>
          <w:rtl/>
        </w:rPr>
        <w:t xml:space="preserve"> ביצוע התאמות בהתאם לביצוע תשלומים בפועל בתקציב פיתוח המקומות הקדושים וכן בעבור השלמת התקציב השוטף של המרכז למקומות קדושים. </w:t>
      </w:r>
    </w:p>
    <w:p w14:paraId="310728EB" w14:textId="05606FAF" w:rsidR="00686564" w:rsidRDefault="00686564" w:rsidP="00686564">
      <w:pPr>
        <w:jc w:val="both"/>
        <w:rPr>
          <w:rFonts w:ascii="FrankRuehl" w:hAnsi="FrankRuehl" w:cs="FrankRuehl"/>
          <w:b/>
          <w:bCs/>
          <w:sz w:val="26"/>
          <w:szCs w:val="26"/>
          <w:rtl/>
        </w:rPr>
      </w:pPr>
    </w:p>
    <w:p w14:paraId="5FA92F90" w14:textId="77777777" w:rsidR="00686564" w:rsidRDefault="00686564" w:rsidP="00686564">
      <w:pPr>
        <w:jc w:val="both"/>
        <w:rPr>
          <w:rFonts w:ascii="FrankRuehl" w:hAnsi="FrankRuehl" w:cs="FrankRuehl"/>
          <w:b/>
          <w:bCs/>
          <w:sz w:val="26"/>
          <w:szCs w:val="26"/>
        </w:rPr>
      </w:pPr>
    </w:p>
    <w:p w14:paraId="7AB980C8"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lastRenderedPageBreak/>
        <w:t>220103 - בתי עלמין – 7,393 אלפי ש"ח בהוצאה נטו ו-17,500 אלפי ש"ח בהרשאה להתחייב</w:t>
      </w:r>
    </w:p>
    <w:p w14:paraId="398E6873"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תיאור התוכנית: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פיתוח בתי עלמין, תמיכות בקבורה רוויה ובקבורה אזרחית וכן את התפעול השוטף של מועצות בתי העלמין.</w:t>
      </w:r>
    </w:p>
    <w:p w14:paraId="2749DDEB"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מטרת השינוי התקציבי:</w:t>
      </w:r>
      <w:r>
        <w:rPr>
          <w:rFonts w:ascii="FrankRuehl" w:hAnsi="FrankRuehl" w:cs="FrankRuehl"/>
          <w:sz w:val="26"/>
          <w:szCs w:val="26"/>
          <w:rtl/>
        </w:rPr>
        <w:t xml:space="preserve"> תקצוב סך של 7,393 אלפי ש"ח בהוצאה נטו בהתאם לביצוע תשלומים בפועל בתמיכות עבר בפיתוח בתי עלמין ו-17,500 אלפי ש"ח בהרשאה להתחייב בעבור קידום פיתוח בית עלמין תל רגב צפון.</w:t>
      </w:r>
    </w:p>
    <w:p w14:paraId="57D3478D" w14:textId="77777777" w:rsidR="00686564" w:rsidRDefault="00686564" w:rsidP="00686564">
      <w:pPr>
        <w:jc w:val="both"/>
        <w:rPr>
          <w:rFonts w:ascii="FrankRuehl" w:hAnsi="FrankRuehl" w:cs="FrankRuehl"/>
          <w:b/>
          <w:bCs/>
          <w:sz w:val="26"/>
          <w:szCs w:val="26"/>
          <w:rtl/>
        </w:rPr>
      </w:pPr>
    </w:p>
    <w:p w14:paraId="5F6CDB7D" w14:textId="4FAF403A" w:rsidR="00686564" w:rsidRP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220105 - שכר ותפעול – 17,290 אלפי ש"ח בהוצאה נטו ו-1 </w:t>
      </w:r>
      <w:r w:rsidRPr="00686564">
        <w:rPr>
          <w:rFonts w:ascii="FrankRuehl" w:hAnsi="FrankRuehl" w:cs="FrankRuehl" w:hint="cs"/>
          <w:b/>
          <w:bCs/>
          <w:sz w:val="26"/>
          <w:szCs w:val="26"/>
          <w:rtl/>
        </w:rPr>
        <w:t>תקן</w:t>
      </w:r>
      <w:r w:rsidRPr="00686564">
        <w:rPr>
          <w:rFonts w:ascii="FrankRuehl" w:hAnsi="FrankRuehl" w:cs="FrankRuehl"/>
          <w:b/>
          <w:bCs/>
          <w:sz w:val="26"/>
          <w:szCs w:val="26"/>
          <w:rtl/>
        </w:rPr>
        <w:t xml:space="preserve"> כ</w:t>
      </w:r>
      <w:r w:rsidRPr="00686564">
        <w:rPr>
          <w:rFonts w:ascii="FrankRuehl" w:hAnsi="FrankRuehl" w:cs="FrankRuehl" w:hint="cs"/>
          <w:b/>
          <w:bCs/>
          <w:sz w:val="26"/>
          <w:szCs w:val="26"/>
          <w:rtl/>
        </w:rPr>
        <w:t>וח אדם</w:t>
      </w:r>
    </w:p>
    <w:p w14:paraId="6E2D407F"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תיאור התוכנית: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הפעילות השוטפת של מטה המשרד לשירותי דת.</w:t>
      </w:r>
    </w:p>
    <w:p w14:paraId="59102C2A" w14:textId="77777777" w:rsidR="00686564" w:rsidRDefault="00686564" w:rsidP="00686564">
      <w:pPr>
        <w:jc w:val="both"/>
        <w:rPr>
          <w:rFonts w:ascii="FrankRuehl" w:hAnsi="FrankRuehl" w:cs="FrankRuehl"/>
          <w:sz w:val="26"/>
          <w:szCs w:val="26"/>
          <w:rtl/>
        </w:rPr>
      </w:pPr>
      <w:r>
        <w:rPr>
          <w:rFonts w:ascii="FrankRuehl" w:hAnsi="FrankRuehl" w:cs="FrankRuehl"/>
          <w:b/>
          <w:bCs/>
          <w:sz w:val="26"/>
          <w:szCs w:val="26"/>
          <w:rtl/>
        </w:rPr>
        <w:t>מטרת השינוי התקציבי:</w:t>
      </w:r>
      <w:r>
        <w:rPr>
          <w:rFonts w:ascii="FrankRuehl" w:hAnsi="FrankRuehl" w:cs="FrankRuehl"/>
          <w:sz w:val="26"/>
          <w:szCs w:val="26"/>
          <w:rtl/>
        </w:rPr>
        <w:t xml:space="preserve"> תקצוב סך של 17,290 אלפי ש"ח בהוצאה עבור התכליות הבאות:</w:t>
      </w:r>
    </w:p>
    <w:p w14:paraId="5C7B33FA" w14:textId="77777777" w:rsidR="00686564" w:rsidRDefault="00686564" w:rsidP="00686564">
      <w:pPr>
        <w:pStyle w:val="aa"/>
        <w:numPr>
          <w:ilvl w:val="0"/>
          <w:numId w:val="1"/>
        </w:numPr>
        <w:overflowPunct w:val="0"/>
        <w:autoSpaceDE w:val="0"/>
        <w:autoSpaceDN w:val="0"/>
        <w:adjustRightInd w:val="0"/>
        <w:spacing w:before="0" w:after="0" w:line="240" w:lineRule="auto"/>
        <w:textAlignment w:val="baseline"/>
        <w:rPr>
          <w:rFonts w:ascii="FrankRuehl" w:hAnsi="FrankRuehl" w:cs="FrankRuehl"/>
          <w:sz w:val="26"/>
          <w:szCs w:val="26"/>
          <w:rtl/>
        </w:rPr>
      </w:pPr>
      <w:r>
        <w:rPr>
          <w:rFonts w:ascii="FrankRuehl" w:hAnsi="FrankRuehl" w:cs="FrankRuehl"/>
          <w:sz w:val="26"/>
          <w:szCs w:val="26"/>
          <w:rtl/>
        </w:rPr>
        <w:t>תקצוב בהתאם לצרכי הפיקוח בפועל של הפיקוח הפיננסי על המועצות הדתיות, המתבצע באמצעות התקשרות של אגף התקצוב והבקרה במשרד עם רו"ח חיצוניים, המבצעים הן פיקוח שוטף, הן ביקורות עומק, והן משמשים כחשבים מלווים למועצות ככל שעולה צורך בכאלה.</w:t>
      </w:r>
    </w:p>
    <w:p w14:paraId="7D85ED29" w14:textId="77777777" w:rsidR="00686564" w:rsidRDefault="00686564" w:rsidP="00686564">
      <w:pPr>
        <w:numPr>
          <w:ilvl w:val="0"/>
          <w:numId w:val="1"/>
        </w:numPr>
        <w:overflowPunct/>
        <w:autoSpaceDE/>
        <w:autoSpaceDN/>
        <w:adjustRightInd/>
        <w:contextualSpacing/>
        <w:jc w:val="both"/>
        <w:textAlignment w:val="auto"/>
        <w:rPr>
          <w:rFonts w:ascii="FrankRuehl" w:hAnsi="FrankRuehl" w:cs="FrankRuehl"/>
          <w:b/>
          <w:bCs/>
          <w:sz w:val="26"/>
          <w:szCs w:val="26"/>
        </w:rPr>
      </w:pPr>
      <w:r>
        <w:rPr>
          <w:rFonts w:ascii="FrankRuehl" w:hAnsi="FrankRuehl" w:cs="FrankRuehl"/>
          <w:sz w:val="26"/>
          <w:szCs w:val="26"/>
          <w:rtl/>
        </w:rPr>
        <w:t xml:space="preserve">ביצוע תשלומים בפועל בפיתוח מערכת המחשוב המאגדת למועצות הדתיות ולחברות </w:t>
      </w:r>
      <w:proofErr w:type="spellStart"/>
      <w:r>
        <w:rPr>
          <w:rFonts w:ascii="FrankRuehl" w:hAnsi="FrankRuehl" w:cs="FrankRuehl"/>
          <w:sz w:val="26"/>
          <w:szCs w:val="26"/>
          <w:rtl/>
        </w:rPr>
        <w:t>הקדישא</w:t>
      </w:r>
      <w:proofErr w:type="spellEnd"/>
      <w:r>
        <w:rPr>
          <w:rFonts w:ascii="FrankRuehl" w:hAnsi="FrankRuehl" w:cs="FrankRuehl"/>
          <w:sz w:val="26"/>
          <w:szCs w:val="26"/>
          <w:rtl/>
        </w:rPr>
        <w:t xml:space="preserve"> "שירת הים"</w:t>
      </w:r>
      <w:r>
        <w:rPr>
          <w:rFonts w:ascii="FrankRuehl" w:hAnsi="FrankRuehl" w:cs="FrankRuehl"/>
          <w:b/>
          <w:bCs/>
          <w:sz w:val="26"/>
          <w:szCs w:val="26"/>
          <w:rtl/>
        </w:rPr>
        <w:t>.</w:t>
      </w:r>
    </w:p>
    <w:p w14:paraId="15E83AF4" w14:textId="77777777" w:rsidR="00686564" w:rsidRDefault="00686564" w:rsidP="00686564">
      <w:pPr>
        <w:numPr>
          <w:ilvl w:val="0"/>
          <w:numId w:val="1"/>
        </w:numPr>
        <w:overflowPunct/>
        <w:autoSpaceDE/>
        <w:autoSpaceDN/>
        <w:adjustRightInd/>
        <w:contextualSpacing/>
        <w:jc w:val="both"/>
        <w:textAlignment w:val="auto"/>
        <w:rPr>
          <w:rFonts w:ascii="FrankRuehl" w:hAnsi="FrankRuehl" w:cs="FrankRuehl"/>
          <w:sz w:val="26"/>
          <w:szCs w:val="26"/>
          <w:rtl/>
        </w:rPr>
      </w:pPr>
      <w:r>
        <w:rPr>
          <w:rFonts w:ascii="FrankRuehl" w:hAnsi="FrankRuehl" w:cs="FrankRuehl"/>
          <w:sz w:val="26"/>
          <w:szCs w:val="26"/>
          <w:rtl/>
        </w:rPr>
        <w:t>שיפוי המשרד בגין הטיפול בחללים במבצע "שאגת הארי".</w:t>
      </w:r>
    </w:p>
    <w:p w14:paraId="092A5C44" w14:textId="77777777" w:rsidR="00686564" w:rsidRDefault="00686564" w:rsidP="00686564">
      <w:pPr>
        <w:numPr>
          <w:ilvl w:val="0"/>
          <w:numId w:val="1"/>
        </w:numPr>
        <w:overflowPunct/>
        <w:autoSpaceDE/>
        <w:autoSpaceDN/>
        <w:adjustRightInd/>
        <w:contextualSpacing/>
        <w:jc w:val="both"/>
        <w:textAlignment w:val="auto"/>
        <w:rPr>
          <w:rFonts w:ascii="FrankRuehl" w:hAnsi="FrankRuehl" w:cs="FrankRuehl"/>
          <w:sz w:val="26"/>
          <w:szCs w:val="26"/>
        </w:rPr>
      </w:pPr>
      <w:r>
        <w:rPr>
          <w:rFonts w:ascii="FrankRuehl" w:hAnsi="FrankRuehl" w:cs="FrankRuehl"/>
          <w:sz w:val="26"/>
          <w:szCs w:val="26"/>
          <w:rtl/>
        </w:rPr>
        <w:t>ביצוע התאמות בהוצאה בהתאם לצרכים בפועל בתיאום עם מנהל הרכב הממשלתי.</w:t>
      </w:r>
    </w:p>
    <w:p w14:paraId="392243F7" w14:textId="3B4A5A97" w:rsidR="00686564" w:rsidRDefault="00686564" w:rsidP="00686564">
      <w:pPr>
        <w:contextualSpacing/>
        <w:jc w:val="both"/>
        <w:rPr>
          <w:rFonts w:ascii="FrankRuehl" w:hAnsi="FrankRuehl" w:cs="FrankRuehl"/>
          <w:sz w:val="26"/>
          <w:szCs w:val="26"/>
        </w:rPr>
      </w:pPr>
      <w:r>
        <w:rPr>
          <w:rFonts w:ascii="FrankRuehl" w:hAnsi="FrankRuehl" w:cs="FrankRuehl"/>
          <w:sz w:val="26"/>
          <w:szCs w:val="26"/>
          <w:rtl/>
        </w:rPr>
        <w:t xml:space="preserve">בנוסף, תקצוב 1 </w:t>
      </w:r>
      <w:r>
        <w:rPr>
          <w:rFonts w:ascii="FrankRuehl" w:hAnsi="FrankRuehl" w:cs="FrankRuehl" w:hint="cs"/>
          <w:sz w:val="26"/>
          <w:szCs w:val="26"/>
          <w:rtl/>
        </w:rPr>
        <w:t>תקן</w:t>
      </w:r>
      <w:r>
        <w:rPr>
          <w:rFonts w:ascii="FrankRuehl" w:hAnsi="FrankRuehl" w:cs="FrankRuehl"/>
          <w:sz w:val="26"/>
          <w:szCs w:val="26"/>
          <w:rtl/>
        </w:rPr>
        <w:t xml:space="preserve"> כ</w:t>
      </w:r>
      <w:r>
        <w:rPr>
          <w:rFonts w:ascii="FrankRuehl" w:hAnsi="FrankRuehl" w:cs="FrankRuehl" w:hint="cs"/>
          <w:sz w:val="26"/>
          <w:szCs w:val="26"/>
          <w:rtl/>
        </w:rPr>
        <w:t>וח אדם</w:t>
      </w:r>
      <w:r>
        <w:rPr>
          <w:rFonts w:ascii="FrankRuehl" w:hAnsi="FrankRuehl" w:cs="FrankRuehl"/>
          <w:sz w:val="26"/>
          <w:szCs w:val="26"/>
          <w:rtl/>
        </w:rPr>
        <w:t xml:space="preserve"> </w:t>
      </w:r>
      <w:r>
        <w:rPr>
          <w:rFonts w:ascii="FrankRuehl" w:hAnsi="FrankRuehl" w:cs="FrankRuehl"/>
          <w:sz w:val="26"/>
          <w:szCs w:val="26"/>
          <w:rtl/>
        </w:rPr>
        <w:t>המועבר ממשרד רוה"מ למשרד לשירותי דת, בהתאם להסכמות בין המשרדים.</w:t>
      </w:r>
    </w:p>
    <w:p w14:paraId="72963B76" w14:textId="77777777" w:rsidR="00686564" w:rsidRDefault="00686564" w:rsidP="00686564">
      <w:pPr>
        <w:jc w:val="both"/>
        <w:rPr>
          <w:rFonts w:ascii="FrankRuehl" w:hAnsi="FrankRuehl" w:cs="FrankRuehl"/>
          <w:b/>
          <w:bCs/>
          <w:sz w:val="26"/>
          <w:szCs w:val="26"/>
          <w:rtl/>
        </w:rPr>
      </w:pPr>
    </w:p>
    <w:p w14:paraId="08740AD1"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220301 - בתי הדין הרבניים – 18,000 אלפי ש"ח בהוצאה נטו</w:t>
      </w:r>
    </w:p>
    <w:p w14:paraId="66CFAB98"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 xml:space="preserve">תיאור התוכנית: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הפעילות של בתי הדין הרבניים.</w:t>
      </w:r>
    </w:p>
    <w:p w14:paraId="47F6E4D9" w14:textId="77777777" w:rsidR="00686564" w:rsidRDefault="00686564" w:rsidP="00686564">
      <w:pPr>
        <w:jc w:val="both"/>
        <w:rPr>
          <w:rFonts w:ascii="FrankRuehl" w:hAnsi="FrankRuehl" w:cs="FrankRuehl"/>
          <w:b/>
          <w:bCs/>
          <w:sz w:val="26"/>
          <w:szCs w:val="26"/>
          <w:rtl/>
        </w:rPr>
      </w:pPr>
      <w:r>
        <w:rPr>
          <w:rFonts w:ascii="FrankRuehl" w:hAnsi="FrankRuehl" w:cs="FrankRuehl"/>
          <w:b/>
          <w:bCs/>
          <w:sz w:val="26"/>
          <w:szCs w:val="26"/>
          <w:rtl/>
        </w:rPr>
        <w:t>מטרת השינוי התקציבי:</w:t>
      </w:r>
      <w:r>
        <w:rPr>
          <w:rFonts w:ascii="FrankRuehl" w:hAnsi="FrankRuehl" w:cs="FrankRuehl"/>
          <w:sz w:val="26"/>
          <w:szCs w:val="26"/>
          <w:rtl/>
        </w:rPr>
        <w:t xml:space="preserve"> תקצוב סך של 18,000 אלפי ש"ח בהתאם להחלטת ממשלה מס' 4320 מיום 05.07.2026 שעניינה "הקצאת תוספת תקציב לבתי הדין הרבניים בשנת 2026".</w:t>
      </w:r>
    </w:p>
    <w:p w14:paraId="65B6319F" w14:textId="77777777" w:rsidR="00686564" w:rsidRDefault="00686564" w:rsidP="00686564">
      <w:pPr>
        <w:jc w:val="both"/>
        <w:rPr>
          <w:rFonts w:ascii="FrankRuehl" w:hAnsi="FrankRuehl" w:cs="FrankRuehl"/>
          <w:b/>
          <w:bCs/>
          <w:sz w:val="26"/>
          <w:szCs w:val="26"/>
          <w:rtl/>
        </w:rPr>
      </w:pPr>
    </w:p>
    <w:p w14:paraId="199A83F8" w14:textId="4BBA4C68" w:rsidR="00686564" w:rsidRDefault="00686564" w:rsidP="00686564">
      <w:pPr>
        <w:jc w:val="both"/>
        <w:rPr>
          <w:rFonts w:ascii="FrankRuehl" w:hAnsi="FrankRuehl" w:cs="FrankRuehl"/>
          <w:sz w:val="26"/>
          <w:szCs w:val="26"/>
          <w:rtl/>
        </w:rPr>
      </w:pPr>
      <w:r>
        <w:rPr>
          <w:rFonts w:ascii="FrankRuehl" w:hAnsi="FrankRuehl" w:cs="FrankRuehl"/>
          <w:b/>
          <w:bCs/>
          <w:sz w:val="26"/>
          <w:szCs w:val="26"/>
          <w:rtl/>
        </w:rPr>
        <w:t xml:space="preserve">השפעה על כוח אדם: </w:t>
      </w:r>
      <w:r>
        <w:rPr>
          <w:rFonts w:ascii="FrankRuehl" w:hAnsi="FrankRuehl" w:cs="FrankRuehl"/>
          <w:sz w:val="26"/>
          <w:szCs w:val="26"/>
          <w:rtl/>
        </w:rPr>
        <w:t xml:space="preserve">1 </w:t>
      </w:r>
      <w:r>
        <w:rPr>
          <w:rFonts w:ascii="FrankRuehl" w:hAnsi="FrankRuehl" w:cs="FrankRuehl" w:hint="cs"/>
          <w:sz w:val="26"/>
          <w:szCs w:val="26"/>
          <w:rtl/>
        </w:rPr>
        <w:t>תקן</w:t>
      </w:r>
      <w:r>
        <w:rPr>
          <w:rFonts w:ascii="FrankRuehl" w:hAnsi="FrankRuehl" w:cs="FrankRuehl"/>
          <w:sz w:val="26"/>
          <w:szCs w:val="26"/>
          <w:rtl/>
        </w:rPr>
        <w:t xml:space="preserve"> כ</w:t>
      </w:r>
      <w:r>
        <w:rPr>
          <w:rFonts w:ascii="FrankRuehl" w:hAnsi="FrankRuehl" w:cs="FrankRuehl" w:hint="cs"/>
          <w:sz w:val="26"/>
          <w:szCs w:val="26"/>
          <w:rtl/>
        </w:rPr>
        <w:t>וח אדם</w:t>
      </w:r>
      <w:r>
        <w:rPr>
          <w:rFonts w:ascii="FrankRuehl" w:hAnsi="FrankRuehl" w:cs="FrankRuehl"/>
          <w:sz w:val="26"/>
          <w:szCs w:val="26"/>
          <w:rtl/>
        </w:rPr>
        <w:t>.</w:t>
      </w:r>
    </w:p>
    <w:p w14:paraId="57C58773" w14:textId="25B45C46" w:rsidR="00686564" w:rsidRDefault="00686564" w:rsidP="00686564">
      <w:pPr>
        <w:tabs>
          <w:tab w:val="center" w:pos="6888"/>
        </w:tabs>
        <w:rPr>
          <w:rFonts w:ascii="FrankRuehl" w:hAnsi="FrankRuehl" w:cs="FrankRuehl"/>
          <w:sz w:val="26"/>
          <w:szCs w:val="26"/>
          <w:rtl/>
        </w:rPr>
      </w:pPr>
      <w:r>
        <w:rPr>
          <w:rFonts w:ascii="FrankRuehl" w:hAnsi="FrankRuehl" w:cs="FrankRuehl"/>
          <w:sz w:val="26"/>
          <w:szCs w:val="26"/>
          <w:rtl/>
        </w:rPr>
        <w:tab/>
      </w:r>
    </w:p>
    <w:p w14:paraId="4B0BF487" w14:textId="77777777" w:rsidR="00CB133E" w:rsidRPr="00161010" w:rsidRDefault="00CB133E">
      <w:pPr>
        <w:rPr>
          <w:rFonts w:cs="FrankRuehl"/>
          <w:sz w:val="26"/>
          <w:szCs w:val="26"/>
          <w:rtl/>
        </w:rPr>
      </w:pPr>
    </w:p>
    <w:p w14:paraId="24B0B403" w14:textId="77777777" w:rsidR="00CB133E" w:rsidRPr="00161010" w:rsidRDefault="00CB133E">
      <w:pPr>
        <w:rPr>
          <w:rFonts w:cs="FrankRuehl"/>
          <w:sz w:val="26"/>
          <w:szCs w:val="26"/>
          <w:rtl/>
        </w:rPr>
      </w:pPr>
    </w:p>
    <w:p w14:paraId="29F6B02E"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77D1AD6C" w14:textId="77777777" w:rsidR="00462897" w:rsidRDefault="00462897">
      <w:pPr>
        <w:tabs>
          <w:tab w:val="center" w:pos="6867"/>
        </w:tabs>
        <w:rPr>
          <w:rFonts w:cs="FrankRuehl"/>
          <w:sz w:val="26"/>
          <w:szCs w:val="26"/>
          <w:rtl/>
        </w:rPr>
      </w:pPr>
      <w:r>
        <w:rPr>
          <w:rFonts w:cs="FrankRuehl"/>
          <w:sz w:val="26"/>
          <w:szCs w:val="26"/>
          <w:rtl/>
        </w:rPr>
        <w:tab/>
      </w:r>
    </w:p>
    <w:p w14:paraId="41F70AD6" w14:textId="77777777" w:rsidR="00462897" w:rsidRPr="00161010" w:rsidRDefault="00462897">
      <w:pPr>
        <w:tabs>
          <w:tab w:val="center" w:pos="6867"/>
        </w:tabs>
        <w:rPr>
          <w:rFonts w:cs="FrankRuehl"/>
          <w:sz w:val="26"/>
          <w:szCs w:val="26"/>
        </w:rPr>
      </w:pPr>
      <w:r>
        <w:rPr>
          <w:rFonts w:cs="FrankRuehl"/>
          <w:sz w:val="26"/>
          <w:szCs w:val="26"/>
          <w:rtl/>
        </w:rPr>
        <w:tab/>
      </w:r>
      <w:bookmarkStart w:id="9" w:name="Sign_Image"/>
      <w:bookmarkEnd w:id="9"/>
    </w:p>
    <w:p w14:paraId="3D677E4C"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4664F92F"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2AB8562B"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7CCE7E24" w14:textId="77777777" w:rsidR="00CB133E" w:rsidRPr="00161010" w:rsidRDefault="00CB133E">
      <w:pPr>
        <w:rPr>
          <w:rFonts w:cs="FrankRuehl"/>
          <w:sz w:val="26"/>
          <w:szCs w:val="26"/>
          <w:rtl/>
        </w:rPr>
      </w:pPr>
    </w:p>
    <w:p w14:paraId="18CA3912" w14:textId="77777777" w:rsidR="00CB133E" w:rsidRPr="00161010" w:rsidRDefault="00CB133E">
      <w:pPr>
        <w:rPr>
          <w:rFonts w:cs="FrankRuehl"/>
          <w:sz w:val="26"/>
          <w:szCs w:val="26"/>
          <w:rtl/>
        </w:rPr>
      </w:pPr>
      <w:r w:rsidRPr="00161010">
        <w:rPr>
          <w:rFonts w:cs="FrankRuehl"/>
          <w:sz w:val="26"/>
          <w:szCs w:val="26"/>
          <w:rtl/>
        </w:rPr>
        <w:t>העתק:</w:t>
      </w:r>
    </w:p>
    <w:p w14:paraId="20FC231C" w14:textId="77777777" w:rsidR="00CB133E" w:rsidRPr="00161010" w:rsidRDefault="00CB133E">
      <w:pPr>
        <w:rPr>
          <w:rFonts w:cs="FrankRuehl"/>
          <w:sz w:val="26"/>
          <w:szCs w:val="26"/>
          <w:rtl/>
        </w:rPr>
      </w:pPr>
      <w:r w:rsidRPr="00161010">
        <w:rPr>
          <w:rFonts w:cs="FrankRuehl"/>
          <w:sz w:val="26"/>
          <w:szCs w:val="26"/>
          <w:rtl/>
        </w:rPr>
        <w:t>החשב הכללי</w:t>
      </w:r>
    </w:p>
    <w:p w14:paraId="03DBAC29" w14:textId="77777777" w:rsidR="00CB133E" w:rsidRPr="00161010" w:rsidRDefault="00CB133E">
      <w:pPr>
        <w:rPr>
          <w:rFonts w:cs="FrankRuehl"/>
          <w:sz w:val="26"/>
          <w:szCs w:val="26"/>
          <w:rtl/>
        </w:rPr>
      </w:pPr>
      <w:r w:rsidRPr="00161010">
        <w:rPr>
          <w:rFonts w:cs="FrankRuehl"/>
          <w:sz w:val="26"/>
          <w:szCs w:val="26"/>
          <w:rtl/>
        </w:rPr>
        <w:t>מבקר המדינה (2)</w:t>
      </w:r>
    </w:p>
    <w:p w14:paraId="0FC9F075" w14:textId="77777777" w:rsidR="0058062A" w:rsidRDefault="0058062A">
      <w:pPr>
        <w:rPr>
          <w:rFonts w:cs="FrankRuehl"/>
          <w:sz w:val="26"/>
          <w:szCs w:val="26"/>
          <w:rtl/>
        </w:rPr>
      </w:pPr>
      <w:bookmarkStart w:id="10" w:name="TAKZIV22"/>
      <w:r>
        <w:rPr>
          <w:rFonts w:cs="FrankRuehl"/>
          <w:sz w:val="26"/>
          <w:szCs w:val="26"/>
          <w:rtl/>
        </w:rPr>
        <w:t>חשב החשב הכללי</w:t>
      </w:r>
    </w:p>
    <w:p w14:paraId="1D686335" w14:textId="511A847B" w:rsidR="00CB133E" w:rsidRPr="00161010" w:rsidRDefault="0058062A">
      <w:pPr>
        <w:rPr>
          <w:rFonts w:cs="FrankRuehl"/>
          <w:sz w:val="26"/>
          <w:szCs w:val="26"/>
          <w:rtl/>
        </w:rPr>
      </w:pPr>
      <w:r>
        <w:rPr>
          <w:rFonts w:cs="FrankRuehl"/>
          <w:sz w:val="26"/>
          <w:szCs w:val="26"/>
          <w:rtl/>
        </w:rPr>
        <w:t>חשב רשות התחדשות עירונית</w:t>
      </w:r>
      <w:bookmarkEnd w:id="10"/>
    </w:p>
    <w:p w14:paraId="48B2B894" w14:textId="12509977" w:rsidR="00CB133E" w:rsidRPr="00161010" w:rsidRDefault="00CB133E">
      <w:pPr>
        <w:rPr>
          <w:rFonts w:cs="FrankRuehl"/>
          <w:sz w:val="26"/>
          <w:szCs w:val="26"/>
          <w:rtl/>
        </w:rPr>
      </w:pPr>
      <w:r w:rsidRPr="00161010">
        <w:rPr>
          <w:rFonts w:cs="FrankRuehl"/>
          <w:sz w:val="26"/>
          <w:szCs w:val="26"/>
          <w:rtl/>
        </w:rPr>
        <w:t xml:space="preserve">קצין תקציבים </w:t>
      </w:r>
      <w:bookmarkStart w:id="11" w:name="TAKZIV6_1"/>
      <w:r w:rsidR="0058062A">
        <w:rPr>
          <w:rFonts w:cs="FrankRuehl"/>
          <w:sz w:val="26"/>
          <w:szCs w:val="26"/>
          <w:rtl/>
        </w:rPr>
        <w:t>רשויות פיקוח</w:t>
      </w:r>
      <w:bookmarkEnd w:id="11"/>
    </w:p>
    <w:p w14:paraId="0B5FD4D2" w14:textId="391C165D" w:rsidR="00CB133E" w:rsidRPr="00161010" w:rsidRDefault="00CB133E">
      <w:pPr>
        <w:rPr>
          <w:rFonts w:cs="FrankRuehl"/>
          <w:sz w:val="26"/>
          <w:szCs w:val="26"/>
          <w:rtl/>
        </w:rPr>
      </w:pPr>
      <w:r w:rsidRPr="00161010">
        <w:rPr>
          <w:rFonts w:cs="FrankRuehl"/>
          <w:sz w:val="26"/>
          <w:szCs w:val="26"/>
          <w:rtl/>
        </w:rPr>
        <w:t xml:space="preserve">רפרנט </w:t>
      </w:r>
      <w:bookmarkStart w:id="12" w:name="TAKZIV6_2"/>
      <w:r w:rsidR="0058062A">
        <w:rPr>
          <w:rFonts w:cs="FrankRuehl"/>
          <w:sz w:val="26"/>
          <w:szCs w:val="26"/>
          <w:rtl/>
        </w:rPr>
        <w:t>רשויות פיקוח</w:t>
      </w:r>
      <w:bookmarkEnd w:id="12"/>
    </w:p>
    <w:p w14:paraId="7674219A" w14:textId="77777777" w:rsidR="00CB133E" w:rsidRPr="00161010" w:rsidRDefault="00CB133E">
      <w:pPr>
        <w:rPr>
          <w:rFonts w:cs="FrankRuehl"/>
          <w:sz w:val="26"/>
          <w:szCs w:val="26"/>
          <w:rtl/>
        </w:rPr>
      </w:pPr>
      <w:bookmarkStart w:id="13" w:name="TAKZIV23"/>
      <w:bookmarkEnd w:id="13"/>
    </w:p>
    <w:p w14:paraId="6039FC51" w14:textId="77777777" w:rsidR="00CB133E" w:rsidRPr="00161010" w:rsidRDefault="00CB133E">
      <w:pPr>
        <w:rPr>
          <w:rFonts w:cs="FrankRuehl"/>
          <w:sz w:val="26"/>
          <w:szCs w:val="26"/>
          <w:rtl/>
        </w:rPr>
      </w:pPr>
    </w:p>
    <w:p w14:paraId="2B919481" w14:textId="1D4B2321" w:rsidR="00CB133E" w:rsidRDefault="00CB133E">
      <w:pPr>
        <w:rPr>
          <w:rFonts w:cs="FrankRuehl"/>
          <w:sz w:val="26"/>
          <w:szCs w:val="26"/>
          <w:rtl/>
        </w:rPr>
      </w:pPr>
      <w:bookmarkStart w:id="14" w:name="TAKZIV25"/>
      <w:bookmarkEnd w:id="14"/>
    </w:p>
    <w:p w14:paraId="668F6082" w14:textId="25764BEC" w:rsidR="00686564" w:rsidRDefault="00686564">
      <w:pPr>
        <w:rPr>
          <w:rFonts w:cs="FrankRuehl"/>
          <w:sz w:val="26"/>
          <w:szCs w:val="26"/>
          <w:rtl/>
        </w:rPr>
      </w:pPr>
    </w:p>
    <w:p w14:paraId="464B5767" w14:textId="5364ECDF" w:rsidR="00686564" w:rsidRDefault="00686564">
      <w:pPr>
        <w:rPr>
          <w:rFonts w:cs="FrankRuehl"/>
          <w:sz w:val="26"/>
          <w:szCs w:val="26"/>
          <w:rtl/>
        </w:rPr>
      </w:pPr>
    </w:p>
    <w:p w14:paraId="61E01AC6" w14:textId="6D70101E" w:rsidR="00686564" w:rsidRDefault="00686564">
      <w:pPr>
        <w:rPr>
          <w:rFonts w:cs="FrankRuehl"/>
          <w:sz w:val="26"/>
          <w:szCs w:val="26"/>
          <w:rtl/>
        </w:rPr>
      </w:pPr>
    </w:p>
    <w:p w14:paraId="7F274834" w14:textId="2109F618" w:rsidR="00686564" w:rsidRDefault="00686564">
      <w:pPr>
        <w:rPr>
          <w:rFonts w:cs="FrankRuehl"/>
          <w:sz w:val="26"/>
          <w:szCs w:val="26"/>
          <w:rtl/>
        </w:rPr>
      </w:pPr>
    </w:p>
    <w:p w14:paraId="1632AC4C" w14:textId="31088E37" w:rsidR="00686564" w:rsidRDefault="00686564">
      <w:pPr>
        <w:rPr>
          <w:rFonts w:cs="FrankRuehl"/>
          <w:sz w:val="26"/>
          <w:szCs w:val="26"/>
          <w:rtl/>
        </w:rPr>
      </w:pPr>
    </w:p>
    <w:p w14:paraId="3EB4BE11" w14:textId="789C9A1B" w:rsidR="00686564" w:rsidRDefault="00686564" w:rsidP="00686564">
      <w:pPr>
        <w:jc w:val="center"/>
        <w:rPr>
          <w:rFonts w:ascii="FrankRuehl" w:hAnsi="FrankRuehl" w:cs="FrankRuehl"/>
          <w:b/>
          <w:bCs/>
          <w:sz w:val="26"/>
          <w:szCs w:val="26"/>
          <w:u w:val="single"/>
          <w:rtl/>
        </w:rPr>
      </w:pPr>
      <w:r w:rsidRPr="00686564">
        <w:rPr>
          <w:rFonts w:ascii="FrankRuehl" w:hAnsi="FrankRuehl" w:cs="FrankRuehl"/>
          <w:b/>
          <w:bCs/>
          <w:sz w:val="26"/>
          <w:szCs w:val="26"/>
          <w:u w:val="single"/>
          <w:rtl/>
        </w:rPr>
        <w:lastRenderedPageBreak/>
        <w:t xml:space="preserve">נספח </w:t>
      </w:r>
      <w:r>
        <w:rPr>
          <w:rFonts w:ascii="FrankRuehl" w:hAnsi="FrankRuehl" w:cs="FrankRuehl" w:hint="cs"/>
          <w:b/>
          <w:bCs/>
          <w:sz w:val="26"/>
          <w:szCs w:val="26"/>
          <w:u w:val="single"/>
          <w:rtl/>
        </w:rPr>
        <w:t>לדברי ההסבר</w:t>
      </w:r>
    </w:p>
    <w:p w14:paraId="2AD0E7FC" w14:textId="77777777" w:rsidR="00686564" w:rsidRPr="00686564" w:rsidRDefault="00686564" w:rsidP="00686564">
      <w:pPr>
        <w:jc w:val="center"/>
        <w:rPr>
          <w:rFonts w:ascii="FrankRuehl" w:hAnsi="FrankRuehl" w:cs="FrankRuehl" w:hint="cs"/>
          <w:b/>
          <w:bCs/>
          <w:sz w:val="26"/>
          <w:szCs w:val="26"/>
          <w:u w:val="single"/>
          <w:rtl/>
        </w:rPr>
      </w:pPr>
    </w:p>
    <w:p w14:paraId="36EC6E90" w14:textId="69F2985B" w:rsidR="00686564" w:rsidRDefault="00686564" w:rsidP="00686564">
      <w:pPr>
        <w:jc w:val="center"/>
        <w:rPr>
          <w:rFonts w:ascii="FrankRuehl" w:hAnsi="FrankRuehl" w:cs="FrankRuehl"/>
          <w:b/>
          <w:bCs/>
          <w:sz w:val="26"/>
          <w:szCs w:val="26"/>
          <w:rtl/>
        </w:rPr>
      </w:pPr>
      <w:r>
        <w:rPr>
          <w:rFonts w:ascii="FrankRuehl" w:hAnsi="FrankRuehl" w:cs="FrankRuehl"/>
          <w:b/>
          <w:bCs/>
          <w:sz w:val="26"/>
          <w:szCs w:val="26"/>
          <w:rtl/>
        </w:rPr>
        <w:t xml:space="preserve">היסטוריה תקציבית </w:t>
      </w:r>
      <w:r>
        <w:rPr>
          <w:rFonts w:ascii="FrankRuehl" w:hAnsi="FrankRuehl" w:cs="FrankRuehl" w:hint="cs"/>
          <w:b/>
          <w:bCs/>
          <w:sz w:val="26"/>
          <w:szCs w:val="26"/>
          <w:rtl/>
        </w:rPr>
        <w:t>-</w:t>
      </w:r>
      <w:r>
        <w:rPr>
          <w:rFonts w:ascii="FrankRuehl" w:hAnsi="FrankRuehl" w:cs="FrankRuehl"/>
          <w:b/>
          <w:bCs/>
          <w:sz w:val="26"/>
          <w:szCs w:val="26"/>
          <w:rtl/>
        </w:rPr>
        <w:t xml:space="preserve"> הוצאה נטו</w:t>
      </w:r>
    </w:p>
    <w:tbl>
      <w:tblPr>
        <w:bidiVisual/>
        <w:tblW w:w="5000" w:type="pct"/>
        <w:tblLook w:val="04A0" w:firstRow="1" w:lastRow="0" w:firstColumn="1" w:lastColumn="0" w:noHBand="0" w:noVBand="1"/>
      </w:tblPr>
      <w:tblGrid>
        <w:gridCol w:w="916"/>
        <w:gridCol w:w="1160"/>
        <w:gridCol w:w="921"/>
        <w:gridCol w:w="921"/>
        <w:gridCol w:w="921"/>
        <w:gridCol w:w="921"/>
        <w:gridCol w:w="921"/>
        <w:gridCol w:w="921"/>
        <w:gridCol w:w="921"/>
      </w:tblGrid>
      <w:tr w:rsidR="00686564" w14:paraId="01581690" w14:textId="77777777" w:rsidTr="00686564">
        <w:trPr>
          <w:trHeight w:val="1980"/>
        </w:trPr>
        <w:tc>
          <w:tcPr>
            <w:tcW w:w="579" w:type="pct"/>
            <w:tcBorders>
              <w:top w:val="single" w:sz="4" w:space="0" w:color="979991"/>
              <w:left w:val="single" w:sz="4" w:space="0" w:color="979991"/>
              <w:bottom w:val="nil"/>
              <w:right w:val="nil"/>
            </w:tcBorders>
            <w:shd w:val="clear" w:color="auto" w:fill="F0F4FA"/>
            <w:vAlign w:val="center"/>
            <w:hideMark/>
          </w:tcPr>
          <w:p w14:paraId="275A62BB"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קוד תוכנית</w:t>
            </w:r>
          </w:p>
        </w:tc>
        <w:tc>
          <w:tcPr>
            <w:tcW w:w="722" w:type="pct"/>
            <w:tcBorders>
              <w:top w:val="single" w:sz="4" w:space="0" w:color="979991"/>
              <w:left w:val="single" w:sz="4" w:space="0" w:color="979991"/>
              <w:bottom w:val="single" w:sz="4" w:space="0" w:color="979991"/>
              <w:right w:val="nil"/>
            </w:tcBorders>
            <w:shd w:val="clear" w:color="auto" w:fill="F0F4FA"/>
            <w:vAlign w:val="center"/>
            <w:hideMark/>
          </w:tcPr>
          <w:p w14:paraId="518A604C" w14:textId="77777777" w:rsidR="00686564" w:rsidRDefault="00686564" w:rsidP="00A50836">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התקציב המוצע בפנייה הוצאות נטו</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449D1E93"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2026</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5AAAB482"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 xml:space="preserve">מאושר 2025 בניכוי עודפים שעברו ב-2025 </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61DBC786"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478259E3"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 בניכוי עודפים שעברו ב-2024</w:t>
            </w:r>
          </w:p>
        </w:tc>
        <w:tc>
          <w:tcPr>
            <w:tcW w:w="498" w:type="pct"/>
            <w:tcBorders>
              <w:top w:val="single" w:sz="4" w:space="0" w:color="979991"/>
              <w:left w:val="single" w:sz="4" w:space="0" w:color="979991"/>
              <w:bottom w:val="single" w:sz="4" w:space="0" w:color="979991"/>
              <w:right w:val="nil"/>
            </w:tcBorders>
            <w:shd w:val="clear" w:color="auto" w:fill="F0F4FA"/>
            <w:vAlign w:val="center"/>
            <w:hideMark/>
          </w:tcPr>
          <w:p w14:paraId="6EBF3D1E"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39989811"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 בניכוי עודפים שעברו ב-2023</w:t>
            </w:r>
          </w:p>
        </w:tc>
        <w:tc>
          <w:tcPr>
            <w:tcW w:w="468"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E0E9ADF"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686564" w14:paraId="531679FC" w14:textId="77777777" w:rsidTr="00686564">
        <w:trPr>
          <w:trHeight w:val="330"/>
        </w:trPr>
        <w:tc>
          <w:tcPr>
            <w:tcW w:w="579" w:type="pct"/>
            <w:tcBorders>
              <w:top w:val="single" w:sz="4" w:space="0" w:color="979991"/>
              <w:left w:val="single" w:sz="4" w:space="0" w:color="979991"/>
              <w:bottom w:val="single" w:sz="4" w:space="0" w:color="979991"/>
              <w:right w:val="nil"/>
            </w:tcBorders>
            <w:shd w:val="clear" w:color="auto" w:fill="F0F4FA"/>
            <w:vAlign w:val="center"/>
            <w:hideMark/>
          </w:tcPr>
          <w:p w14:paraId="2B66329C" w14:textId="77777777" w:rsidR="00686564" w:rsidRDefault="00686564" w:rsidP="00A50836">
            <w:pPr>
              <w:bidi w:val="0"/>
              <w:jc w:val="center"/>
              <w:rPr>
                <w:rFonts w:ascii="FrankRuehl" w:hAnsi="FrankRuehl" w:cs="FrankRuehl"/>
                <w:color w:val="000000"/>
                <w:sz w:val="26"/>
                <w:szCs w:val="26"/>
                <w:rtl/>
              </w:rPr>
            </w:pPr>
            <w:r>
              <w:rPr>
                <w:rFonts w:ascii="FrankRuehl" w:hAnsi="FrankRuehl" w:cs="FrankRuehl"/>
                <w:color w:val="000000"/>
                <w:sz w:val="26"/>
                <w:szCs w:val="26"/>
              </w:rPr>
              <w:t>220101</w:t>
            </w:r>
          </w:p>
        </w:tc>
        <w:tc>
          <w:tcPr>
            <w:tcW w:w="722" w:type="pct"/>
            <w:tcBorders>
              <w:top w:val="nil"/>
              <w:left w:val="single" w:sz="4" w:space="0" w:color="979991"/>
              <w:bottom w:val="single" w:sz="4" w:space="0" w:color="979991"/>
              <w:right w:val="nil"/>
            </w:tcBorders>
            <w:shd w:val="clear" w:color="auto" w:fill="FFFFFF"/>
            <w:vAlign w:val="center"/>
            <w:hideMark/>
          </w:tcPr>
          <w:p w14:paraId="0AB0492B" w14:textId="77777777" w:rsidR="00686564" w:rsidRDefault="00686564" w:rsidP="00A50836">
            <w:pPr>
              <w:bidi w:val="0"/>
              <w:jc w:val="center"/>
              <w:rPr>
                <w:rFonts w:ascii="FrankRuehl" w:hAnsi="FrankRuehl" w:cs="FrankRuehl"/>
                <w:color w:val="000000"/>
                <w:sz w:val="26"/>
                <w:szCs w:val="26"/>
                <w:rtl/>
              </w:rPr>
            </w:pPr>
            <w:r>
              <w:rPr>
                <w:rFonts w:ascii="FrankRuehl" w:hAnsi="FrankRuehl" w:cs="FrankRuehl"/>
                <w:color w:val="000000"/>
                <w:sz w:val="26"/>
                <w:szCs w:val="26"/>
              </w:rPr>
              <w:t>8,507</w:t>
            </w:r>
          </w:p>
        </w:tc>
        <w:tc>
          <w:tcPr>
            <w:tcW w:w="498" w:type="pct"/>
            <w:tcBorders>
              <w:top w:val="nil"/>
              <w:left w:val="single" w:sz="4" w:space="0" w:color="979991"/>
              <w:bottom w:val="single" w:sz="4" w:space="0" w:color="979991"/>
              <w:right w:val="nil"/>
            </w:tcBorders>
            <w:shd w:val="clear" w:color="auto" w:fill="FFFFFF"/>
            <w:vAlign w:val="center"/>
            <w:hideMark/>
          </w:tcPr>
          <w:p w14:paraId="27F3A1F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429,823</w:t>
            </w:r>
          </w:p>
        </w:tc>
        <w:tc>
          <w:tcPr>
            <w:tcW w:w="579" w:type="pct"/>
            <w:tcBorders>
              <w:top w:val="nil"/>
              <w:left w:val="single" w:sz="4" w:space="0" w:color="979991"/>
              <w:bottom w:val="single" w:sz="4" w:space="0" w:color="979991"/>
              <w:right w:val="nil"/>
            </w:tcBorders>
            <w:shd w:val="clear" w:color="auto" w:fill="FFFFFF"/>
            <w:vAlign w:val="center"/>
            <w:hideMark/>
          </w:tcPr>
          <w:p w14:paraId="489970C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394,693</w:t>
            </w:r>
          </w:p>
        </w:tc>
        <w:tc>
          <w:tcPr>
            <w:tcW w:w="498" w:type="pct"/>
            <w:tcBorders>
              <w:top w:val="nil"/>
              <w:left w:val="single" w:sz="4" w:space="0" w:color="979991"/>
              <w:bottom w:val="single" w:sz="4" w:space="0" w:color="979991"/>
              <w:right w:val="nil"/>
            </w:tcBorders>
            <w:shd w:val="clear" w:color="auto" w:fill="FFFFFF"/>
            <w:vAlign w:val="center"/>
            <w:hideMark/>
          </w:tcPr>
          <w:p w14:paraId="4188AE5E"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361,925</w:t>
            </w:r>
          </w:p>
        </w:tc>
        <w:tc>
          <w:tcPr>
            <w:tcW w:w="579" w:type="pct"/>
            <w:tcBorders>
              <w:top w:val="nil"/>
              <w:left w:val="single" w:sz="4" w:space="0" w:color="979991"/>
              <w:bottom w:val="single" w:sz="4" w:space="0" w:color="979991"/>
              <w:right w:val="nil"/>
            </w:tcBorders>
            <w:shd w:val="clear" w:color="auto" w:fill="FFFFFF"/>
            <w:vAlign w:val="center"/>
            <w:hideMark/>
          </w:tcPr>
          <w:p w14:paraId="33961820"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361,970</w:t>
            </w:r>
          </w:p>
        </w:tc>
        <w:tc>
          <w:tcPr>
            <w:tcW w:w="498" w:type="pct"/>
            <w:tcBorders>
              <w:top w:val="nil"/>
              <w:left w:val="single" w:sz="4" w:space="0" w:color="979991"/>
              <w:bottom w:val="single" w:sz="4" w:space="0" w:color="979991"/>
              <w:right w:val="nil"/>
            </w:tcBorders>
            <w:shd w:val="clear" w:color="auto" w:fill="FFFFFF"/>
            <w:vAlign w:val="center"/>
            <w:hideMark/>
          </w:tcPr>
          <w:p w14:paraId="20286482"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357,647</w:t>
            </w:r>
          </w:p>
        </w:tc>
        <w:tc>
          <w:tcPr>
            <w:tcW w:w="579" w:type="pct"/>
            <w:tcBorders>
              <w:top w:val="nil"/>
              <w:left w:val="single" w:sz="4" w:space="0" w:color="979991"/>
              <w:bottom w:val="single" w:sz="4" w:space="0" w:color="979991"/>
              <w:right w:val="nil"/>
            </w:tcBorders>
            <w:shd w:val="clear" w:color="auto" w:fill="FFFFFF"/>
            <w:vAlign w:val="center"/>
            <w:hideMark/>
          </w:tcPr>
          <w:p w14:paraId="48A4A3B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381,233</w:t>
            </w:r>
          </w:p>
        </w:tc>
        <w:tc>
          <w:tcPr>
            <w:tcW w:w="468" w:type="pct"/>
            <w:tcBorders>
              <w:top w:val="nil"/>
              <w:left w:val="single" w:sz="4" w:space="0" w:color="979991"/>
              <w:bottom w:val="single" w:sz="4" w:space="0" w:color="979991"/>
              <w:right w:val="single" w:sz="4" w:space="0" w:color="979991"/>
            </w:tcBorders>
            <w:shd w:val="clear" w:color="auto" w:fill="FFFFFF"/>
            <w:vAlign w:val="center"/>
            <w:hideMark/>
          </w:tcPr>
          <w:p w14:paraId="6F2AAC0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340,247</w:t>
            </w:r>
          </w:p>
        </w:tc>
      </w:tr>
      <w:tr w:rsidR="00686564" w14:paraId="2C4AC8EB" w14:textId="77777777" w:rsidTr="00686564">
        <w:trPr>
          <w:trHeight w:val="330"/>
        </w:trPr>
        <w:tc>
          <w:tcPr>
            <w:tcW w:w="579" w:type="pct"/>
            <w:tcBorders>
              <w:top w:val="nil"/>
              <w:left w:val="single" w:sz="4" w:space="0" w:color="979991"/>
              <w:bottom w:val="single" w:sz="4" w:space="0" w:color="979991"/>
              <w:right w:val="nil"/>
            </w:tcBorders>
            <w:shd w:val="clear" w:color="auto" w:fill="F0F4FA"/>
            <w:vAlign w:val="center"/>
            <w:hideMark/>
          </w:tcPr>
          <w:p w14:paraId="205292B0"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220102</w:t>
            </w:r>
          </w:p>
        </w:tc>
        <w:tc>
          <w:tcPr>
            <w:tcW w:w="722" w:type="pct"/>
            <w:tcBorders>
              <w:top w:val="nil"/>
              <w:left w:val="single" w:sz="4" w:space="0" w:color="979991"/>
              <w:bottom w:val="single" w:sz="4" w:space="0" w:color="979991"/>
              <w:right w:val="nil"/>
            </w:tcBorders>
            <w:shd w:val="clear" w:color="auto" w:fill="FFFFFF"/>
            <w:vAlign w:val="center"/>
            <w:hideMark/>
          </w:tcPr>
          <w:p w14:paraId="1AD2311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w:t>
            </w:r>
            <w:r>
              <w:rPr>
                <w:rFonts w:ascii="FrankRuehl" w:hAnsi="FrankRuehl" w:cs="FrankRuehl"/>
                <w:color w:val="000000"/>
                <w:sz w:val="26"/>
                <w:szCs w:val="26"/>
                <w:rtl/>
              </w:rPr>
              <w:t>6</w:t>
            </w:r>
            <w:r>
              <w:rPr>
                <w:rFonts w:ascii="FrankRuehl" w:hAnsi="FrankRuehl" w:cs="FrankRuehl"/>
                <w:color w:val="000000"/>
                <w:sz w:val="26"/>
                <w:szCs w:val="26"/>
              </w:rPr>
              <w:t>,816</w:t>
            </w:r>
          </w:p>
        </w:tc>
        <w:tc>
          <w:tcPr>
            <w:tcW w:w="498" w:type="pct"/>
            <w:tcBorders>
              <w:top w:val="nil"/>
              <w:left w:val="single" w:sz="4" w:space="0" w:color="979991"/>
              <w:bottom w:val="single" w:sz="4" w:space="0" w:color="979991"/>
              <w:right w:val="nil"/>
            </w:tcBorders>
            <w:shd w:val="clear" w:color="auto" w:fill="FFFFFF"/>
            <w:vAlign w:val="center"/>
            <w:hideMark/>
          </w:tcPr>
          <w:p w14:paraId="0CB33B2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88,489</w:t>
            </w:r>
          </w:p>
        </w:tc>
        <w:tc>
          <w:tcPr>
            <w:tcW w:w="579" w:type="pct"/>
            <w:tcBorders>
              <w:top w:val="nil"/>
              <w:left w:val="single" w:sz="4" w:space="0" w:color="979991"/>
              <w:bottom w:val="single" w:sz="4" w:space="0" w:color="979991"/>
              <w:right w:val="nil"/>
            </w:tcBorders>
            <w:shd w:val="clear" w:color="auto" w:fill="FFFFFF"/>
            <w:vAlign w:val="center"/>
            <w:hideMark/>
          </w:tcPr>
          <w:p w14:paraId="52F1B05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81,643</w:t>
            </w:r>
          </w:p>
        </w:tc>
        <w:tc>
          <w:tcPr>
            <w:tcW w:w="498" w:type="pct"/>
            <w:tcBorders>
              <w:top w:val="nil"/>
              <w:left w:val="single" w:sz="4" w:space="0" w:color="979991"/>
              <w:bottom w:val="single" w:sz="4" w:space="0" w:color="979991"/>
              <w:right w:val="nil"/>
            </w:tcBorders>
            <w:shd w:val="clear" w:color="auto" w:fill="FFFFFF"/>
            <w:vAlign w:val="center"/>
            <w:hideMark/>
          </w:tcPr>
          <w:p w14:paraId="1D070400"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75,874</w:t>
            </w:r>
          </w:p>
        </w:tc>
        <w:tc>
          <w:tcPr>
            <w:tcW w:w="579" w:type="pct"/>
            <w:tcBorders>
              <w:top w:val="nil"/>
              <w:left w:val="single" w:sz="4" w:space="0" w:color="979991"/>
              <w:bottom w:val="single" w:sz="4" w:space="0" w:color="979991"/>
              <w:right w:val="nil"/>
            </w:tcBorders>
            <w:shd w:val="clear" w:color="auto" w:fill="FFFFFF"/>
            <w:vAlign w:val="center"/>
            <w:hideMark/>
          </w:tcPr>
          <w:p w14:paraId="31313A4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94,790</w:t>
            </w:r>
          </w:p>
        </w:tc>
        <w:tc>
          <w:tcPr>
            <w:tcW w:w="498" w:type="pct"/>
            <w:tcBorders>
              <w:top w:val="nil"/>
              <w:left w:val="single" w:sz="4" w:space="0" w:color="979991"/>
              <w:bottom w:val="single" w:sz="4" w:space="0" w:color="979991"/>
              <w:right w:val="nil"/>
            </w:tcBorders>
            <w:shd w:val="clear" w:color="auto" w:fill="FFFFFF"/>
            <w:vAlign w:val="center"/>
            <w:hideMark/>
          </w:tcPr>
          <w:p w14:paraId="4895C48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79,967</w:t>
            </w:r>
          </w:p>
        </w:tc>
        <w:tc>
          <w:tcPr>
            <w:tcW w:w="579" w:type="pct"/>
            <w:tcBorders>
              <w:top w:val="nil"/>
              <w:left w:val="single" w:sz="4" w:space="0" w:color="979991"/>
              <w:bottom w:val="single" w:sz="4" w:space="0" w:color="979991"/>
              <w:right w:val="nil"/>
            </w:tcBorders>
            <w:shd w:val="clear" w:color="auto" w:fill="FFFFFF"/>
            <w:vAlign w:val="center"/>
            <w:hideMark/>
          </w:tcPr>
          <w:p w14:paraId="34A1703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80,082</w:t>
            </w:r>
          </w:p>
        </w:tc>
        <w:tc>
          <w:tcPr>
            <w:tcW w:w="468" w:type="pct"/>
            <w:tcBorders>
              <w:top w:val="nil"/>
              <w:left w:val="single" w:sz="4" w:space="0" w:color="979991"/>
              <w:bottom w:val="single" w:sz="4" w:space="0" w:color="979991"/>
              <w:right w:val="single" w:sz="4" w:space="0" w:color="979991"/>
            </w:tcBorders>
            <w:shd w:val="clear" w:color="auto" w:fill="FFFFFF"/>
            <w:vAlign w:val="center"/>
            <w:hideMark/>
          </w:tcPr>
          <w:p w14:paraId="305AF3E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56,731</w:t>
            </w:r>
          </w:p>
        </w:tc>
      </w:tr>
      <w:tr w:rsidR="00686564" w14:paraId="451C7381" w14:textId="77777777" w:rsidTr="00686564">
        <w:trPr>
          <w:trHeight w:val="330"/>
        </w:trPr>
        <w:tc>
          <w:tcPr>
            <w:tcW w:w="579" w:type="pct"/>
            <w:tcBorders>
              <w:top w:val="nil"/>
              <w:left w:val="single" w:sz="4" w:space="0" w:color="979991"/>
              <w:bottom w:val="single" w:sz="4" w:space="0" w:color="979991"/>
              <w:right w:val="nil"/>
            </w:tcBorders>
            <w:shd w:val="clear" w:color="auto" w:fill="F0F4FA"/>
            <w:vAlign w:val="center"/>
            <w:hideMark/>
          </w:tcPr>
          <w:p w14:paraId="4C0AB27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220103</w:t>
            </w:r>
          </w:p>
        </w:tc>
        <w:tc>
          <w:tcPr>
            <w:tcW w:w="722" w:type="pct"/>
            <w:tcBorders>
              <w:top w:val="nil"/>
              <w:left w:val="single" w:sz="4" w:space="0" w:color="979991"/>
              <w:bottom w:val="single" w:sz="4" w:space="0" w:color="979991"/>
              <w:right w:val="nil"/>
            </w:tcBorders>
            <w:shd w:val="clear" w:color="auto" w:fill="FFFFFF"/>
            <w:vAlign w:val="center"/>
            <w:hideMark/>
          </w:tcPr>
          <w:p w14:paraId="516D69ED"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7,393</w:t>
            </w:r>
          </w:p>
        </w:tc>
        <w:tc>
          <w:tcPr>
            <w:tcW w:w="498" w:type="pct"/>
            <w:tcBorders>
              <w:top w:val="nil"/>
              <w:left w:val="single" w:sz="4" w:space="0" w:color="979991"/>
              <w:bottom w:val="single" w:sz="4" w:space="0" w:color="979991"/>
              <w:right w:val="nil"/>
            </w:tcBorders>
            <w:shd w:val="clear" w:color="auto" w:fill="FFFFFF"/>
            <w:vAlign w:val="center"/>
            <w:hideMark/>
          </w:tcPr>
          <w:p w14:paraId="6D859C1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19,771</w:t>
            </w:r>
          </w:p>
        </w:tc>
        <w:tc>
          <w:tcPr>
            <w:tcW w:w="579" w:type="pct"/>
            <w:tcBorders>
              <w:top w:val="nil"/>
              <w:left w:val="single" w:sz="4" w:space="0" w:color="979991"/>
              <w:bottom w:val="single" w:sz="4" w:space="0" w:color="979991"/>
              <w:right w:val="nil"/>
            </w:tcBorders>
            <w:shd w:val="clear" w:color="auto" w:fill="FFFFFF"/>
            <w:vAlign w:val="center"/>
            <w:hideMark/>
          </w:tcPr>
          <w:p w14:paraId="39C2D76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29,241</w:t>
            </w:r>
          </w:p>
        </w:tc>
        <w:tc>
          <w:tcPr>
            <w:tcW w:w="498" w:type="pct"/>
            <w:tcBorders>
              <w:top w:val="nil"/>
              <w:left w:val="single" w:sz="4" w:space="0" w:color="979991"/>
              <w:bottom w:val="single" w:sz="4" w:space="0" w:color="979991"/>
              <w:right w:val="nil"/>
            </w:tcBorders>
            <w:shd w:val="clear" w:color="auto" w:fill="FFFFFF"/>
            <w:vAlign w:val="center"/>
            <w:hideMark/>
          </w:tcPr>
          <w:p w14:paraId="02CE86B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38,587</w:t>
            </w:r>
          </w:p>
        </w:tc>
        <w:tc>
          <w:tcPr>
            <w:tcW w:w="579" w:type="pct"/>
            <w:tcBorders>
              <w:top w:val="nil"/>
              <w:left w:val="single" w:sz="4" w:space="0" w:color="979991"/>
              <w:bottom w:val="single" w:sz="4" w:space="0" w:color="979991"/>
              <w:right w:val="nil"/>
            </w:tcBorders>
            <w:shd w:val="clear" w:color="auto" w:fill="FFFFFF"/>
            <w:vAlign w:val="center"/>
            <w:hideMark/>
          </w:tcPr>
          <w:p w14:paraId="48134E2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13,412</w:t>
            </w:r>
          </w:p>
        </w:tc>
        <w:tc>
          <w:tcPr>
            <w:tcW w:w="498" w:type="pct"/>
            <w:tcBorders>
              <w:top w:val="nil"/>
              <w:left w:val="single" w:sz="4" w:space="0" w:color="979991"/>
              <w:bottom w:val="single" w:sz="4" w:space="0" w:color="979991"/>
              <w:right w:val="nil"/>
            </w:tcBorders>
            <w:shd w:val="clear" w:color="auto" w:fill="FFFFFF"/>
            <w:vAlign w:val="center"/>
            <w:hideMark/>
          </w:tcPr>
          <w:p w14:paraId="27AA446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28,210</w:t>
            </w:r>
          </w:p>
        </w:tc>
        <w:tc>
          <w:tcPr>
            <w:tcW w:w="579" w:type="pct"/>
            <w:tcBorders>
              <w:top w:val="nil"/>
              <w:left w:val="single" w:sz="4" w:space="0" w:color="979991"/>
              <w:bottom w:val="single" w:sz="4" w:space="0" w:color="979991"/>
              <w:right w:val="nil"/>
            </w:tcBorders>
            <w:shd w:val="clear" w:color="auto" w:fill="FFFFFF"/>
            <w:vAlign w:val="center"/>
            <w:hideMark/>
          </w:tcPr>
          <w:p w14:paraId="4A0EF52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-10,953</w:t>
            </w:r>
          </w:p>
        </w:tc>
        <w:tc>
          <w:tcPr>
            <w:tcW w:w="468" w:type="pct"/>
            <w:tcBorders>
              <w:top w:val="nil"/>
              <w:left w:val="single" w:sz="4" w:space="0" w:color="979991"/>
              <w:bottom w:val="single" w:sz="4" w:space="0" w:color="979991"/>
              <w:right w:val="single" w:sz="4" w:space="0" w:color="979991"/>
            </w:tcBorders>
            <w:shd w:val="clear" w:color="auto" w:fill="FFFFFF"/>
            <w:vAlign w:val="center"/>
            <w:hideMark/>
          </w:tcPr>
          <w:p w14:paraId="3AE02C9E"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43,980</w:t>
            </w:r>
          </w:p>
        </w:tc>
      </w:tr>
      <w:tr w:rsidR="00686564" w14:paraId="5E571961" w14:textId="77777777" w:rsidTr="00686564">
        <w:trPr>
          <w:trHeight w:val="330"/>
        </w:trPr>
        <w:tc>
          <w:tcPr>
            <w:tcW w:w="579" w:type="pct"/>
            <w:tcBorders>
              <w:top w:val="nil"/>
              <w:left w:val="single" w:sz="4" w:space="0" w:color="979991"/>
              <w:bottom w:val="single" w:sz="4" w:space="0" w:color="979991"/>
              <w:right w:val="nil"/>
            </w:tcBorders>
            <w:shd w:val="clear" w:color="auto" w:fill="F0F4FA"/>
            <w:vAlign w:val="center"/>
            <w:hideMark/>
          </w:tcPr>
          <w:p w14:paraId="6F87E7FD"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220105</w:t>
            </w:r>
          </w:p>
        </w:tc>
        <w:tc>
          <w:tcPr>
            <w:tcW w:w="722" w:type="pct"/>
            <w:tcBorders>
              <w:top w:val="nil"/>
              <w:left w:val="single" w:sz="4" w:space="0" w:color="979991"/>
              <w:bottom w:val="single" w:sz="4" w:space="0" w:color="979991"/>
              <w:right w:val="nil"/>
            </w:tcBorders>
            <w:shd w:val="clear" w:color="auto" w:fill="FFFFFF"/>
            <w:vAlign w:val="center"/>
            <w:hideMark/>
          </w:tcPr>
          <w:p w14:paraId="4BDBC3BB"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17,290</w:t>
            </w:r>
          </w:p>
        </w:tc>
        <w:tc>
          <w:tcPr>
            <w:tcW w:w="498" w:type="pct"/>
            <w:tcBorders>
              <w:top w:val="nil"/>
              <w:left w:val="single" w:sz="4" w:space="0" w:color="979991"/>
              <w:bottom w:val="single" w:sz="4" w:space="0" w:color="979991"/>
              <w:right w:val="nil"/>
            </w:tcBorders>
            <w:shd w:val="clear" w:color="auto" w:fill="FFFFFF"/>
            <w:vAlign w:val="center"/>
            <w:hideMark/>
          </w:tcPr>
          <w:p w14:paraId="48F0A94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62,710</w:t>
            </w:r>
          </w:p>
        </w:tc>
        <w:tc>
          <w:tcPr>
            <w:tcW w:w="579" w:type="pct"/>
            <w:tcBorders>
              <w:top w:val="nil"/>
              <w:left w:val="single" w:sz="4" w:space="0" w:color="979991"/>
              <w:bottom w:val="single" w:sz="4" w:space="0" w:color="979991"/>
              <w:right w:val="nil"/>
            </w:tcBorders>
            <w:shd w:val="clear" w:color="auto" w:fill="FFFFFF"/>
            <w:vAlign w:val="center"/>
            <w:hideMark/>
          </w:tcPr>
          <w:p w14:paraId="539B32E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89,921</w:t>
            </w:r>
          </w:p>
        </w:tc>
        <w:tc>
          <w:tcPr>
            <w:tcW w:w="498" w:type="pct"/>
            <w:tcBorders>
              <w:top w:val="nil"/>
              <w:left w:val="single" w:sz="4" w:space="0" w:color="979991"/>
              <w:bottom w:val="single" w:sz="4" w:space="0" w:color="979991"/>
              <w:right w:val="nil"/>
            </w:tcBorders>
            <w:shd w:val="clear" w:color="auto" w:fill="FFFFFF"/>
            <w:vAlign w:val="center"/>
            <w:hideMark/>
          </w:tcPr>
          <w:p w14:paraId="03FBC80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53,629</w:t>
            </w:r>
          </w:p>
        </w:tc>
        <w:tc>
          <w:tcPr>
            <w:tcW w:w="579" w:type="pct"/>
            <w:tcBorders>
              <w:top w:val="nil"/>
              <w:left w:val="single" w:sz="4" w:space="0" w:color="979991"/>
              <w:bottom w:val="single" w:sz="4" w:space="0" w:color="979991"/>
              <w:right w:val="nil"/>
            </w:tcBorders>
            <w:shd w:val="clear" w:color="auto" w:fill="FFFFFF"/>
            <w:vAlign w:val="center"/>
            <w:hideMark/>
          </w:tcPr>
          <w:p w14:paraId="6D3518F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74,345</w:t>
            </w:r>
          </w:p>
        </w:tc>
        <w:tc>
          <w:tcPr>
            <w:tcW w:w="498" w:type="pct"/>
            <w:tcBorders>
              <w:top w:val="nil"/>
              <w:left w:val="single" w:sz="4" w:space="0" w:color="979991"/>
              <w:bottom w:val="single" w:sz="4" w:space="0" w:color="979991"/>
              <w:right w:val="nil"/>
            </w:tcBorders>
            <w:shd w:val="clear" w:color="auto" w:fill="FFFFFF"/>
            <w:vAlign w:val="center"/>
            <w:hideMark/>
          </w:tcPr>
          <w:p w14:paraId="290BC1EE"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57,060</w:t>
            </w:r>
          </w:p>
        </w:tc>
        <w:tc>
          <w:tcPr>
            <w:tcW w:w="579" w:type="pct"/>
            <w:tcBorders>
              <w:top w:val="nil"/>
              <w:left w:val="single" w:sz="4" w:space="0" w:color="979991"/>
              <w:bottom w:val="single" w:sz="4" w:space="0" w:color="979991"/>
              <w:right w:val="nil"/>
            </w:tcBorders>
            <w:shd w:val="clear" w:color="auto" w:fill="FFFFFF"/>
            <w:vAlign w:val="center"/>
            <w:hideMark/>
          </w:tcPr>
          <w:p w14:paraId="431B873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48,895</w:t>
            </w:r>
          </w:p>
        </w:tc>
        <w:tc>
          <w:tcPr>
            <w:tcW w:w="468" w:type="pct"/>
            <w:tcBorders>
              <w:top w:val="nil"/>
              <w:left w:val="single" w:sz="4" w:space="0" w:color="979991"/>
              <w:bottom w:val="single" w:sz="4" w:space="0" w:color="979991"/>
              <w:right w:val="single" w:sz="4" w:space="0" w:color="979991"/>
            </w:tcBorders>
            <w:shd w:val="clear" w:color="auto" w:fill="FFFFFF"/>
            <w:vAlign w:val="center"/>
            <w:hideMark/>
          </w:tcPr>
          <w:p w14:paraId="121F85A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41,643</w:t>
            </w:r>
          </w:p>
        </w:tc>
      </w:tr>
      <w:tr w:rsidR="00686564" w14:paraId="56FF0B2E" w14:textId="77777777" w:rsidTr="00686564">
        <w:trPr>
          <w:trHeight w:val="330"/>
        </w:trPr>
        <w:tc>
          <w:tcPr>
            <w:tcW w:w="579" w:type="pct"/>
            <w:tcBorders>
              <w:top w:val="nil"/>
              <w:left w:val="single" w:sz="4" w:space="0" w:color="979991"/>
              <w:bottom w:val="single" w:sz="4" w:space="0" w:color="979991"/>
              <w:right w:val="nil"/>
            </w:tcBorders>
            <w:shd w:val="clear" w:color="auto" w:fill="F0F4FA"/>
            <w:vAlign w:val="center"/>
            <w:hideMark/>
          </w:tcPr>
          <w:p w14:paraId="4E75838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220301</w:t>
            </w:r>
          </w:p>
        </w:tc>
        <w:tc>
          <w:tcPr>
            <w:tcW w:w="722" w:type="pct"/>
            <w:tcBorders>
              <w:top w:val="nil"/>
              <w:left w:val="single" w:sz="4" w:space="0" w:color="979991"/>
              <w:bottom w:val="single" w:sz="4" w:space="0" w:color="979991"/>
              <w:right w:val="nil"/>
            </w:tcBorders>
            <w:shd w:val="clear" w:color="auto" w:fill="FFFFFF"/>
            <w:vAlign w:val="center"/>
            <w:hideMark/>
          </w:tcPr>
          <w:p w14:paraId="0D44352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18,000</w:t>
            </w:r>
          </w:p>
        </w:tc>
        <w:tc>
          <w:tcPr>
            <w:tcW w:w="498" w:type="pct"/>
            <w:tcBorders>
              <w:top w:val="nil"/>
              <w:left w:val="single" w:sz="4" w:space="0" w:color="979991"/>
              <w:bottom w:val="single" w:sz="4" w:space="0" w:color="979991"/>
              <w:right w:val="nil"/>
            </w:tcBorders>
            <w:shd w:val="clear" w:color="auto" w:fill="FFFFFF"/>
            <w:vAlign w:val="center"/>
            <w:hideMark/>
          </w:tcPr>
          <w:p w14:paraId="0CB7E1D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200,052</w:t>
            </w:r>
          </w:p>
        </w:tc>
        <w:tc>
          <w:tcPr>
            <w:tcW w:w="579" w:type="pct"/>
            <w:tcBorders>
              <w:top w:val="nil"/>
              <w:left w:val="single" w:sz="4" w:space="0" w:color="979991"/>
              <w:bottom w:val="single" w:sz="4" w:space="0" w:color="979991"/>
              <w:right w:val="nil"/>
            </w:tcBorders>
            <w:shd w:val="clear" w:color="auto" w:fill="FFFFFF"/>
            <w:vAlign w:val="center"/>
            <w:hideMark/>
          </w:tcPr>
          <w:p w14:paraId="0560230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224,576</w:t>
            </w:r>
          </w:p>
        </w:tc>
        <w:tc>
          <w:tcPr>
            <w:tcW w:w="498" w:type="pct"/>
            <w:tcBorders>
              <w:top w:val="nil"/>
              <w:left w:val="single" w:sz="4" w:space="0" w:color="979991"/>
              <w:bottom w:val="single" w:sz="4" w:space="0" w:color="979991"/>
              <w:right w:val="nil"/>
            </w:tcBorders>
            <w:shd w:val="clear" w:color="auto" w:fill="FFFFFF"/>
            <w:vAlign w:val="center"/>
            <w:hideMark/>
          </w:tcPr>
          <w:p w14:paraId="542C1A7B"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209,384</w:t>
            </w:r>
          </w:p>
        </w:tc>
        <w:tc>
          <w:tcPr>
            <w:tcW w:w="579" w:type="pct"/>
            <w:tcBorders>
              <w:top w:val="nil"/>
              <w:left w:val="single" w:sz="4" w:space="0" w:color="979991"/>
              <w:bottom w:val="single" w:sz="4" w:space="0" w:color="979991"/>
              <w:right w:val="nil"/>
            </w:tcBorders>
            <w:shd w:val="clear" w:color="auto" w:fill="FFFFFF"/>
            <w:vAlign w:val="center"/>
            <w:hideMark/>
          </w:tcPr>
          <w:p w14:paraId="3B00CC3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208,085</w:t>
            </w:r>
          </w:p>
        </w:tc>
        <w:tc>
          <w:tcPr>
            <w:tcW w:w="498" w:type="pct"/>
            <w:tcBorders>
              <w:top w:val="nil"/>
              <w:left w:val="single" w:sz="4" w:space="0" w:color="979991"/>
              <w:bottom w:val="single" w:sz="4" w:space="0" w:color="979991"/>
              <w:right w:val="nil"/>
            </w:tcBorders>
            <w:shd w:val="clear" w:color="auto" w:fill="FFFFFF"/>
            <w:vAlign w:val="center"/>
            <w:hideMark/>
          </w:tcPr>
          <w:p w14:paraId="28A6D9D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204,237</w:t>
            </w:r>
          </w:p>
        </w:tc>
        <w:tc>
          <w:tcPr>
            <w:tcW w:w="579" w:type="pct"/>
            <w:tcBorders>
              <w:top w:val="nil"/>
              <w:left w:val="single" w:sz="4" w:space="0" w:color="979991"/>
              <w:bottom w:val="single" w:sz="4" w:space="0" w:color="979991"/>
              <w:right w:val="nil"/>
            </w:tcBorders>
            <w:shd w:val="clear" w:color="auto" w:fill="FFFFFF"/>
            <w:vAlign w:val="center"/>
            <w:hideMark/>
          </w:tcPr>
          <w:p w14:paraId="23FF8C4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217,348</w:t>
            </w:r>
          </w:p>
        </w:tc>
        <w:tc>
          <w:tcPr>
            <w:tcW w:w="468" w:type="pct"/>
            <w:tcBorders>
              <w:top w:val="nil"/>
              <w:left w:val="single" w:sz="4" w:space="0" w:color="979991"/>
              <w:bottom w:val="single" w:sz="4" w:space="0" w:color="979991"/>
              <w:right w:val="single" w:sz="4" w:space="0" w:color="979991"/>
            </w:tcBorders>
            <w:shd w:val="clear" w:color="auto" w:fill="FFFFFF"/>
            <w:vAlign w:val="center"/>
            <w:hideMark/>
          </w:tcPr>
          <w:p w14:paraId="1DB58013"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210,943</w:t>
            </w:r>
          </w:p>
        </w:tc>
      </w:tr>
    </w:tbl>
    <w:p w14:paraId="115CB8FC" w14:textId="77777777" w:rsidR="00686564" w:rsidRDefault="00686564" w:rsidP="00686564">
      <w:pPr>
        <w:rPr>
          <w:rFonts w:ascii="FrankRuehl" w:eastAsia="Calibri" w:hAnsi="FrankRuehl" w:cs="FrankRuehl"/>
          <w:b/>
          <w:bCs/>
          <w:sz w:val="26"/>
          <w:szCs w:val="26"/>
        </w:rPr>
      </w:pPr>
    </w:p>
    <w:p w14:paraId="2D3143C9" w14:textId="15E47657" w:rsidR="00686564" w:rsidRDefault="00686564" w:rsidP="00686564">
      <w:pPr>
        <w:jc w:val="center"/>
        <w:rPr>
          <w:rFonts w:ascii="FrankRuehl" w:hAnsi="FrankRuehl" w:cs="FrankRuehl"/>
          <w:b/>
          <w:bCs/>
          <w:sz w:val="26"/>
          <w:szCs w:val="26"/>
          <w:rtl/>
        </w:rPr>
      </w:pPr>
      <w:r>
        <w:rPr>
          <w:rFonts w:ascii="FrankRuehl" w:hAnsi="FrankRuehl" w:cs="FrankRuehl"/>
          <w:b/>
          <w:bCs/>
          <w:sz w:val="26"/>
          <w:szCs w:val="26"/>
          <w:rtl/>
        </w:rPr>
        <w:t xml:space="preserve">היסטוריה תקציבית </w:t>
      </w:r>
      <w:r>
        <w:rPr>
          <w:rFonts w:ascii="FrankRuehl" w:hAnsi="FrankRuehl" w:cs="FrankRuehl" w:hint="cs"/>
          <w:b/>
          <w:bCs/>
          <w:sz w:val="26"/>
          <w:szCs w:val="26"/>
          <w:rtl/>
        </w:rPr>
        <w:t>-</w:t>
      </w:r>
      <w:r>
        <w:rPr>
          <w:rFonts w:ascii="FrankRuehl" w:hAnsi="FrankRuehl" w:cs="FrankRuehl"/>
          <w:b/>
          <w:bCs/>
          <w:sz w:val="26"/>
          <w:szCs w:val="26"/>
          <w:rtl/>
        </w:rPr>
        <w:t xml:space="preserve"> הרשאה להתחייב</w:t>
      </w:r>
    </w:p>
    <w:tbl>
      <w:tblPr>
        <w:bidiVisual/>
        <w:tblW w:w="5000" w:type="pct"/>
        <w:tblLook w:val="04A0" w:firstRow="1" w:lastRow="0" w:firstColumn="1" w:lastColumn="0" w:noHBand="0" w:noVBand="1"/>
      </w:tblPr>
      <w:tblGrid>
        <w:gridCol w:w="1071"/>
        <w:gridCol w:w="1071"/>
        <w:gridCol w:w="922"/>
        <w:gridCol w:w="922"/>
        <w:gridCol w:w="922"/>
        <w:gridCol w:w="922"/>
        <w:gridCol w:w="922"/>
        <w:gridCol w:w="922"/>
        <w:gridCol w:w="849"/>
      </w:tblGrid>
      <w:tr w:rsidR="00686564" w14:paraId="71593F60" w14:textId="77777777" w:rsidTr="00686564">
        <w:trPr>
          <w:trHeight w:val="990"/>
        </w:trPr>
        <w:tc>
          <w:tcPr>
            <w:tcW w:w="628" w:type="pct"/>
            <w:tcBorders>
              <w:top w:val="single" w:sz="4" w:space="0" w:color="979991"/>
              <w:left w:val="single" w:sz="4" w:space="0" w:color="979991"/>
              <w:bottom w:val="nil"/>
              <w:right w:val="nil"/>
            </w:tcBorders>
            <w:shd w:val="clear" w:color="auto" w:fill="F0F4FA"/>
            <w:vAlign w:val="center"/>
            <w:hideMark/>
          </w:tcPr>
          <w:p w14:paraId="56023E40"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קוד תוכנית</w:t>
            </w:r>
          </w:p>
        </w:tc>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2F1AFAFD" w14:textId="77777777" w:rsidR="00686564" w:rsidRDefault="00686564" w:rsidP="00A50836">
            <w:pPr>
              <w:jc w:val="center"/>
              <w:rPr>
                <w:rFonts w:ascii="FrankRuehl" w:hAnsi="FrankRuehl" w:cs="FrankRuehl"/>
                <w:b/>
                <w:bCs/>
                <w:color w:val="000000"/>
                <w:sz w:val="26"/>
                <w:szCs w:val="26"/>
              </w:rPr>
            </w:pPr>
            <w:r>
              <w:rPr>
                <w:rFonts w:ascii="FrankRuehl" w:hAnsi="FrankRuehl" w:cs="FrankRuehl"/>
                <w:b/>
                <w:bCs/>
                <w:color w:val="000000"/>
                <w:sz w:val="26"/>
                <w:szCs w:val="26"/>
                <w:rtl/>
              </w:rPr>
              <w:t>השינוי המוצע בפניה זו</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391B784E"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תקציב 2026</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6DE30B3F"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3A335198"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2025</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5DCE08A9"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442F306F"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2024</w:t>
            </w:r>
          </w:p>
        </w:tc>
        <w:tc>
          <w:tcPr>
            <w:tcW w:w="541" w:type="pct"/>
            <w:tcBorders>
              <w:top w:val="single" w:sz="4" w:space="0" w:color="979991"/>
              <w:left w:val="single" w:sz="4" w:space="0" w:color="979991"/>
              <w:bottom w:val="single" w:sz="4" w:space="0" w:color="979991"/>
              <w:right w:val="nil"/>
            </w:tcBorders>
            <w:shd w:val="clear" w:color="auto" w:fill="F0F4FA"/>
            <w:vAlign w:val="center"/>
            <w:hideMark/>
          </w:tcPr>
          <w:p w14:paraId="6161E186"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מאושר 2023</w:t>
            </w:r>
          </w:p>
        </w:tc>
        <w:tc>
          <w:tcPr>
            <w:tcW w:w="498"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315AB4C" w14:textId="77777777" w:rsidR="00686564" w:rsidRDefault="00686564" w:rsidP="00A50836">
            <w:pPr>
              <w:jc w:val="center"/>
              <w:rPr>
                <w:rFonts w:ascii="FrankRuehl" w:hAnsi="FrankRuehl" w:cs="FrankRuehl"/>
                <w:b/>
                <w:bCs/>
                <w:color w:val="000000"/>
                <w:sz w:val="26"/>
                <w:szCs w:val="26"/>
                <w:rtl/>
              </w:rPr>
            </w:pPr>
            <w:r>
              <w:rPr>
                <w:rFonts w:ascii="FrankRuehl" w:hAnsi="FrankRuehl" w:cs="FrankRuehl"/>
                <w:b/>
                <w:bCs/>
                <w:color w:val="000000"/>
                <w:sz w:val="26"/>
                <w:szCs w:val="26"/>
                <w:rtl/>
              </w:rPr>
              <w:t>מקורי 2023</w:t>
            </w:r>
          </w:p>
        </w:tc>
      </w:tr>
      <w:tr w:rsidR="00686564" w14:paraId="62F19F26" w14:textId="77777777" w:rsidTr="00686564">
        <w:trPr>
          <w:trHeight w:val="330"/>
        </w:trPr>
        <w:tc>
          <w:tcPr>
            <w:tcW w:w="628" w:type="pct"/>
            <w:tcBorders>
              <w:top w:val="single" w:sz="4" w:space="0" w:color="979991"/>
              <w:left w:val="single" w:sz="4" w:space="0" w:color="979991"/>
              <w:bottom w:val="single" w:sz="4" w:space="0" w:color="979991"/>
              <w:right w:val="nil"/>
            </w:tcBorders>
            <w:shd w:val="clear" w:color="auto" w:fill="F0F4FA"/>
            <w:vAlign w:val="center"/>
            <w:hideMark/>
          </w:tcPr>
          <w:p w14:paraId="07E12BA2" w14:textId="77777777" w:rsidR="00686564" w:rsidRDefault="00686564" w:rsidP="00A50836">
            <w:pPr>
              <w:bidi w:val="0"/>
              <w:jc w:val="center"/>
              <w:rPr>
                <w:rFonts w:ascii="FrankRuehl" w:hAnsi="FrankRuehl" w:cs="FrankRuehl"/>
                <w:color w:val="000000"/>
                <w:sz w:val="26"/>
                <w:szCs w:val="26"/>
                <w:rtl/>
              </w:rPr>
            </w:pPr>
            <w:r>
              <w:rPr>
                <w:rFonts w:ascii="FrankRuehl" w:hAnsi="FrankRuehl" w:cs="FrankRuehl"/>
                <w:color w:val="000000"/>
                <w:sz w:val="26"/>
                <w:szCs w:val="26"/>
              </w:rPr>
              <w:t>220101</w:t>
            </w:r>
          </w:p>
        </w:tc>
        <w:tc>
          <w:tcPr>
            <w:tcW w:w="628" w:type="pct"/>
            <w:tcBorders>
              <w:top w:val="nil"/>
              <w:left w:val="single" w:sz="4" w:space="0" w:color="979991"/>
              <w:bottom w:val="single" w:sz="4" w:space="0" w:color="979991"/>
              <w:right w:val="nil"/>
            </w:tcBorders>
            <w:shd w:val="clear" w:color="auto" w:fill="FFFFFF"/>
            <w:vAlign w:val="center"/>
            <w:hideMark/>
          </w:tcPr>
          <w:p w14:paraId="6453A3AA" w14:textId="77777777" w:rsidR="00686564" w:rsidRDefault="00686564" w:rsidP="00A50836">
            <w:pPr>
              <w:bidi w:val="0"/>
              <w:jc w:val="center"/>
              <w:rPr>
                <w:rFonts w:ascii="FrankRuehl" w:hAnsi="FrankRuehl" w:cs="FrankRuehl"/>
                <w:color w:val="000000"/>
                <w:sz w:val="26"/>
                <w:szCs w:val="26"/>
                <w:rtl/>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77BAAB5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4F4C08BD"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32F8164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727C411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23D912C0"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59B1270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7C339BE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r>
      <w:tr w:rsidR="00686564" w14:paraId="150293F0" w14:textId="77777777" w:rsidTr="00686564">
        <w:trPr>
          <w:trHeight w:val="330"/>
        </w:trPr>
        <w:tc>
          <w:tcPr>
            <w:tcW w:w="628" w:type="pct"/>
            <w:tcBorders>
              <w:top w:val="nil"/>
              <w:left w:val="single" w:sz="4" w:space="0" w:color="979991"/>
              <w:bottom w:val="single" w:sz="4" w:space="0" w:color="979991"/>
              <w:right w:val="nil"/>
            </w:tcBorders>
            <w:shd w:val="clear" w:color="auto" w:fill="F0F4FA"/>
            <w:vAlign w:val="center"/>
            <w:hideMark/>
          </w:tcPr>
          <w:p w14:paraId="6A735CB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220102</w:t>
            </w:r>
          </w:p>
        </w:tc>
        <w:tc>
          <w:tcPr>
            <w:tcW w:w="628" w:type="pct"/>
            <w:tcBorders>
              <w:top w:val="nil"/>
              <w:left w:val="single" w:sz="4" w:space="0" w:color="979991"/>
              <w:bottom w:val="single" w:sz="4" w:space="0" w:color="979991"/>
              <w:right w:val="nil"/>
            </w:tcBorders>
            <w:shd w:val="clear" w:color="auto" w:fill="FFFFFF"/>
            <w:vAlign w:val="center"/>
            <w:hideMark/>
          </w:tcPr>
          <w:p w14:paraId="66B9494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6D3DE0DE"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90,440</w:t>
            </w:r>
          </w:p>
        </w:tc>
        <w:tc>
          <w:tcPr>
            <w:tcW w:w="541" w:type="pct"/>
            <w:tcBorders>
              <w:top w:val="nil"/>
              <w:left w:val="single" w:sz="4" w:space="0" w:color="979991"/>
              <w:bottom w:val="single" w:sz="4" w:space="0" w:color="979991"/>
              <w:right w:val="nil"/>
            </w:tcBorders>
            <w:shd w:val="clear" w:color="auto" w:fill="FFFFFF"/>
            <w:vAlign w:val="center"/>
            <w:hideMark/>
          </w:tcPr>
          <w:p w14:paraId="79E892F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145,278</w:t>
            </w:r>
          </w:p>
        </w:tc>
        <w:tc>
          <w:tcPr>
            <w:tcW w:w="541" w:type="pct"/>
            <w:tcBorders>
              <w:top w:val="nil"/>
              <w:left w:val="single" w:sz="4" w:space="0" w:color="979991"/>
              <w:bottom w:val="single" w:sz="4" w:space="0" w:color="979991"/>
              <w:right w:val="nil"/>
            </w:tcBorders>
            <w:shd w:val="clear" w:color="auto" w:fill="FFFFFF"/>
            <w:vAlign w:val="center"/>
            <w:hideMark/>
          </w:tcPr>
          <w:p w14:paraId="6A5A0FC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87,190</w:t>
            </w:r>
          </w:p>
        </w:tc>
        <w:tc>
          <w:tcPr>
            <w:tcW w:w="541" w:type="pct"/>
            <w:tcBorders>
              <w:top w:val="nil"/>
              <w:left w:val="single" w:sz="4" w:space="0" w:color="979991"/>
              <w:bottom w:val="single" w:sz="4" w:space="0" w:color="979991"/>
              <w:right w:val="nil"/>
            </w:tcBorders>
            <w:shd w:val="clear" w:color="auto" w:fill="FFFFFF"/>
            <w:vAlign w:val="center"/>
            <w:hideMark/>
          </w:tcPr>
          <w:p w14:paraId="1C1C123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98,967</w:t>
            </w:r>
          </w:p>
        </w:tc>
        <w:tc>
          <w:tcPr>
            <w:tcW w:w="541" w:type="pct"/>
            <w:tcBorders>
              <w:top w:val="nil"/>
              <w:left w:val="single" w:sz="4" w:space="0" w:color="979991"/>
              <w:bottom w:val="single" w:sz="4" w:space="0" w:color="979991"/>
              <w:right w:val="nil"/>
            </w:tcBorders>
            <w:shd w:val="clear" w:color="auto" w:fill="FFFFFF"/>
            <w:vAlign w:val="center"/>
            <w:hideMark/>
          </w:tcPr>
          <w:p w14:paraId="7BF4C344"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49,017</w:t>
            </w:r>
          </w:p>
        </w:tc>
        <w:tc>
          <w:tcPr>
            <w:tcW w:w="541" w:type="pct"/>
            <w:tcBorders>
              <w:top w:val="nil"/>
              <w:left w:val="single" w:sz="4" w:space="0" w:color="979991"/>
              <w:bottom w:val="single" w:sz="4" w:space="0" w:color="979991"/>
              <w:right w:val="nil"/>
            </w:tcBorders>
            <w:shd w:val="clear" w:color="auto" w:fill="FFFFFF"/>
            <w:vAlign w:val="center"/>
            <w:hideMark/>
          </w:tcPr>
          <w:p w14:paraId="77F3F35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82,506</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64CC847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6,378</w:t>
            </w:r>
          </w:p>
        </w:tc>
      </w:tr>
      <w:tr w:rsidR="00686564" w14:paraId="061461E2" w14:textId="77777777" w:rsidTr="00686564">
        <w:trPr>
          <w:trHeight w:val="330"/>
        </w:trPr>
        <w:tc>
          <w:tcPr>
            <w:tcW w:w="628" w:type="pct"/>
            <w:tcBorders>
              <w:top w:val="nil"/>
              <w:left w:val="single" w:sz="4" w:space="0" w:color="979991"/>
              <w:bottom w:val="single" w:sz="4" w:space="0" w:color="979991"/>
              <w:right w:val="nil"/>
            </w:tcBorders>
            <w:shd w:val="clear" w:color="auto" w:fill="F0F4FA"/>
            <w:vAlign w:val="center"/>
            <w:hideMark/>
          </w:tcPr>
          <w:p w14:paraId="1EF2155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220103</w:t>
            </w:r>
          </w:p>
        </w:tc>
        <w:tc>
          <w:tcPr>
            <w:tcW w:w="628" w:type="pct"/>
            <w:tcBorders>
              <w:top w:val="nil"/>
              <w:left w:val="single" w:sz="4" w:space="0" w:color="979991"/>
              <w:bottom w:val="single" w:sz="4" w:space="0" w:color="979991"/>
              <w:right w:val="nil"/>
            </w:tcBorders>
            <w:shd w:val="clear" w:color="auto" w:fill="FFFFFF"/>
            <w:vAlign w:val="center"/>
            <w:hideMark/>
          </w:tcPr>
          <w:p w14:paraId="48295218"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1</w:t>
            </w:r>
            <w:r>
              <w:rPr>
                <w:rFonts w:ascii="FrankRuehl" w:hAnsi="FrankRuehl" w:cs="FrankRuehl"/>
                <w:color w:val="000000"/>
                <w:sz w:val="26"/>
                <w:szCs w:val="26"/>
                <w:rtl/>
              </w:rPr>
              <w:t>7</w:t>
            </w:r>
            <w:r>
              <w:rPr>
                <w:rFonts w:ascii="FrankRuehl" w:hAnsi="FrankRuehl" w:cs="FrankRuehl"/>
                <w:color w:val="000000"/>
                <w:sz w:val="26"/>
                <w:szCs w:val="26"/>
              </w:rPr>
              <w:t>,</w:t>
            </w:r>
            <w:r>
              <w:rPr>
                <w:rFonts w:ascii="FrankRuehl" w:hAnsi="FrankRuehl" w:cs="FrankRuehl"/>
                <w:color w:val="000000"/>
                <w:sz w:val="26"/>
                <w:szCs w:val="26"/>
                <w:rtl/>
              </w:rPr>
              <w:t>5</w:t>
            </w:r>
            <w:r>
              <w:rPr>
                <w:rFonts w:ascii="FrankRuehl" w:hAnsi="FrankRuehl" w:cs="FrankRuehl"/>
                <w:color w:val="000000"/>
                <w:sz w:val="26"/>
                <w:szCs w:val="26"/>
              </w:rPr>
              <w:t>00</w:t>
            </w:r>
          </w:p>
        </w:tc>
        <w:tc>
          <w:tcPr>
            <w:tcW w:w="541" w:type="pct"/>
            <w:tcBorders>
              <w:top w:val="nil"/>
              <w:left w:val="single" w:sz="4" w:space="0" w:color="979991"/>
              <w:bottom w:val="single" w:sz="4" w:space="0" w:color="979991"/>
              <w:right w:val="nil"/>
            </w:tcBorders>
            <w:shd w:val="clear" w:color="auto" w:fill="FFFFFF"/>
            <w:vAlign w:val="center"/>
            <w:hideMark/>
          </w:tcPr>
          <w:p w14:paraId="743F31FD"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376DBDDB"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33,753</w:t>
            </w:r>
          </w:p>
        </w:tc>
        <w:tc>
          <w:tcPr>
            <w:tcW w:w="541" w:type="pct"/>
            <w:tcBorders>
              <w:top w:val="nil"/>
              <w:left w:val="single" w:sz="4" w:space="0" w:color="979991"/>
              <w:bottom w:val="single" w:sz="4" w:space="0" w:color="979991"/>
              <w:right w:val="nil"/>
            </w:tcBorders>
            <w:shd w:val="clear" w:color="auto" w:fill="FFFFFF"/>
            <w:vAlign w:val="center"/>
            <w:hideMark/>
          </w:tcPr>
          <w:p w14:paraId="081959A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69,582</w:t>
            </w:r>
          </w:p>
        </w:tc>
        <w:tc>
          <w:tcPr>
            <w:tcW w:w="541" w:type="pct"/>
            <w:tcBorders>
              <w:top w:val="nil"/>
              <w:left w:val="single" w:sz="4" w:space="0" w:color="979991"/>
              <w:bottom w:val="single" w:sz="4" w:space="0" w:color="979991"/>
              <w:right w:val="nil"/>
            </w:tcBorders>
            <w:shd w:val="clear" w:color="auto" w:fill="FFFFFF"/>
            <w:vAlign w:val="center"/>
            <w:hideMark/>
          </w:tcPr>
          <w:p w14:paraId="4F90D5AC"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5,869</w:t>
            </w:r>
          </w:p>
        </w:tc>
        <w:tc>
          <w:tcPr>
            <w:tcW w:w="541" w:type="pct"/>
            <w:tcBorders>
              <w:top w:val="nil"/>
              <w:left w:val="single" w:sz="4" w:space="0" w:color="979991"/>
              <w:bottom w:val="single" w:sz="4" w:space="0" w:color="979991"/>
              <w:right w:val="nil"/>
            </w:tcBorders>
            <w:shd w:val="clear" w:color="auto" w:fill="FFFFFF"/>
            <w:vAlign w:val="center"/>
            <w:hideMark/>
          </w:tcPr>
          <w:p w14:paraId="0262134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5,869</w:t>
            </w:r>
          </w:p>
        </w:tc>
        <w:tc>
          <w:tcPr>
            <w:tcW w:w="541" w:type="pct"/>
            <w:tcBorders>
              <w:top w:val="nil"/>
              <w:left w:val="single" w:sz="4" w:space="0" w:color="979991"/>
              <w:bottom w:val="single" w:sz="4" w:space="0" w:color="979991"/>
              <w:right w:val="nil"/>
            </w:tcBorders>
            <w:shd w:val="clear" w:color="auto" w:fill="FFFFFF"/>
            <w:vAlign w:val="center"/>
            <w:hideMark/>
          </w:tcPr>
          <w:p w14:paraId="078B7FCA"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7,500</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0DB223C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8,439</w:t>
            </w:r>
          </w:p>
        </w:tc>
      </w:tr>
      <w:tr w:rsidR="00686564" w14:paraId="188AE210" w14:textId="77777777" w:rsidTr="00686564">
        <w:trPr>
          <w:trHeight w:val="330"/>
        </w:trPr>
        <w:tc>
          <w:tcPr>
            <w:tcW w:w="628" w:type="pct"/>
            <w:tcBorders>
              <w:top w:val="nil"/>
              <w:left w:val="single" w:sz="4" w:space="0" w:color="979991"/>
              <w:bottom w:val="single" w:sz="4" w:space="0" w:color="979991"/>
              <w:right w:val="nil"/>
            </w:tcBorders>
            <w:shd w:val="clear" w:color="auto" w:fill="F0F4FA"/>
            <w:vAlign w:val="center"/>
            <w:hideMark/>
          </w:tcPr>
          <w:p w14:paraId="56FBCD5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220105</w:t>
            </w:r>
          </w:p>
        </w:tc>
        <w:tc>
          <w:tcPr>
            <w:tcW w:w="628" w:type="pct"/>
            <w:tcBorders>
              <w:top w:val="nil"/>
              <w:left w:val="single" w:sz="4" w:space="0" w:color="979991"/>
              <w:bottom w:val="single" w:sz="4" w:space="0" w:color="979991"/>
              <w:right w:val="nil"/>
            </w:tcBorders>
            <w:shd w:val="clear" w:color="auto" w:fill="FFFFFF"/>
            <w:vAlign w:val="center"/>
            <w:hideMark/>
          </w:tcPr>
          <w:p w14:paraId="15016793"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71EF2FD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000B493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4C046B1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608C4BD5"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01461DFF"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79F97D8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73517F3B"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r>
      <w:tr w:rsidR="00686564" w14:paraId="19669328" w14:textId="77777777" w:rsidTr="00686564">
        <w:trPr>
          <w:trHeight w:val="330"/>
        </w:trPr>
        <w:tc>
          <w:tcPr>
            <w:tcW w:w="628" w:type="pct"/>
            <w:tcBorders>
              <w:top w:val="nil"/>
              <w:left w:val="single" w:sz="4" w:space="0" w:color="979991"/>
              <w:bottom w:val="single" w:sz="4" w:space="0" w:color="979991"/>
              <w:right w:val="nil"/>
            </w:tcBorders>
            <w:shd w:val="clear" w:color="auto" w:fill="F0F4FA"/>
            <w:vAlign w:val="center"/>
            <w:hideMark/>
          </w:tcPr>
          <w:p w14:paraId="230F3B62"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220301</w:t>
            </w:r>
          </w:p>
        </w:tc>
        <w:tc>
          <w:tcPr>
            <w:tcW w:w="628" w:type="pct"/>
            <w:tcBorders>
              <w:top w:val="nil"/>
              <w:left w:val="single" w:sz="4" w:space="0" w:color="979991"/>
              <w:bottom w:val="single" w:sz="4" w:space="0" w:color="979991"/>
              <w:right w:val="nil"/>
            </w:tcBorders>
            <w:shd w:val="clear" w:color="auto" w:fill="FFFFFF"/>
            <w:vAlign w:val="center"/>
            <w:hideMark/>
          </w:tcPr>
          <w:p w14:paraId="1A65E19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518C202B"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07BAE1F3"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3,298</w:t>
            </w:r>
          </w:p>
        </w:tc>
        <w:tc>
          <w:tcPr>
            <w:tcW w:w="541" w:type="pct"/>
            <w:tcBorders>
              <w:top w:val="nil"/>
              <w:left w:val="single" w:sz="4" w:space="0" w:color="979991"/>
              <w:bottom w:val="single" w:sz="4" w:space="0" w:color="979991"/>
              <w:right w:val="nil"/>
            </w:tcBorders>
            <w:shd w:val="clear" w:color="auto" w:fill="FFFFFF"/>
            <w:vAlign w:val="center"/>
            <w:hideMark/>
          </w:tcPr>
          <w:p w14:paraId="277ACFF7"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2D890269"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3,500</w:t>
            </w:r>
          </w:p>
        </w:tc>
        <w:tc>
          <w:tcPr>
            <w:tcW w:w="541" w:type="pct"/>
            <w:tcBorders>
              <w:top w:val="nil"/>
              <w:left w:val="single" w:sz="4" w:space="0" w:color="979991"/>
              <w:bottom w:val="single" w:sz="4" w:space="0" w:color="979991"/>
              <w:right w:val="nil"/>
            </w:tcBorders>
            <w:shd w:val="clear" w:color="auto" w:fill="FFFFFF"/>
            <w:vAlign w:val="center"/>
            <w:hideMark/>
          </w:tcPr>
          <w:p w14:paraId="7C2E3B26"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c>
          <w:tcPr>
            <w:tcW w:w="541" w:type="pct"/>
            <w:tcBorders>
              <w:top w:val="nil"/>
              <w:left w:val="single" w:sz="4" w:space="0" w:color="979991"/>
              <w:bottom w:val="single" w:sz="4" w:space="0" w:color="979991"/>
              <w:right w:val="nil"/>
            </w:tcBorders>
            <w:shd w:val="clear" w:color="auto" w:fill="FFFFFF"/>
            <w:vAlign w:val="center"/>
            <w:hideMark/>
          </w:tcPr>
          <w:p w14:paraId="14A02C2D"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3,500</w:t>
            </w:r>
          </w:p>
        </w:tc>
        <w:tc>
          <w:tcPr>
            <w:tcW w:w="498" w:type="pct"/>
            <w:tcBorders>
              <w:top w:val="nil"/>
              <w:left w:val="single" w:sz="4" w:space="0" w:color="979991"/>
              <w:bottom w:val="single" w:sz="4" w:space="0" w:color="979991"/>
              <w:right w:val="single" w:sz="4" w:space="0" w:color="979991"/>
            </w:tcBorders>
            <w:shd w:val="clear" w:color="auto" w:fill="FFFFFF"/>
            <w:vAlign w:val="center"/>
            <w:hideMark/>
          </w:tcPr>
          <w:p w14:paraId="5FCB6821" w14:textId="77777777" w:rsidR="00686564" w:rsidRDefault="00686564" w:rsidP="00A50836">
            <w:pPr>
              <w:bidi w:val="0"/>
              <w:jc w:val="center"/>
              <w:rPr>
                <w:rFonts w:ascii="FrankRuehl" w:hAnsi="FrankRuehl" w:cs="FrankRuehl"/>
                <w:color w:val="000000"/>
                <w:sz w:val="26"/>
                <w:szCs w:val="26"/>
              </w:rPr>
            </w:pPr>
            <w:r>
              <w:rPr>
                <w:rFonts w:ascii="FrankRuehl" w:hAnsi="FrankRuehl" w:cs="FrankRuehl"/>
                <w:color w:val="000000"/>
                <w:sz w:val="26"/>
                <w:szCs w:val="26"/>
              </w:rPr>
              <w:t>0</w:t>
            </w:r>
          </w:p>
        </w:tc>
      </w:tr>
    </w:tbl>
    <w:p w14:paraId="0F281EDB" w14:textId="77777777" w:rsidR="00686564" w:rsidRDefault="00686564" w:rsidP="00686564">
      <w:pPr>
        <w:rPr>
          <w:rFonts w:ascii="FrankRuehl" w:eastAsia="Calibri" w:hAnsi="FrankRuehl" w:cs="FrankRuehl"/>
          <w:b/>
          <w:bCs/>
          <w:sz w:val="26"/>
          <w:szCs w:val="26"/>
        </w:rPr>
      </w:pPr>
    </w:p>
    <w:p w14:paraId="6399F3FD" w14:textId="24321CCF" w:rsidR="00686564" w:rsidRDefault="00686564">
      <w:pPr>
        <w:rPr>
          <w:rFonts w:cs="FrankRuehl"/>
          <w:sz w:val="26"/>
          <w:szCs w:val="26"/>
          <w:rtl/>
        </w:rPr>
      </w:pPr>
    </w:p>
    <w:p w14:paraId="3187FA41" w14:textId="48986D46" w:rsidR="00686564" w:rsidRDefault="00686564">
      <w:pPr>
        <w:rPr>
          <w:rFonts w:cs="FrankRuehl"/>
          <w:sz w:val="26"/>
          <w:szCs w:val="26"/>
          <w:rtl/>
        </w:rPr>
      </w:pPr>
    </w:p>
    <w:p w14:paraId="1AA4F238" w14:textId="44ED1560" w:rsidR="00686564" w:rsidRDefault="00686564">
      <w:pPr>
        <w:rPr>
          <w:rFonts w:cs="FrankRuehl"/>
          <w:sz w:val="26"/>
          <w:szCs w:val="26"/>
          <w:rtl/>
        </w:rPr>
      </w:pPr>
    </w:p>
    <w:p w14:paraId="5659E535" w14:textId="51BAFA38" w:rsidR="00686564" w:rsidRDefault="00686564">
      <w:pPr>
        <w:rPr>
          <w:rFonts w:cs="FrankRuehl"/>
          <w:sz w:val="26"/>
          <w:szCs w:val="26"/>
          <w:rtl/>
        </w:rPr>
      </w:pPr>
    </w:p>
    <w:p w14:paraId="0D1E19A1" w14:textId="56C9DC73" w:rsidR="00686564" w:rsidRDefault="00686564">
      <w:pPr>
        <w:rPr>
          <w:rFonts w:cs="FrankRuehl"/>
          <w:sz w:val="26"/>
          <w:szCs w:val="26"/>
          <w:rtl/>
        </w:rPr>
      </w:pPr>
    </w:p>
    <w:p w14:paraId="191B1301" w14:textId="77777777" w:rsidR="00686564" w:rsidRPr="00161010" w:rsidRDefault="00686564">
      <w:pPr>
        <w:rPr>
          <w:rFonts w:cs="FrankRuehl"/>
          <w:sz w:val="26"/>
          <w:szCs w:val="26"/>
          <w:rtl/>
        </w:rPr>
      </w:pPr>
    </w:p>
    <w:sectPr w:rsidR="00686564" w:rsidRPr="00161010" w:rsidSect="00BC0F8E">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3202" w14:textId="77777777" w:rsidR="00934877" w:rsidRDefault="00934877" w:rsidP="00BC0F8E">
      <w:r>
        <w:separator/>
      </w:r>
    </w:p>
  </w:endnote>
  <w:endnote w:type="continuationSeparator" w:id="0">
    <w:p w14:paraId="7D5172D9" w14:textId="77777777" w:rsidR="00934877" w:rsidRDefault="00934877"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E5FAB"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CA0B"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7B99"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85E7" w14:textId="77777777" w:rsidR="00934877" w:rsidRDefault="00934877" w:rsidP="00BC0F8E">
      <w:r>
        <w:separator/>
      </w:r>
    </w:p>
  </w:footnote>
  <w:footnote w:type="continuationSeparator" w:id="0">
    <w:p w14:paraId="5EE3E54B" w14:textId="77777777" w:rsidR="00934877" w:rsidRDefault="00934877"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8A30"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9BC4" w14:textId="77777777" w:rsidR="00BC0F8E" w:rsidRPr="00CB5FFD" w:rsidRDefault="00934877" w:rsidP="00BC0F8E">
    <w:pPr>
      <w:pStyle w:val="a4"/>
      <w:jc w:val="right"/>
      <w:rPr>
        <w:color w:val="4F81BD"/>
        <w:rtl/>
        <w:cs/>
      </w:rPr>
    </w:pPr>
    <w:r>
      <w:rPr>
        <w:noProof/>
        <w:rtl/>
      </w:rPr>
      <w:pict w14:anchorId="352F4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2A76A9E9" w14:textId="77777777" w:rsidR="00BC0F8E" w:rsidRPr="00CB5FFD" w:rsidRDefault="00BC0F8E" w:rsidP="00BC0F8E">
    <w:pPr>
      <w:pStyle w:val="a4"/>
      <w:jc w:val="right"/>
      <w:rPr>
        <w:color w:val="4F81BD"/>
        <w:rtl/>
        <w:cs/>
      </w:rPr>
    </w:pPr>
  </w:p>
  <w:p w14:paraId="2561254A" w14:textId="77777777" w:rsidR="00BC0F8E" w:rsidRDefault="00BC0F8E" w:rsidP="00BC0F8E">
    <w:pPr>
      <w:pStyle w:val="a4"/>
    </w:pPr>
  </w:p>
  <w:p w14:paraId="1AE052F7"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04E3" w14:textId="77777777" w:rsidR="005431FE" w:rsidRDefault="00543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53659B"/>
    <w:multiLevelType w:val="hybridMultilevel"/>
    <w:tmpl w:val="520C0DCE"/>
    <w:lvl w:ilvl="0" w:tplc="D616AFB0">
      <w:start w:val="1"/>
      <w:numFmt w:val="decimal"/>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161010"/>
    <w:rsid w:val="00360BD3"/>
    <w:rsid w:val="003A4CAE"/>
    <w:rsid w:val="00462897"/>
    <w:rsid w:val="005431FE"/>
    <w:rsid w:val="0058062A"/>
    <w:rsid w:val="005C7E8B"/>
    <w:rsid w:val="00686564"/>
    <w:rsid w:val="006A7A7A"/>
    <w:rsid w:val="007F3CB2"/>
    <w:rsid w:val="00934877"/>
    <w:rsid w:val="00A06DF5"/>
    <w:rsid w:val="00A20F3B"/>
    <w:rsid w:val="00AF2BBF"/>
    <w:rsid w:val="00B94155"/>
    <w:rsid w:val="00BC0F8E"/>
    <w:rsid w:val="00CB133E"/>
    <w:rsid w:val="00CE2337"/>
    <w:rsid w:val="00E31FD1"/>
    <w:rsid w:val="00E40F3E"/>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8DF18E5"/>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 w:type="paragraph" w:styleId="aa">
    <w:name w:val="List Paragraph"/>
    <w:basedOn w:val="a"/>
    <w:uiPriority w:val="34"/>
    <w:qFormat/>
    <w:rsid w:val="00686564"/>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720</Words>
  <Characters>3601</Characters>
  <Application>Microsoft Office Word</Application>
  <DocSecurity>0</DocSecurity>
  <Lines>30</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4</cp:revision>
  <cp:lastPrinted>1899-12-31T22:00:00Z</cp:lastPrinted>
  <dcterms:created xsi:type="dcterms:W3CDTF">2026-07-28T11:06:00Z</dcterms:created>
  <dcterms:modified xsi:type="dcterms:W3CDTF">2026-07-28T11:16:00Z</dcterms:modified>
</cp:coreProperties>
</file>