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4C15B" w14:textId="77777777" w:rsidR="00436E4E" w:rsidRDefault="00436E4E">
      <w:pPr>
        <w:pStyle w:val="a6"/>
        <w:rPr>
          <w:rtl/>
        </w:rPr>
      </w:pPr>
    </w:p>
    <w:p w14:paraId="58CA813F" w14:textId="77777777" w:rsidR="00436E4E" w:rsidRDefault="00436E4E">
      <w:pPr>
        <w:pStyle w:val="a6"/>
        <w:rPr>
          <w:rtl/>
        </w:rPr>
      </w:pPr>
      <w:r>
        <w:rPr>
          <w:rtl/>
        </w:rPr>
        <w:t>מדינת ישראל</w:t>
      </w:r>
    </w:p>
    <w:p w14:paraId="6BCD28C6" w14:textId="77777777" w:rsidR="00436E4E" w:rsidRDefault="00436E4E">
      <w:pPr>
        <w:pStyle w:val="a6"/>
        <w:rPr>
          <w:szCs w:val="24"/>
          <w:rtl/>
        </w:rPr>
      </w:pPr>
      <w:r>
        <w:rPr>
          <w:rtl/>
        </w:rPr>
        <w:t>האוצר - אגף התקציבים</w:t>
      </w:r>
    </w:p>
    <w:p w14:paraId="38A21A6F" w14:textId="77777777" w:rsidR="00436E4E" w:rsidRDefault="00436E4E">
      <w:pPr>
        <w:rPr>
          <w:rtl/>
        </w:rPr>
      </w:pPr>
    </w:p>
    <w:p w14:paraId="3DDCDA62" w14:textId="77777777" w:rsidR="00436E4E" w:rsidRDefault="00436E4E">
      <w:pPr>
        <w:rPr>
          <w:rtl/>
        </w:rPr>
      </w:pPr>
    </w:p>
    <w:p w14:paraId="5CB2B512" w14:textId="7445157E" w:rsidR="00436E4E" w:rsidRDefault="00436E4E">
      <w:pPr>
        <w:tabs>
          <w:tab w:val="left" w:pos="6300"/>
        </w:tabs>
        <w:rPr>
          <w:rtl/>
        </w:rPr>
      </w:pPr>
      <w:r>
        <w:rPr>
          <w:rtl/>
        </w:rPr>
        <w:tab/>
      </w:r>
      <w:bookmarkStart w:id="0" w:name="TAKZIV8"/>
      <w:r w:rsidR="00097CEA">
        <w:rPr>
          <w:rtl/>
        </w:rPr>
        <w:t>תקציב רגיל</w:t>
      </w:r>
      <w:bookmarkEnd w:id="0"/>
    </w:p>
    <w:p w14:paraId="4ED95AB7" w14:textId="77777777" w:rsidR="00436E4E" w:rsidRDefault="00436E4E">
      <w:pPr>
        <w:tabs>
          <w:tab w:val="left" w:pos="6300"/>
        </w:tabs>
        <w:rPr>
          <w:rtl/>
        </w:rPr>
      </w:pPr>
      <w:r>
        <w:rPr>
          <w:rtl/>
        </w:rPr>
        <w:tab/>
      </w:r>
    </w:p>
    <w:p w14:paraId="0379FCE5"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79E78B92" w14:textId="42EBCB18"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097CEA">
        <w:rPr>
          <w:rFonts w:cs="FrankRuehl"/>
          <w:sz w:val="26"/>
          <w:szCs w:val="26"/>
          <w:rtl/>
        </w:rPr>
        <w:t>206</w:t>
      </w:r>
      <w:bookmarkEnd w:id="2"/>
      <w:r w:rsidRPr="002E1D22">
        <w:rPr>
          <w:rFonts w:cs="FrankRuehl"/>
          <w:sz w:val="26"/>
          <w:szCs w:val="26"/>
          <w:rtl/>
        </w:rPr>
        <w:t xml:space="preserve"> </w:t>
      </w:r>
      <w:r w:rsidR="003B76C7">
        <w:rPr>
          <w:rFonts w:cs="FrankRuehl"/>
          <w:sz w:val="26"/>
          <w:szCs w:val="26"/>
          <w:rtl/>
        </w:rPr>
        <w:t>–</w:t>
      </w:r>
      <w:r w:rsidRPr="002E1D22">
        <w:rPr>
          <w:rFonts w:cs="FrankRuehl"/>
          <w:sz w:val="26"/>
          <w:szCs w:val="26"/>
          <w:rtl/>
        </w:rPr>
        <w:t xml:space="preserve"> </w:t>
      </w:r>
      <w:bookmarkStart w:id="3" w:name="TAKZIV3"/>
      <w:r w:rsidR="00097CEA">
        <w:rPr>
          <w:rFonts w:cs="FrankRuehl"/>
          <w:sz w:val="26"/>
          <w:szCs w:val="26"/>
          <w:rtl/>
        </w:rPr>
        <w:t>29</w:t>
      </w:r>
      <w:bookmarkEnd w:id="3"/>
      <w:r w:rsidR="003B76C7">
        <w:rPr>
          <w:rFonts w:cs="FrankRuehl" w:hint="cs"/>
          <w:sz w:val="26"/>
          <w:szCs w:val="26"/>
          <w:rtl/>
        </w:rPr>
        <w:t>,</w:t>
      </w:r>
    </w:p>
    <w:p w14:paraId="6ADB34DA" w14:textId="6ED854CE" w:rsidR="003B76C7" w:rsidRPr="002E1D22" w:rsidRDefault="003B76C7" w:rsidP="002E1D22">
      <w:pPr>
        <w:tabs>
          <w:tab w:val="left" w:pos="5755"/>
        </w:tabs>
        <w:rPr>
          <w:rFonts w:cs="FrankRuehl"/>
          <w:sz w:val="26"/>
          <w:szCs w:val="26"/>
          <w:rtl/>
        </w:rPr>
      </w:pPr>
      <w:r>
        <w:rPr>
          <w:rFonts w:cs="FrankRuehl"/>
          <w:sz w:val="26"/>
          <w:szCs w:val="26"/>
          <w:rtl/>
        </w:rPr>
        <w:tab/>
      </w:r>
      <w:r>
        <w:rPr>
          <w:rFonts w:cs="FrankRuehl" w:hint="cs"/>
          <w:sz w:val="26"/>
          <w:szCs w:val="26"/>
          <w:rtl/>
        </w:rPr>
        <w:t>54-234</w:t>
      </w:r>
    </w:p>
    <w:p w14:paraId="623EFEB2" w14:textId="140680BC" w:rsidR="003B76C7"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3B76C7" w:rsidRPr="002E1D22">
        <w:rPr>
          <w:rFonts w:cs="FrankRuehl" w:hint="cs"/>
          <w:sz w:val="26"/>
          <w:szCs w:val="26"/>
          <w:rtl/>
        </w:rPr>
        <w:t>לוועד</w:t>
      </w:r>
      <w:r w:rsidR="003B76C7" w:rsidRPr="002E1D22">
        <w:rPr>
          <w:rFonts w:cs="FrankRuehl" w:hint="eastAsia"/>
          <w:sz w:val="26"/>
          <w:szCs w:val="26"/>
          <w:rtl/>
        </w:rPr>
        <w:t>ה</w:t>
      </w:r>
      <w:r w:rsidRPr="002E1D22">
        <w:rPr>
          <w:rFonts w:cs="FrankRuehl"/>
          <w:sz w:val="26"/>
          <w:szCs w:val="26"/>
          <w:rtl/>
        </w:rPr>
        <w:t>:</w:t>
      </w:r>
    </w:p>
    <w:p w14:paraId="42E24A96" w14:textId="58857AAC" w:rsidR="00436E4E" w:rsidRDefault="003B76C7" w:rsidP="003B76C7">
      <w:pPr>
        <w:ind w:left="5760"/>
        <w:rPr>
          <w:rFonts w:cs="FrankRuehl"/>
          <w:sz w:val="26"/>
          <w:szCs w:val="26"/>
          <w:rtl/>
        </w:rPr>
      </w:pPr>
      <w:r>
        <w:rPr>
          <w:rFonts w:cs="FrankRuehl" w:hint="cs"/>
          <w:sz w:val="26"/>
          <w:szCs w:val="26"/>
          <w:rtl/>
        </w:rPr>
        <w:t>154 עד</w:t>
      </w:r>
      <w:r w:rsidR="00436E4E" w:rsidRPr="002E1D22">
        <w:rPr>
          <w:rFonts w:cs="FrankRuehl"/>
          <w:sz w:val="26"/>
          <w:szCs w:val="26"/>
          <w:rtl/>
        </w:rPr>
        <w:t xml:space="preserve"> </w:t>
      </w:r>
      <w:bookmarkStart w:id="4" w:name="TAKZIV11"/>
      <w:r w:rsidR="00097CEA">
        <w:rPr>
          <w:rFonts w:cs="FrankRuehl"/>
          <w:sz w:val="26"/>
          <w:szCs w:val="26"/>
          <w:rtl/>
        </w:rPr>
        <w:t>155</w:t>
      </w:r>
      <w:bookmarkEnd w:id="4"/>
      <w:r w:rsidR="00436E4E" w:rsidRPr="002E1D22">
        <w:rPr>
          <w:rFonts w:cs="FrankRuehl"/>
          <w:sz w:val="26"/>
          <w:szCs w:val="26"/>
          <w:rtl/>
        </w:rPr>
        <w:tab/>
      </w:r>
    </w:p>
    <w:p w14:paraId="13BFF22D" w14:textId="77777777" w:rsidR="003B76C7" w:rsidRPr="002E1D22" w:rsidRDefault="003B76C7" w:rsidP="003B76C7">
      <w:pPr>
        <w:ind w:left="5760"/>
        <w:rPr>
          <w:rFonts w:cs="FrankRuehl"/>
          <w:sz w:val="26"/>
          <w:szCs w:val="26"/>
          <w:rtl/>
        </w:rPr>
      </w:pPr>
    </w:p>
    <w:p w14:paraId="7E5441B8" w14:textId="77777777" w:rsidR="00436E4E" w:rsidRPr="002E1D22" w:rsidRDefault="00436E4E">
      <w:pPr>
        <w:rPr>
          <w:rFonts w:cs="FrankRuehl"/>
          <w:sz w:val="26"/>
          <w:szCs w:val="26"/>
          <w:rtl/>
        </w:rPr>
      </w:pPr>
      <w:r w:rsidRPr="002E1D22">
        <w:rPr>
          <w:rFonts w:cs="FrankRuehl"/>
          <w:sz w:val="26"/>
          <w:szCs w:val="26"/>
          <w:rtl/>
        </w:rPr>
        <w:t>לכבוד,</w:t>
      </w:r>
    </w:p>
    <w:p w14:paraId="016A18E6" w14:textId="77777777" w:rsidR="00436E4E" w:rsidRPr="002E1D22" w:rsidRDefault="00436E4E">
      <w:pPr>
        <w:rPr>
          <w:rFonts w:cs="FrankRuehl"/>
          <w:sz w:val="26"/>
          <w:szCs w:val="26"/>
          <w:rtl/>
        </w:rPr>
      </w:pPr>
      <w:r w:rsidRPr="002E1D22">
        <w:rPr>
          <w:rFonts w:cs="FrankRuehl"/>
          <w:sz w:val="26"/>
          <w:szCs w:val="26"/>
          <w:rtl/>
        </w:rPr>
        <w:t>יו"ר ועדת הכספים</w:t>
      </w:r>
    </w:p>
    <w:p w14:paraId="5E49D624" w14:textId="77777777" w:rsidR="00436E4E" w:rsidRPr="002E1D22" w:rsidRDefault="00436E4E">
      <w:pPr>
        <w:rPr>
          <w:rFonts w:cs="FrankRuehl"/>
          <w:sz w:val="26"/>
          <w:szCs w:val="26"/>
          <w:rtl/>
        </w:rPr>
      </w:pPr>
      <w:r w:rsidRPr="002E1D22">
        <w:rPr>
          <w:rFonts w:cs="FrankRuehl"/>
          <w:sz w:val="26"/>
          <w:szCs w:val="26"/>
          <w:rtl/>
        </w:rPr>
        <w:t>של הכנסת</w:t>
      </w:r>
    </w:p>
    <w:p w14:paraId="51A911D3" w14:textId="77777777" w:rsidR="00436E4E" w:rsidRPr="002E1D22" w:rsidRDefault="00436E4E">
      <w:pPr>
        <w:rPr>
          <w:rFonts w:cs="FrankRuehl"/>
          <w:sz w:val="26"/>
          <w:szCs w:val="26"/>
          <w:rtl/>
        </w:rPr>
      </w:pPr>
    </w:p>
    <w:p w14:paraId="5E1D9C6C" w14:textId="77777777" w:rsidR="00436E4E" w:rsidRPr="002E1D22" w:rsidRDefault="00436E4E">
      <w:pPr>
        <w:rPr>
          <w:rFonts w:cs="FrankRuehl"/>
          <w:sz w:val="26"/>
          <w:szCs w:val="26"/>
          <w:rtl/>
        </w:rPr>
      </w:pPr>
      <w:r w:rsidRPr="002E1D22">
        <w:rPr>
          <w:rFonts w:cs="FrankRuehl"/>
          <w:sz w:val="26"/>
          <w:szCs w:val="26"/>
          <w:rtl/>
        </w:rPr>
        <w:t>א.נ.,</w:t>
      </w:r>
    </w:p>
    <w:p w14:paraId="3106D418" w14:textId="77777777" w:rsidR="00436E4E" w:rsidRPr="002E1D22" w:rsidRDefault="00436E4E">
      <w:pPr>
        <w:rPr>
          <w:rFonts w:cs="FrankRuehl"/>
          <w:sz w:val="26"/>
          <w:szCs w:val="26"/>
          <w:rtl/>
        </w:rPr>
      </w:pPr>
    </w:p>
    <w:p w14:paraId="6E037608"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097CEA">
        <w:rPr>
          <w:rFonts w:cs="FrankRuehl"/>
          <w:sz w:val="26"/>
          <w:rtl/>
        </w:rPr>
        <w:t>2026</w:t>
      </w:r>
      <w:bookmarkEnd w:id="5"/>
      <w:r w:rsidRPr="002E1D22">
        <w:rPr>
          <w:rFonts w:cs="FrankRuehl"/>
          <w:sz w:val="26"/>
          <w:rtl/>
        </w:rPr>
        <w:t xml:space="preserve">     </w:t>
      </w:r>
    </w:p>
    <w:p w14:paraId="15D3FE87" w14:textId="77777777" w:rsidR="00436E4E" w:rsidRPr="002E1D22" w:rsidRDefault="00436E4E" w:rsidP="002E1D22">
      <w:pPr>
        <w:jc w:val="both"/>
        <w:rPr>
          <w:rFonts w:cs="FrankRuehl"/>
          <w:sz w:val="26"/>
          <w:szCs w:val="26"/>
          <w:rtl/>
        </w:rPr>
      </w:pPr>
    </w:p>
    <w:p w14:paraId="00D850FF" w14:textId="11A7CAB5" w:rsidR="00436E4E" w:rsidRPr="002E1D22" w:rsidRDefault="00436E4E" w:rsidP="003B76C7">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097CEA">
        <w:rPr>
          <w:rFonts w:cs="FrankRuehl"/>
          <w:sz w:val="26"/>
          <w:szCs w:val="26"/>
          <w:rtl/>
        </w:rPr>
        <w:t>46,767</w:t>
      </w:r>
      <w:bookmarkEnd w:id="6"/>
      <w:r w:rsidRPr="002E1D22">
        <w:rPr>
          <w:rFonts w:cs="FrankRuehl"/>
          <w:sz w:val="26"/>
          <w:szCs w:val="26"/>
          <w:rtl/>
        </w:rPr>
        <w:t xml:space="preserve"> אלפי שקלים חדשים מסעיף</w:t>
      </w:r>
      <w:r w:rsidR="003B76C7">
        <w:rPr>
          <w:rFonts w:cs="FrankRuehl" w:hint="cs"/>
          <w:sz w:val="26"/>
          <w:szCs w:val="26"/>
          <w:rtl/>
        </w:rPr>
        <w:t xml:space="preserve"> 54 </w:t>
      </w:r>
      <w:r w:rsidR="003B76C7">
        <w:rPr>
          <w:rFonts w:cs="FrankRuehl"/>
          <w:sz w:val="26"/>
          <w:szCs w:val="26"/>
          <w:rtl/>
        </w:rPr>
        <w:t>–</w:t>
      </w:r>
      <w:r w:rsidR="003B76C7">
        <w:rPr>
          <w:rFonts w:cs="FrankRuehl" w:hint="cs"/>
          <w:sz w:val="26"/>
          <w:szCs w:val="26"/>
          <w:rtl/>
        </w:rPr>
        <w:t xml:space="preserve"> רשויות פיקוח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05A7F2D9" w14:textId="77777777" w:rsidR="00436E4E" w:rsidRPr="002E1D22" w:rsidRDefault="00436E4E" w:rsidP="003B76C7">
      <w:pPr>
        <w:jc w:val="both"/>
        <w:rPr>
          <w:rFonts w:cs="FrankRuehl"/>
          <w:sz w:val="26"/>
          <w:szCs w:val="26"/>
          <w:rtl/>
        </w:rPr>
      </w:pPr>
    </w:p>
    <w:p w14:paraId="171C28C1" w14:textId="30AC8A2D" w:rsidR="00436E4E" w:rsidRPr="002E1D22" w:rsidRDefault="00436E4E" w:rsidP="003B76C7">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3B76C7" w:rsidRPr="002E1D22">
        <w:rPr>
          <w:rFonts w:cs="FrankRuehl"/>
          <w:sz w:val="26"/>
          <w:szCs w:val="26"/>
          <w:rtl/>
        </w:rPr>
        <w:t xml:space="preserve">של </w:t>
      </w:r>
      <w:r w:rsidR="003B76C7">
        <w:rPr>
          <w:rFonts w:cs="FrankRuehl"/>
          <w:sz w:val="26"/>
          <w:szCs w:val="26"/>
          <w:rtl/>
        </w:rPr>
        <w:t>46,767</w:t>
      </w:r>
      <w:r w:rsidR="003B76C7"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3B76C7" w:rsidRPr="002E1D22">
        <w:rPr>
          <w:rFonts w:cs="FrankRuehl"/>
          <w:sz w:val="26"/>
          <w:szCs w:val="26"/>
          <w:rtl/>
        </w:rPr>
        <w:t xml:space="preserve">לסעיף </w:t>
      </w:r>
      <w:bookmarkStart w:id="7" w:name="TAKZIV3_1"/>
      <w:r w:rsidR="003B76C7">
        <w:rPr>
          <w:rFonts w:cs="FrankRuehl"/>
          <w:sz w:val="26"/>
          <w:szCs w:val="26"/>
          <w:rtl/>
        </w:rPr>
        <w:t>29</w:t>
      </w:r>
      <w:bookmarkEnd w:id="7"/>
      <w:r w:rsidR="003B76C7" w:rsidRPr="002E1D22">
        <w:rPr>
          <w:rFonts w:cs="FrankRuehl"/>
          <w:sz w:val="26"/>
          <w:szCs w:val="26"/>
          <w:rtl/>
        </w:rPr>
        <w:t xml:space="preserve"> - </w:t>
      </w:r>
      <w:bookmarkStart w:id="8" w:name="TAKZIV6"/>
      <w:r w:rsidR="003B76C7">
        <w:rPr>
          <w:rFonts w:cs="FrankRuehl"/>
          <w:sz w:val="26"/>
          <w:szCs w:val="26"/>
          <w:rtl/>
        </w:rPr>
        <w:t>משרד הבינוי והשיכון</w:t>
      </w:r>
      <w:bookmarkEnd w:id="8"/>
      <w:r w:rsidR="003B76C7">
        <w:rPr>
          <w:rFonts w:cs="FrankRuehl" w:hint="cs"/>
          <w:sz w:val="26"/>
          <w:szCs w:val="26"/>
          <w:rtl/>
        </w:rPr>
        <w:t>,</w:t>
      </w:r>
      <w:r w:rsidR="003B76C7" w:rsidRPr="002E1D22">
        <w:rPr>
          <w:rFonts w:cs="FrankRuehl"/>
          <w:sz w:val="26"/>
          <w:szCs w:val="26"/>
          <w:rtl/>
        </w:rPr>
        <w:t xml:space="preserve"> </w:t>
      </w:r>
      <w:r w:rsidRPr="002E1D22">
        <w:rPr>
          <w:rFonts w:cs="FrankRuehl"/>
          <w:sz w:val="26"/>
          <w:szCs w:val="26"/>
          <w:rtl/>
        </w:rPr>
        <w:t>בהתאם לסעיף 12 (א)</w:t>
      </w:r>
    </w:p>
    <w:p w14:paraId="2E5442BF" w14:textId="77777777" w:rsidR="00436E4E" w:rsidRPr="002E1D22" w:rsidRDefault="00436E4E" w:rsidP="003B76C7">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719170A8" w14:textId="77777777" w:rsidR="00436E4E" w:rsidRPr="002E1D22" w:rsidRDefault="00436E4E" w:rsidP="003B76C7">
      <w:pPr>
        <w:jc w:val="both"/>
        <w:rPr>
          <w:rFonts w:cs="FrankRuehl"/>
          <w:sz w:val="26"/>
          <w:szCs w:val="26"/>
          <w:rtl/>
        </w:rPr>
      </w:pPr>
    </w:p>
    <w:p w14:paraId="6F580B0C" w14:textId="77777777" w:rsidR="003B76C7" w:rsidRDefault="003B76C7" w:rsidP="003B76C7">
      <w:pPr>
        <w:jc w:val="both"/>
        <w:rPr>
          <w:rFonts w:ascii="FrankRuehl" w:hAnsi="FrankRuehl" w:cs="FrankRuehl"/>
          <w:sz w:val="26"/>
          <w:lang w:eastAsia="en-US"/>
        </w:rPr>
      </w:pPr>
      <w:bookmarkStart w:id="9" w:name="DIVREY_HESBER"/>
      <w:bookmarkEnd w:id="9"/>
      <w:r>
        <w:rPr>
          <w:rFonts w:ascii="FrankRuehl" w:hAnsi="FrankRuehl" w:cs="FrankRuehl" w:hint="cs"/>
          <w:b/>
          <w:bCs/>
          <w:sz w:val="26"/>
          <w:rtl/>
        </w:rPr>
        <w:t xml:space="preserve">הבקשה דנה בסעיף תקציבי: </w:t>
      </w:r>
      <w:r>
        <w:rPr>
          <w:rFonts w:ascii="FrankRuehl" w:hAnsi="FrankRuehl" w:cs="FrankRuehl" w:hint="cs"/>
          <w:sz w:val="26"/>
          <w:rtl/>
        </w:rPr>
        <w:t>29 – משרד הבינוי והשיכון</w:t>
      </w:r>
    </w:p>
    <w:p w14:paraId="1FACC771" w14:textId="77777777" w:rsidR="003B76C7" w:rsidRDefault="003B76C7" w:rsidP="003B76C7">
      <w:pPr>
        <w:jc w:val="both"/>
        <w:rPr>
          <w:rFonts w:ascii="FrankRuehl" w:hAnsi="FrankRuehl" w:cs="FrankRuehl" w:hint="cs"/>
          <w:b/>
          <w:bCs/>
          <w:sz w:val="26"/>
          <w:rtl/>
        </w:rPr>
      </w:pPr>
    </w:p>
    <w:p w14:paraId="426C0C19" w14:textId="77777777" w:rsidR="003B76C7" w:rsidRDefault="003B76C7" w:rsidP="003B76C7">
      <w:pPr>
        <w:jc w:val="both"/>
        <w:rPr>
          <w:rFonts w:ascii="FrankRuehl" w:hAnsi="FrankRuehl" w:cs="FrankRuehl" w:hint="cs"/>
          <w:sz w:val="26"/>
        </w:rPr>
      </w:pPr>
      <w:r>
        <w:rPr>
          <w:rFonts w:ascii="FrankRuehl" w:hAnsi="FrankRuehl" w:cs="FrankRuehl" w:hint="cs"/>
          <w:b/>
          <w:bCs/>
          <w:sz w:val="26"/>
          <w:rtl/>
        </w:rPr>
        <w:t>עיקרי הפנייה:</w:t>
      </w:r>
      <w:r>
        <w:rPr>
          <w:rFonts w:ascii="FrankRuehl" w:hAnsi="FrankRuehl" w:cs="FrankRuehl" w:hint="cs"/>
          <w:sz w:val="26"/>
          <w:rtl/>
        </w:rPr>
        <w:t xml:space="preserve"> </w:t>
      </w:r>
    </w:p>
    <w:p w14:paraId="4618F0F3" w14:textId="77777777" w:rsidR="003B76C7" w:rsidRDefault="003B76C7" w:rsidP="003B76C7">
      <w:pPr>
        <w:jc w:val="both"/>
        <w:rPr>
          <w:rFonts w:ascii="FrankRuehl" w:hAnsi="FrankRuehl" w:cs="FrankRuehl" w:hint="cs"/>
          <w:sz w:val="26"/>
          <w:highlight w:val="yellow"/>
          <w:u w:val="single"/>
          <w:rtl/>
        </w:rPr>
      </w:pPr>
      <w:r>
        <w:rPr>
          <w:rFonts w:ascii="FrankRuehl" w:hAnsi="FrankRuehl" w:cs="FrankRuehl" w:hint="cs"/>
          <w:sz w:val="26"/>
          <w:rtl/>
        </w:rPr>
        <w:t>הפניה התקציבית נועדה לתקצוב סך של 46,767 אלפי ש"ח בהוצאה נטו ו-4 תקני שיא כ"א עבור השלמת העברת מקבצי דיור לעולים ממשרד העלייה והקליטה למשרד הבינוי והשיכון, תקצוב התקשרויות לפיתוח, חקר ועידוד חדשנות בענף הבינוי, השלמת תקצוב לפי ביצוע בפועל לאבטחה במזרח ירושלים, והשלמת תקציבי תפעול ומחשוב.</w:t>
      </w:r>
    </w:p>
    <w:p w14:paraId="45E07A43" w14:textId="77777777" w:rsidR="003B76C7" w:rsidRDefault="003B76C7" w:rsidP="003B76C7">
      <w:pPr>
        <w:jc w:val="both"/>
        <w:rPr>
          <w:rFonts w:ascii="FrankRuehl" w:hAnsi="FrankRuehl" w:cs="FrankRuehl" w:hint="cs"/>
          <w:b/>
          <w:bCs/>
          <w:sz w:val="26"/>
          <w:rtl/>
        </w:rPr>
      </w:pPr>
    </w:p>
    <w:p w14:paraId="4FBF29F7" w14:textId="77777777" w:rsidR="003B76C7" w:rsidRDefault="003B76C7" w:rsidP="003B76C7">
      <w:pPr>
        <w:jc w:val="both"/>
        <w:rPr>
          <w:rFonts w:ascii="FrankRuehl" w:hAnsi="FrankRuehl" w:cs="FrankRuehl" w:hint="cs"/>
          <w:b/>
          <w:bCs/>
          <w:sz w:val="26"/>
          <w:rtl/>
        </w:rPr>
      </w:pPr>
      <w:r>
        <w:rPr>
          <w:rFonts w:ascii="FrankRuehl" w:hAnsi="FrankRuehl" w:cs="FrankRuehl" w:hint="cs"/>
          <w:b/>
          <w:bCs/>
          <w:sz w:val="26"/>
          <w:rtl/>
        </w:rPr>
        <w:t>עיקרי הפנייה התקציבית בחלוקה לתוכניות מובאים להלן:</w:t>
      </w:r>
    </w:p>
    <w:p w14:paraId="73B9C976" w14:textId="77777777" w:rsidR="003B76C7" w:rsidRDefault="003B76C7" w:rsidP="003B76C7">
      <w:pPr>
        <w:jc w:val="both"/>
        <w:rPr>
          <w:rFonts w:ascii="FrankRuehl" w:hAnsi="FrankRuehl" w:cs="FrankRuehl" w:hint="cs"/>
          <w:b/>
          <w:bCs/>
          <w:sz w:val="26"/>
          <w:highlight w:val="yellow"/>
          <w:u w:val="single"/>
          <w:rtl/>
        </w:rPr>
      </w:pPr>
      <w:r>
        <w:rPr>
          <w:rFonts w:ascii="FrankRuehl" w:hAnsi="FrankRuehl" w:cs="FrankRuehl" w:hint="cs"/>
          <w:b/>
          <w:bCs/>
          <w:sz w:val="26"/>
          <w:rtl/>
        </w:rPr>
        <w:t>290101 – שכר – 4 תקני שיא כ"א</w:t>
      </w:r>
    </w:p>
    <w:p w14:paraId="3972A0D0" w14:textId="77777777" w:rsidR="003B76C7" w:rsidRDefault="003B76C7" w:rsidP="003B76C7">
      <w:pPr>
        <w:jc w:val="both"/>
        <w:rPr>
          <w:rFonts w:ascii="FrankRuehl" w:hAnsi="FrankRuehl" w:cs="FrankRuehl" w:hint="cs"/>
          <w:b/>
          <w:bCs/>
          <w:sz w:val="26"/>
        </w:rPr>
      </w:pPr>
      <w:r>
        <w:rPr>
          <w:rFonts w:ascii="FrankRuehl" w:hAnsi="FrankRuehl" w:cs="FrankRuehl" w:hint="cs"/>
          <w:b/>
          <w:bCs/>
          <w:sz w:val="26"/>
          <w:rtl/>
        </w:rPr>
        <w:t xml:space="preserve">תיאור התוכנית: </w:t>
      </w:r>
      <w:proofErr w:type="spellStart"/>
      <w:r>
        <w:rPr>
          <w:rFonts w:ascii="FrankRuehl" w:hAnsi="FrankRuehl" w:cs="FrankRuehl" w:hint="cs"/>
          <w:sz w:val="26"/>
          <w:rtl/>
        </w:rPr>
        <w:t>התכנית</w:t>
      </w:r>
      <w:proofErr w:type="spellEnd"/>
      <w:r>
        <w:rPr>
          <w:rFonts w:ascii="FrankRuehl" w:hAnsi="FrankRuehl" w:cs="FrankRuehl" w:hint="cs"/>
          <w:sz w:val="26"/>
          <w:rtl/>
        </w:rPr>
        <w:t xml:space="preserve"> כוללת את תקצוב הכמויות ועלויות השכר של כלל עובדי המשרד הראשי והמחוזות.</w:t>
      </w:r>
    </w:p>
    <w:p w14:paraId="7D902998" w14:textId="77777777" w:rsidR="003B76C7" w:rsidRDefault="003B76C7" w:rsidP="003B76C7">
      <w:pPr>
        <w:jc w:val="both"/>
        <w:rPr>
          <w:rFonts w:ascii="FrankRuehl" w:hAnsi="FrankRuehl" w:cs="FrankRuehl" w:hint="cs"/>
          <w:sz w:val="26"/>
          <w:rtl/>
        </w:rPr>
      </w:pPr>
      <w:r>
        <w:rPr>
          <w:rFonts w:ascii="FrankRuehl" w:hAnsi="FrankRuehl" w:cs="FrankRuehl" w:hint="cs"/>
          <w:b/>
          <w:bCs/>
          <w:sz w:val="26"/>
          <w:rtl/>
        </w:rPr>
        <w:t>מטרת השינוי התקציבי:</w:t>
      </w:r>
      <w:r>
        <w:rPr>
          <w:rFonts w:ascii="FrankRuehl" w:hAnsi="FrankRuehl" w:cs="FrankRuehl" w:hint="cs"/>
          <w:sz w:val="26"/>
          <w:rtl/>
        </w:rPr>
        <w:t xml:space="preserve"> תקצוב 4 תקני שיא כ"א לטובת השלמת העברת ניהול מקבצי הדיור לעולים ממשרד העלייה והקליטה למשרד הבינוי והשיכון. זאת, במטרה לאפשר ניהול אחוד ומקצועי יותר של מערך הדיור הציבורי, לרבות אכלוס, תחזוקה, בקרה על רמת השירות לדיירים ותכנון ארוך טווח של מלאי הפתרונות בדיור הציבורי, וכדי לשפר את המענה הניתן לאוכלוסייה המתגוררת במקבצים.</w:t>
      </w:r>
    </w:p>
    <w:p w14:paraId="1E98AADA" w14:textId="77777777" w:rsidR="003B76C7" w:rsidRDefault="003B76C7" w:rsidP="003B76C7">
      <w:pPr>
        <w:jc w:val="both"/>
        <w:rPr>
          <w:rFonts w:ascii="FrankRuehl" w:hAnsi="FrankRuehl" w:cs="FrankRuehl" w:hint="cs"/>
          <w:b/>
          <w:bCs/>
          <w:sz w:val="26"/>
        </w:rPr>
      </w:pPr>
    </w:p>
    <w:p w14:paraId="61DF1FC5" w14:textId="77777777" w:rsidR="003B76C7" w:rsidRDefault="003B76C7" w:rsidP="003B76C7">
      <w:pPr>
        <w:jc w:val="both"/>
        <w:rPr>
          <w:rFonts w:ascii="FrankRuehl" w:hAnsi="FrankRuehl" w:cs="FrankRuehl" w:hint="cs"/>
          <w:b/>
          <w:bCs/>
          <w:sz w:val="26"/>
          <w:highlight w:val="yellow"/>
          <w:u w:val="single"/>
          <w:rtl/>
        </w:rPr>
      </w:pPr>
      <w:r>
        <w:rPr>
          <w:rFonts w:ascii="FrankRuehl" w:hAnsi="FrankRuehl" w:cs="FrankRuehl" w:hint="cs"/>
          <w:b/>
          <w:bCs/>
          <w:sz w:val="26"/>
          <w:rtl/>
        </w:rPr>
        <w:t>290102 – תפעול – 46,767 אלפי ש"ח</w:t>
      </w:r>
    </w:p>
    <w:p w14:paraId="47D2B9B5" w14:textId="77777777" w:rsidR="003B76C7" w:rsidRDefault="003B76C7" w:rsidP="003B76C7">
      <w:pPr>
        <w:jc w:val="both"/>
        <w:rPr>
          <w:rFonts w:ascii="FrankRuehl" w:hAnsi="FrankRuehl" w:cs="FrankRuehl" w:hint="cs"/>
          <w:sz w:val="26"/>
        </w:rPr>
      </w:pPr>
      <w:r>
        <w:rPr>
          <w:rFonts w:ascii="FrankRuehl" w:hAnsi="FrankRuehl" w:cs="FrankRuehl" w:hint="cs"/>
          <w:b/>
          <w:bCs/>
          <w:sz w:val="26"/>
          <w:rtl/>
        </w:rPr>
        <w:t xml:space="preserve">תיאור התוכנית: </w:t>
      </w:r>
      <w:proofErr w:type="spellStart"/>
      <w:r>
        <w:rPr>
          <w:rFonts w:ascii="FrankRuehl" w:hAnsi="FrankRuehl" w:cs="FrankRuehl" w:hint="cs"/>
          <w:sz w:val="26"/>
          <w:rtl/>
        </w:rPr>
        <w:t>התכנית</w:t>
      </w:r>
      <w:proofErr w:type="spellEnd"/>
      <w:r>
        <w:rPr>
          <w:rFonts w:ascii="FrankRuehl" w:hAnsi="FrankRuehl" w:cs="FrankRuehl" w:hint="cs"/>
          <w:sz w:val="26"/>
          <w:rtl/>
        </w:rPr>
        <w:t xml:space="preserve"> נועדה לתקצוב התפעול של מטה משרד השיכון, ואת פעילות מטה המשרד לתמיכה בסיוע ובבנייה החדשה. בנוסף, כוללת </w:t>
      </w:r>
      <w:proofErr w:type="spellStart"/>
      <w:r>
        <w:rPr>
          <w:rFonts w:ascii="FrankRuehl" w:hAnsi="FrankRuehl" w:cs="FrankRuehl" w:hint="cs"/>
          <w:sz w:val="26"/>
          <w:rtl/>
        </w:rPr>
        <w:t>התכנית</w:t>
      </w:r>
      <w:proofErr w:type="spellEnd"/>
      <w:r>
        <w:rPr>
          <w:rFonts w:ascii="FrankRuehl" w:hAnsi="FrankRuehl" w:cs="FrankRuehl" w:hint="cs"/>
          <w:sz w:val="26"/>
          <w:rtl/>
        </w:rPr>
        <w:t xml:space="preserve"> את פעילות המשרד לאבטחה במזרח ירושלים.</w:t>
      </w:r>
    </w:p>
    <w:p w14:paraId="7A2B393B" w14:textId="77777777" w:rsidR="003B76C7" w:rsidRDefault="003B76C7" w:rsidP="003B76C7">
      <w:pPr>
        <w:jc w:val="both"/>
        <w:rPr>
          <w:rFonts w:ascii="FrankRuehl" w:hAnsi="FrankRuehl" w:cs="FrankRuehl" w:hint="cs"/>
          <w:sz w:val="26"/>
          <w:rtl/>
        </w:rPr>
      </w:pPr>
      <w:r>
        <w:rPr>
          <w:rFonts w:ascii="FrankRuehl" w:hAnsi="FrankRuehl" w:cs="FrankRuehl" w:hint="cs"/>
          <w:b/>
          <w:bCs/>
          <w:sz w:val="26"/>
          <w:rtl/>
        </w:rPr>
        <w:t>מטרת השינוי התקציבי:</w:t>
      </w:r>
      <w:r>
        <w:rPr>
          <w:rFonts w:ascii="FrankRuehl" w:hAnsi="FrankRuehl" w:cs="FrankRuehl" w:hint="cs"/>
          <w:sz w:val="26"/>
          <w:rtl/>
        </w:rPr>
        <w:t xml:space="preserve"> תקצוב סך של 46,767 אלפי ש"ח בהוצאה עבור התכליות הבאות:</w:t>
      </w:r>
    </w:p>
    <w:p w14:paraId="673F7C86" w14:textId="77777777" w:rsidR="003B76C7" w:rsidRDefault="003B76C7" w:rsidP="003B76C7">
      <w:pPr>
        <w:pStyle w:val="aa"/>
        <w:numPr>
          <w:ilvl w:val="0"/>
          <w:numId w:val="1"/>
        </w:numPr>
        <w:spacing w:before="0" w:after="0" w:line="240" w:lineRule="auto"/>
        <w:rPr>
          <w:rFonts w:ascii="FrankRuehl" w:hAnsi="FrankRuehl" w:cs="FrankRuehl" w:hint="cs"/>
          <w:sz w:val="26"/>
          <w:rtl/>
        </w:rPr>
      </w:pPr>
      <w:r>
        <w:rPr>
          <w:rFonts w:ascii="FrankRuehl" w:hAnsi="FrankRuehl" w:cs="FrankRuehl" w:hint="cs"/>
          <w:sz w:val="26"/>
          <w:rtl/>
        </w:rPr>
        <w:t xml:space="preserve">קידום התקשרויות של ענף אסטרטגיה במשרד הבינוי והשיכון, העוסק בקידום </w:t>
      </w:r>
      <w:proofErr w:type="spellStart"/>
      <w:r>
        <w:rPr>
          <w:rFonts w:ascii="FrankRuehl" w:hAnsi="FrankRuehl" w:cs="FrankRuehl" w:hint="cs"/>
          <w:sz w:val="26"/>
          <w:rtl/>
        </w:rPr>
        <w:t>פרויקטי</w:t>
      </w:r>
      <w:proofErr w:type="spellEnd"/>
      <w:r>
        <w:rPr>
          <w:rFonts w:ascii="FrankRuehl" w:hAnsi="FrankRuehl" w:cs="FrankRuehl" w:hint="cs"/>
          <w:sz w:val="26"/>
          <w:rtl/>
        </w:rPr>
        <w:t xml:space="preserve"> חדשנות בענף הבינוי, מוכנות לחירום, ושוק השכירות.</w:t>
      </w:r>
    </w:p>
    <w:p w14:paraId="099916B2" w14:textId="77777777" w:rsidR="003B76C7" w:rsidRDefault="003B76C7" w:rsidP="003B76C7">
      <w:pPr>
        <w:pStyle w:val="aa"/>
        <w:numPr>
          <w:ilvl w:val="0"/>
          <w:numId w:val="1"/>
        </w:numPr>
        <w:spacing w:before="0" w:after="0" w:line="240" w:lineRule="auto"/>
        <w:rPr>
          <w:rFonts w:ascii="FrankRuehl" w:hAnsi="FrankRuehl" w:cs="FrankRuehl" w:hint="cs"/>
          <w:sz w:val="26"/>
        </w:rPr>
      </w:pPr>
      <w:r>
        <w:rPr>
          <w:rFonts w:ascii="FrankRuehl" w:hAnsi="FrankRuehl" w:cs="FrankRuehl" w:hint="cs"/>
          <w:sz w:val="26"/>
          <w:rtl/>
        </w:rPr>
        <w:t>השלמת תקצוב לפי ביצוע בפועל במכרז אבטחת מכרז ירושלים, פעילות אשר הוטלה על משרד הבינוי והשיכון בהחלטת ממשלה מס' 1073 מיום 21.01.2007 שעניינה "הסדרת האחריות על אבטחת מתחמים במזרח ירושלים".</w:t>
      </w:r>
    </w:p>
    <w:p w14:paraId="5108615C" w14:textId="77777777" w:rsidR="003B76C7" w:rsidRDefault="003B76C7" w:rsidP="003B76C7">
      <w:pPr>
        <w:pStyle w:val="aa"/>
        <w:numPr>
          <w:ilvl w:val="0"/>
          <w:numId w:val="1"/>
        </w:numPr>
        <w:autoSpaceDE w:val="0"/>
        <w:autoSpaceDN w:val="0"/>
        <w:adjustRightInd w:val="0"/>
        <w:spacing w:before="0" w:after="0" w:line="240" w:lineRule="auto"/>
        <w:rPr>
          <w:rFonts w:ascii="FrankRuehl" w:hAnsi="FrankRuehl" w:cs="FrankRuehl" w:hint="cs"/>
          <w:sz w:val="26"/>
        </w:rPr>
      </w:pPr>
      <w:r>
        <w:rPr>
          <w:rFonts w:ascii="FrankRuehl" w:hAnsi="FrankRuehl" w:cs="FrankRuehl" w:hint="cs"/>
          <w:sz w:val="26"/>
          <w:rtl/>
        </w:rPr>
        <w:lastRenderedPageBreak/>
        <w:t>השלמת תקצוב לצרכים תפעוליים לפי ביצוע בפועל לאור התייקרויות – תשלומים שוטפים, שירותי מחשוב.</w:t>
      </w:r>
    </w:p>
    <w:p w14:paraId="498BF730" w14:textId="77777777" w:rsidR="003B76C7" w:rsidRDefault="003B76C7" w:rsidP="003B76C7">
      <w:pPr>
        <w:jc w:val="both"/>
        <w:rPr>
          <w:rFonts w:ascii="FrankRuehl" w:hAnsi="FrankRuehl" w:cs="FrankRuehl" w:hint="cs"/>
          <w:sz w:val="26"/>
        </w:rPr>
      </w:pPr>
    </w:p>
    <w:p w14:paraId="1996D471" w14:textId="77777777" w:rsidR="003B76C7" w:rsidRDefault="003B76C7" w:rsidP="003B76C7">
      <w:pPr>
        <w:jc w:val="both"/>
        <w:rPr>
          <w:rFonts w:ascii="FrankRuehl" w:hAnsi="FrankRuehl" w:cs="FrankRuehl" w:hint="cs"/>
          <w:sz w:val="24"/>
          <w:rtl/>
        </w:rPr>
      </w:pPr>
      <w:r>
        <w:rPr>
          <w:rFonts w:ascii="FrankRuehl" w:hAnsi="FrankRuehl" w:cs="FrankRuehl" w:hint="cs"/>
          <w:b/>
          <w:bCs/>
          <w:sz w:val="26"/>
          <w:rtl/>
        </w:rPr>
        <w:t xml:space="preserve">השפעה על כוח אדם: </w:t>
      </w:r>
      <w:r>
        <w:rPr>
          <w:rFonts w:ascii="FrankRuehl" w:hAnsi="FrankRuehl" w:cs="FrankRuehl" w:hint="cs"/>
          <w:sz w:val="26"/>
          <w:rtl/>
        </w:rPr>
        <w:t>תוספת 4 תקני שיא כ"א.</w:t>
      </w:r>
    </w:p>
    <w:p w14:paraId="4A60AB06" w14:textId="77777777" w:rsidR="003B76C7" w:rsidRDefault="003B76C7" w:rsidP="003B76C7">
      <w:pPr>
        <w:rPr>
          <w:rFonts w:ascii="FrankRuehl" w:hAnsi="FrankRuehl" w:cs="FrankRuehl" w:hint="cs"/>
          <w:rtl/>
        </w:rPr>
      </w:pPr>
    </w:p>
    <w:p w14:paraId="5381C9B2" w14:textId="77777777" w:rsidR="003B76C7" w:rsidRDefault="003B76C7" w:rsidP="003B76C7">
      <w:pPr>
        <w:rPr>
          <w:rFonts w:ascii="FrankRuehl" w:hAnsi="FrankRuehl" w:cs="FrankRuehl" w:hint="cs"/>
          <w:sz w:val="24"/>
          <w:rtl/>
        </w:rPr>
      </w:pPr>
    </w:p>
    <w:p w14:paraId="35238CB4" w14:textId="77777777" w:rsidR="003B76C7" w:rsidRDefault="003B76C7" w:rsidP="003B76C7">
      <w:pPr>
        <w:rPr>
          <w:rFonts w:cs="David" w:hint="cs"/>
          <w:rtl/>
        </w:rPr>
      </w:pPr>
    </w:p>
    <w:p w14:paraId="739BD630" w14:textId="77777777" w:rsidR="00436E4E" w:rsidRPr="002E1D22" w:rsidRDefault="00436E4E">
      <w:pPr>
        <w:rPr>
          <w:rFonts w:cs="FrankRuehl"/>
          <w:sz w:val="26"/>
          <w:szCs w:val="26"/>
          <w:rtl/>
        </w:rPr>
      </w:pPr>
    </w:p>
    <w:p w14:paraId="3C74E4B3" w14:textId="77777777" w:rsidR="00436E4E" w:rsidRPr="002E1D22" w:rsidRDefault="00436E4E">
      <w:pPr>
        <w:tabs>
          <w:tab w:val="center" w:pos="6867"/>
        </w:tabs>
        <w:rPr>
          <w:rFonts w:cs="FrankRuehl"/>
          <w:sz w:val="26"/>
          <w:szCs w:val="26"/>
          <w:rtl/>
        </w:rPr>
      </w:pPr>
    </w:p>
    <w:p w14:paraId="6B768B34"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DC74479" w14:textId="77777777" w:rsidR="00436E4E" w:rsidRDefault="00C13197">
      <w:pPr>
        <w:tabs>
          <w:tab w:val="center" w:pos="6867"/>
        </w:tabs>
        <w:rPr>
          <w:rFonts w:cs="FrankRuehl"/>
          <w:sz w:val="26"/>
          <w:szCs w:val="26"/>
          <w:rtl/>
        </w:rPr>
      </w:pPr>
      <w:r>
        <w:rPr>
          <w:rFonts w:cs="FrankRuehl"/>
          <w:sz w:val="26"/>
          <w:szCs w:val="26"/>
          <w:rtl/>
        </w:rPr>
        <w:tab/>
      </w:r>
    </w:p>
    <w:p w14:paraId="209AB618"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6A486BEA"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760EED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CB85B9E"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279F933E" w14:textId="77777777" w:rsidR="00436E4E" w:rsidRPr="002E1D22" w:rsidRDefault="00436E4E">
      <w:pPr>
        <w:rPr>
          <w:rFonts w:cs="FrankRuehl"/>
          <w:sz w:val="26"/>
          <w:szCs w:val="26"/>
          <w:rtl/>
        </w:rPr>
      </w:pPr>
      <w:r w:rsidRPr="002E1D22">
        <w:rPr>
          <w:rFonts w:cs="FrankRuehl"/>
          <w:sz w:val="26"/>
          <w:szCs w:val="26"/>
          <w:rtl/>
        </w:rPr>
        <w:t>העתק:</w:t>
      </w:r>
    </w:p>
    <w:p w14:paraId="2FE07902" w14:textId="77777777" w:rsidR="00436E4E" w:rsidRPr="002E1D22" w:rsidRDefault="00436E4E">
      <w:pPr>
        <w:rPr>
          <w:rFonts w:cs="FrankRuehl"/>
          <w:sz w:val="26"/>
          <w:szCs w:val="26"/>
          <w:rtl/>
        </w:rPr>
      </w:pPr>
      <w:r w:rsidRPr="002E1D22">
        <w:rPr>
          <w:rFonts w:cs="FrankRuehl"/>
          <w:sz w:val="26"/>
          <w:szCs w:val="26"/>
          <w:rtl/>
        </w:rPr>
        <w:t>החשב הכללי</w:t>
      </w:r>
    </w:p>
    <w:p w14:paraId="518F0024" w14:textId="77777777" w:rsidR="00436E4E" w:rsidRPr="002E1D22" w:rsidRDefault="00436E4E">
      <w:pPr>
        <w:rPr>
          <w:rFonts w:cs="FrankRuehl"/>
          <w:sz w:val="26"/>
          <w:szCs w:val="26"/>
          <w:rtl/>
        </w:rPr>
      </w:pPr>
      <w:r w:rsidRPr="002E1D22">
        <w:rPr>
          <w:rFonts w:cs="FrankRuehl"/>
          <w:sz w:val="26"/>
          <w:szCs w:val="26"/>
          <w:rtl/>
        </w:rPr>
        <w:t>מבקר המדינה (2)</w:t>
      </w:r>
    </w:p>
    <w:p w14:paraId="06838779" w14:textId="77777777" w:rsidR="00097CEA" w:rsidRDefault="00097CEA">
      <w:pPr>
        <w:rPr>
          <w:rFonts w:cs="FrankRuehl"/>
          <w:sz w:val="26"/>
          <w:szCs w:val="26"/>
          <w:rtl/>
        </w:rPr>
      </w:pPr>
      <w:bookmarkStart w:id="11" w:name="TAKZIV22"/>
      <w:r>
        <w:rPr>
          <w:rFonts w:cs="FrankRuehl"/>
          <w:sz w:val="26"/>
          <w:szCs w:val="26"/>
          <w:rtl/>
        </w:rPr>
        <w:t>חשב משרד הבינוי והשיכון</w:t>
      </w:r>
    </w:p>
    <w:p w14:paraId="76054AAE" w14:textId="7EF0F20A" w:rsidR="00436E4E" w:rsidRPr="002E1D22" w:rsidRDefault="00097CEA">
      <w:pPr>
        <w:rPr>
          <w:rFonts w:cs="FrankRuehl"/>
          <w:sz w:val="26"/>
          <w:szCs w:val="26"/>
          <w:rtl/>
        </w:rPr>
      </w:pPr>
      <w:r>
        <w:rPr>
          <w:rFonts w:cs="FrankRuehl"/>
          <w:sz w:val="26"/>
          <w:szCs w:val="26"/>
          <w:rtl/>
        </w:rPr>
        <w:t>חשב החשב הכללי</w:t>
      </w:r>
      <w:bookmarkEnd w:id="11"/>
    </w:p>
    <w:p w14:paraId="440EDABD" w14:textId="1F57C3A6"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097CEA">
        <w:rPr>
          <w:rFonts w:cs="FrankRuehl"/>
          <w:sz w:val="26"/>
          <w:szCs w:val="26"/>
          <w:rtl/>
        </w:rPr>
        <w:t>משרד הבינוי והשיכון</w:t>
      </w:r>
      <w:bookmarkEnd w:id="12"/>
    </w:p>
    <w:p w14:paraId="08EA634C" w14:textId="04F98A8E"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097CEA">
        <w:rPr>
          <w:rFonts w:cs="FrankRuehl"/>
          <w:sz w:val="26"/>
          <w:szCs w:val="26"/>
          <w:rtl/>
        </w:rPr>
        <w:t>משרד הבינוי והשיכון</w:t>
      </w:r>
      <w:bookmarkEnd w:id="13"/>
    </w:p>
    <w:p w14:paraId="22F01DE6" w14:textId="7C82559A" w:rsidR="00436E4E" w:rsidRPr="002E1D22" w:rsidRDefault="00097CEA">
      <w:pPr>
        <w:rPr>
          <w:rFonts w:cs="FrankRuehl"/>
          <w:sz w:val="26"/>
          <w:szCs w:val="26"/>
          <w:rtl/>
        </w:rPr>
      </w:pPr>
      <w:bookmarkStart w:id="14" w:name="TAKZIV23"/>
      <w:r>
        <w:rPr>
          <w:rFonts w:cs="FrankRuehl"/>
          <w:sz w:val="26"/>
          <w:szCs w:val="26"/>
          <w:rtl/>
        </w:rPr>
        <w:t>נציבות שירות המדינה</w:t>
      </w:r>
      <w:bookmarkEnd w:id="14"/>
    </w:p>
    <w:p w14:paraId="70B7B860" w14:textId="77777777" w:rsidR="00436E4E" w:rsidRPr="002E1D22" w:rsidRDefault="00436E4E">
      <w:pPr>
        <w:rPr>
          <w:rFonts w:cs="FrankRuehl"/>
          <w:sz w:val="26"/>
          <w:szCs w:val="26"/>
          <w:rtl/>
        </w:rPr>
      </w:pPr>
    </w:p>
    <w:p w14:paraId="7995E11D" w14:textId="77777777" w:rsidR="003B76C7" w:rsidRDefault="003B76C7" w:rsidP="003B76C7">
      <w:pPr>
        <w:rPr>
          <w:rFonts w:ascii="FrankRuehl" w:hAnsi="FrankRuehl" w:cs="FrankRuehl" w:hint="cs"/>
          <w:rtl/>
        </w:rPr>
      </w:pPr>
      <w:bookmarkStart w:id="15" w:name="TAKZIV25"/>
      <w:bookmarkEnd w:id="15"/>
    </w:p>
    <w:p w14:paraId="05EA0AA7" w14:textId="77777777" w:rsidR="003B76C7" w:rsidRDefault="003B76C7" w:rsidP="003B76C7">
      <w:pPr>
        <w:rPr>
          <w:rFonts w:ascii="FrankRuehl" w:hAnsi="FrankRuehl" w:cs="FrankRuehl" w:hint="cs"/>
          <w:rtl/>
        </w:rPr>
      </w:pPr>
    </w:p>
    <w:p w14:paraId="7EA7588B" w14:textId="77777777" w:rsidR="003B76C7" w:rsidRDefault="003B76C7" w:rsidP="003B76C7">
      <w:pPr>
        <w:jc w:val="center"/>
        <w:rPr>
          <w:rFonts w:ascii="FrankRuehl" w:hAnsi="FrankRuehl" w:cs="FrankRuehl" w:hint="cs"/>
          <w:b/>
          <w:bCs/>
          <w:u w:val="single"/>
          <w:rtl/>
        </w:rPr>
      </w:pPr>
      <w:r>
        <w:rPr>
          <w:rFonts w:ascii="FrankRuehl" w:hAnsi="FrankRuehl" w:cs="FrankRuehl" w:hint="cs"/>
          <w:b/>
          <w:bCs/>
          <w:u w:val="single"/>
          <w:rtl/>
        </w:rPr>
        <w:t>נספח לדברי ההסבר</w:t>
      </w:r>
    </w:p>
    <w:p w14:paraId="74FCCF51" w14:textId="77777777" w:rsidR="003B76C7" w:rsidRDefault="003B76C7" w:rsidP="003B76C7">
      <w:pPr>
        <w:jc w:val="center"/>
        <w:rPr>
          <w:rFonts w:ascii="FrankRuehl" w:hAnsi="FrankRuehl" w:cs="FrankRuehl" w:hint="cs"/>
          <w:b/>
          <w:bCs/>
          <w:rtl/>
        </w:rPr>
      </w:pPr>
      <w:r>
        <w:rPr>
          <w:rFonts w:ascii="FrankRuehl" w:hAnsi="FrankRuehl" w:cs="FrankRuehl" w:hint="cs"/>
          <w:b/>
          <w:bCs/>
          <w:rtl/>
        </w:rPr>
        <w:t>היסטוריה תקציבית של הפנייה</w:t>
      </w:r>
    </w:p>
    <w:tbl>
      <w:tblPr>
        <w:bidiVisual/>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3B76C7" w14:paraId="0A05B318" w14:textId="77777777" w:rsidTr="00632B2F">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21AA5C53"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1FA4A669" w14:textId="77777777" w:rsidR="003B76C7" w:rsidRDefault="003B76C7" w:rsidP="00632B2F">
            <w:pPr>
              <w:jc w:val="center"/>
              <w:rPr>
                <w:rFonts w:ascii="FrankRuehl" w:hAnsi="FrankRuehl" w:cs="FrankRuehl" w:hint="cs"/>
                <w:b/>
                <w:bCs/>
                <w:color w:val="000000"/>
                <w:sz w:val="22"/>
                <w:szCs w:val="22"/>
              </w:rPr>
            </w:pPr>
            <w:r>
              <w:rPr>
                <w:rFonts w:ascii="FrankRuehl" w:hAnsi="FrankRuehl" w:cs="FrankRuehl" w:hint="cs"/>
                <w:b/>
                <w:bCs/>
                <w:color w:val="000000"/>
                <w:sz w:val="22"/>
                <w:szCs w:val="22"/>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0A90BDD9"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DCFEE0B"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5CEC0F62"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7171850"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7C0C9C9C"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AE10DED"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6DFFD4F" w14:textId="77777777" w:rsidR="003B76C7" w:rsidRDefault="003B76C7" w:rsidP="00632B2F">
            <w:pPr>
              <w:jc w:val="center"/>
              <w:rPr>
                <w:rFonts w:ascii="FrankRuehl" w:hAnsi="FrankRuehl" w:cs="FrankRuehl" w:hint="cs"/>
                <w:b/>
                <w:bCs/>
                <w:color w:val="000000"/>
                <w:sz w:val="22"/>
                <w:szCs w:val="22"/>
                <w:rtl/>
              </w:rPr>
            </w:pPr>
            <w:r>
              <w:rPr>
                <w:rFonts w:ascii="FrankRuehl" w:hAnsi="FrankRuehl" w:cs="FrankRuehl" w:hint="cs"/>
                <w:b/>
                <w:bCs/>
                <w:color w:val="000000"/>
                <w:sz w:val="22"/>
                <w:szCs w:val="22"/>
                <w:rtl/>
              </w:rPr>
              <w:t>מקורי 2023</w:t>
            </w:r>
          </w:p>
        </w:tc>
      </w:tr>
      <w:tr w:rsidR="003B76C7" w14:paraId="4C1791B0" w14:textId="77777777" w:rsidTr="00632B2F">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17B448B5" w14:textId="77777777" w:rsidR="003B76C7" w:rsidRDefault="003B76C7" w:rsidP="00632B2F">
            <w:pPr>
              <w:bidi w:val="0"/>
              <w:jc w:val="center"/>
              <w:rPr>
                <w:rFonts w:ascii="FrankRuehl" w:hAnsi="FrankRuehl" w:cs="FrankRuehl" w:hint="cs"/>
                <w:color w:val="000000"/>
                <w:sz w:val="22"/>
                <w:szCs w:val="22"/>
                <w:rtl/>
              </w:rPr>
            </w:pPr>
            <w:r>
              <w:rPr>
                <w:rFonts w:ascii="FrankRuehl" w:hAnsi="FrankRuehl" w:cs="FrankRuehl" w:hint="cs"/>
                <w:color w:val="000000"/>
                <w:sz w:val="22"/>
                <w:szCs w:val="22"/>
              </w:rPr>
              <w:t>290102</w:t>
            </w:r>
          </w:p>
        </w:tc>
        <w:tc>
          <w:tcPr>
            <w:tcW w:w="1420" w:type="dxa"/>
            <w:tcBorders>
              <w:top w:val="nil"/>
              <w:left w:val="single" w:sz="4" w:space="0" w:color="979991"/>
              <w:bottom w:val="single" w:sz="4" w:space="0" w:color="979991"/>
              <w:right w:val="nil"/>
            </w:tcBorders>
            <w:shd w:val="clear" w:color="auto" w:fill="FFFFFF"/>
            <w:vAlign w:val="center"/>
            <w:hideMark/>
          </w:tcPr>
          <w:p w14:paraId="7A5608F0" w14:textId="77777777" w:rsidR="003B76C7" w:rsidRDefault="003B76C7" w:rsidP="00632B2F">
            <w:pPr>
              <w:bidi w:val="0"/>
              <w:jc w:val="center"/>
              <w:rPr>
                <w:rFonts w:ascii="FrankRuehl" w:hAnsi="FrankRuehl" w:cs="FrankRuehl" w:hint="cs"/>
                <w:color w:val="000000"/>
                <w:sz w:val="22"/>
                <w:szCs w:val="22"/>
                <w:rtl/>
              </w:rPr>
            </w:pPr>
            <w:r>
              <w:rPr>
                <w:rFonts w:ascii="FrankRuehl" w:hAnsi="FrankRuehl" w:cs="FrankRuehl" w:hint="cs"/>
                <w:color w:val="000000"/>
                <w:sz w:val="22"/>
                <w:szCs w:val="22"/>
              </w:rPr>
              <w:t>4</w:t>
            </w:r>
            <w:r>
              <w:rPr>
                <w:rFonts w:ascii="FrankRuehl" w:hAnsi="FrankRuehl" w:cs="FrankRuehl" w:hint="cs"/>
                <w:color w:val="000000"/>
                <w:sz w:val="22"/>
                <w:szCs w:val="22"/>
                <w:rtl/>
              </w:rPr>
              <w:t>6</w:t>
            </w:r>
            <w:r>
              <w:rPr>
                <w:rFonts w:ascii="FrankRuehl" w:hAnsi="FrankRuehl" w:cs="FrankRuehl" w:hint="cs"/>
                <w:color w:val="000000"/>
                <w:sz w:val="22"/>
                <w:szCs w:val="22"/>
              </w:rPr>
              <w:t>,</w:t>
            </w:r>
            <w:r>
              <w:rPr>
                <w:rFonts w:ascii="FrankRuehl" w:hAnsi="FrankRuehl" w:cs="FrankRuehl" w:hint="cs"/>
                <w:color w:val="000000"/>
                <w:sz w:val="22"/>
                <w:szCs w:val="22"/>
                <w:rtl/>
              </w:rPr>
              <w:t>7</w:t>
            </w:r>
            <w:r>
              <w:rPr>
                <w:rFonts w:ascii="FrankRuehl" w:hAnsi="FrankRuehl" w:cs="FrankRuehl" w:hint="cs"/>
                <w:color w:val="000000"/>
                <w:sz w:val="22"/>
                <w:szCs w:val="22"/>
              </w:rPr>
              <w:t>67</w:t>
            </w:r>
          </w:p>
        </w:tc>
        <w:tc>
          <w:tcPr>
            <w:tcW w:w="980" w:type="dxa"/>
            <w:tcBorders>
              <w:top w:val="nil"/>
              <w:left w:val="single" w:sz="4" w:space="0" w:color="979991"/>
              <w:bottom w:val="single" w:sz="4" w:space="0" w:color="979991"/>
              <w:right w:val="nil"/>
            </w:tcBorders>
            <w:shd w:val="clear" w:color="auto" w:fill="FFFFFF"/>
            <w:vAlign w:val="center"/>
            <w:hideMark/>
          </w:tcPr>
          <w:p w14:paraId="51A1E070"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155,138</w:t>
            </w:r>
          </w:p>
        </w:tc>
        <w:tc>
          <w:tcPr>
            <w:tcW w:w="1140" w:type="dxa"/>
            <w:tcBorders>
              <w:top w:val="nil"/>
              <w:left w:val="single" w:sz="4" w:space="0" w:color="979991"/>
              <w:bottom w:val="single" w:sz="4" w:space="0" w:color="979991"/>
              <w:right w:val="nil"/>
            </w:tcBorders>
            <w:shd w:val="clear" w:color="auto" w:fill="FFFFFF"/>
            <w:vAlign w:val="center"/>
            <w:hideMark/>
          </w:tcPr>
          <w:p w14:paraId="4A2C0F44"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283,020</w:t>
            </w:r>
          </w:p>
        </w:tc>
        <w:tc>
          <w:tcPr>
            <w:tcW w:w="980" w:type="dxa"/>
            <w:tcBorders>
              <w:top w:val="nil"/>
              <w:left w:val="single" w:sz="4" w:space="0" w:color="979991"/>
              <w:bottom w:val="single" w:sz="4" w:space="0" w:color="979991"/>
              <w:right w:val="nil"/>
            </w:tcBorders>
            <w:shd w:val="clear" w:color="auto" w:fill="FFFFFF"/>
            <w:vAlign w:val="center"/>
            <w:hideMark/>
          </w:tcPr>
          <w:p w14:paraId="175270BB"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154,486</w:t>
            </w:r>
          </w:p>
        </w:tc>
        <w:tc>
          <w:tcPr>
            <w:tcW w:w="1140" w:type="dxa"/>
            <w:tcBorders>
              <w:top w:val="nil"/>
              <w:left w:val="single" w:sz="4" w:space="0" w:color="979991"/>
              <w:bottom w:val="single" w:sz="4" w:space="0" w:color="979991"/>
              <w:right w:val="nil"/>
            </w:tcBorders>
            <w:shd w:val="clear" w:color="auto" w:fill="FFFFFF"/>
            <w:vAlign w:val="center"/>
            <w:hideMark/>
          </w:tcPr>
          <w:p w14:paraId="50BB8548"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206,415</w:t>
            </w:r>
          </w:p>
        </w:tc>
        <w:tc>
          <w:tcPr>
            <w:tcW w:w="980" w:type="dxa"/>
            <w:tcBorders>
              <w:top w:val="nil"/>
              <w:left w:val="single" w:sz="4" w:space="0" w:color="979991"/>
              <w:bottom w:val="single" w:sz="4" w:space="0" w:color="979991"/>
              <w:right w:val="nil"/>
            </w:tcBorders>
            <w:shd w:val="clear" w:color="auto" w:fill="FFFFFF"/>
            <w:vAlign w:val="center"/>
            <w:hideMark/>
          </w:tcPr>
          <w:p w14:paraId="44F502B5"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126,702</w:t>
            </w:r>
          </w:p>
        </w:tc>
        <w:tc>
          <w:tcPr>
            <w:tcW w:w="1140" w:type="dxa"/>
            <w:tcBorders>
              <w:top w:val="nil"/>
              <w:left w:val="single" w:sz="4" w:space="0" w:color="979991"/>
              <w:bottom w:val="single" w:sz="4" w:space="0" w:color="979991"/>
              <w:right w:val="nil"/>
            </w:tcBorders>
            <w:shd w:val="clear" w:color="auto" w:fill="FFFFFF"/>
            <w:vAlign w:val="center"/>
            <w:hideMark/>
          </w:tcPr>
          <w:p w14:paraId="0675B4A5"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174,240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C9FDE14" w14:textId="77777777" w:rsidR="003B76C7" w:rsidRDefault="003B76C7" w:rsidP="00632B2F">
            <w:pPr>
              <w:bidi w:val="0"/>
              <w:jc w:val="center"/>
              <w:rPr>
                <w:rFonts w:ascii="FrankRuehl" w:hAnsi="FrankRuehl" w:cs="FrankRuehl" w:hint="cs"/>
                <w:color w:val="000000"/>
                <w:sz w:val="22"/>
                <w:szCs w:val="22"/>
              </w:rPr>
            </w:pPr>
            <w:r>
              <w:rPr>
                <w:rFonts w:ascii="FrankRuehl" w:hAnsi="FrankRuehl" w:cs="FrankRuehl" w:hint="cs"/>
                <w:color w:val="000000"/>
                <w:sz w:val="22"/>
                <w:szCs w:val="22"/>
              </w:rPr>
              <w:t>157,140</w:t>
            </w:r>
          </w:p>
        </w:tc>
      </w:tr>
    </w:tbl>
    <w:p w14:paraId="3F3CE07C" w14:textId="77777777" w:rsidR="003B76C7" w:rsidRDefault="003B76C7" w:rsidP="003B76C7">
      <w:pPr>
        <w:rPr>
          <w:rFonts w:ascii="FrankRuehl" w:eastAsia="Calibri" w:hAnsi="FrankRuehl" w:cs="FrankRuehl" w:hint="cs"/>
          <w:sz w:val="26"/>
          <w:szCs w:val="26"/>
        </w:rPr>
      </w:pPr>
    </w:p>
    <w:p w14:paraId="1D7CBCD5" w14:textId="77777777" w:rsidR="003B76C7" w:rsidRDefault="003B76C7" w:rsidP="003B76C7">
      <w:pPr>
        <w:rPr>
          <w:rFonts w:ascii="FrankRuehl" w:hAnsi="FrankRuehl" w:cs="FrankRuehl" w:hint="cs"/>
          <w:sz w:val="26"/>
          <w:szCs w:val="26"/>
        </w:rPr>
      </w:pPr>
    </w:p>
    <w:p w14:paraId="53292114"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8DF01" w14:textId="77777777" w:rsidR="003D4FA5" w:rsidRDefault="003D4FA5" w:rsidP="004374A5">
      <w:r>
        <w:separator/>
      </w:r>
    </w:p>
  </w:endnote>
  <w:endnote w:type="continuationSeparator" w:id="0">
    <w:p w14:paraId="6F08ECA2" w14:textId="77777777" w:rsidR="003D4FA5" w:rsidRDefault="003D4FA5"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41E9F"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BC86"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8D16"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7300" w14:textId="77777777" w:rsidR="003D4FA5" w:rsidRDefault="003D4FA5" w:rsidP="004374A5">
      <w:r>
        <w:separator/>
      </w:r>
    </w:p>
  </w:footnote>
  <w:footnote w:type="continuationSeparator" w:id="0">
    <w:p w14:paraId="645F3834" w14:textId="77777777" w:rsidR="003D4FA5" w:rsidRDefault="003D4FA5"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EE11"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A60F" w14:textId="77777777" w:rsidR="004374A5" w:rsidRDefault="003D4FA5">
    <w:pPr>
      <w:pStyle w:val="a4"/>
    </w:pPr>
    <w:r>
      <w:rPr>
        <w:noProof/>
      </w:rPr>
      <w:pict w14:anchorId="25168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6E4AA"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24F91"/>
    <w:multiLevelType w:val="hybridMultilevel"/>
    <w:tmpl w:val="4BA095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97CEA"/>
    <w:rsid w:val="00147D0B"/>
    <w:rsid w:val="00235242"/>
    <w:rsid w:val="002634E4"/>
    <w:rsid w:val="002E1D22"/>
    <w:rsid w:val="003B76C7"/>
    <w:rsid w:val="003D4FA5"/>
    <w:rsid w:val="00436E4E"/>
    <w:rsid w:val="004374A5"/>
    <w:rsid w:val="007847C9"/>
    <w:rsid w:val="007C275A"/>
    <w:rsid w:val="00AC2EE6"/>
    <w:rsid w:val="00B0145B"/>
    <w:rsid w:val="00B42666"/>
    <w:rsid w:val="00B61EA5"/>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14F169E"/>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qFormat/>
    <w:rsid w:val="003B76C7"/>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8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457</Words>
  <Characters>2285</Characters>
  <Application>Microsoft Office Word</Application>
  <DocSecurity>0</DocSecurity>
  <Lines>19</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2026-07-27T09:05:00Z</dcterms:created>
  <dcterms:modified xsi:type="dcterms:W3CDTF">2026-07-27T09:09:00Z</dcterms:modified>
</cp:coreProperties>
</file>