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DB36A" w14:textId="77777777" w:rsidR="00436E4E" w:rsidRDefault="00436E4E">
      <w:pPr>
        <w:pStyle w:val="a6"/>
        <w:rPr>
          <w:rtl/>
        </w:rPr>
      </w:pPr>
    </w:p>
    <w:p w14:paraId="3758EB82" w14:textId="77777777" w:rsidR="00436E4E" w:rsidRDefault="00436E4E">
      <w:pPr>
        <w:pStyle w:val="a6"/>
        <w:rPr>
          <w:rtl/>
        </w:rPr>
      </w:pPr>
      <w:r>
        <w:rPr>
          <w:rtl/>
        </w:rPr>
        <w:t>מדינת ישראל</w:t>
      </w:r>
    </w:p>
    <w:p w14:paraId="694FB9C2" w14:textId="77777777" w:rsidR="00436E4E" w:rsidRDefault="00436E4E">
      <w:pPr>
        <w:pStyle w:val="a6"/>
        <w:rPr>
          <w:szCs w:val="24"/>
          <w:rtl/>
        </w:rPr>
      </w:pPr>
      <w:r>
        <w:rPr>
          <w:rtl/>
        </w:rPr>
        <w:t>האוצר - אגף התקציבים</w:t>
      </w:r>
    </w:p>
    <w:p w14:paraId="32963805" w14:textId="77777777" w:rsidR="00436E4E" w:rsidRDefault="00436E4E">
      <w:pPr>
        <w:rPr>
          <w:rtl/>
        </w:rPr>
      </w:pPr>
    </w:p>
    <w:p w14:paraId="47EFEAE9" w14:textId="77777777" w:rsidR="00436E4E" w:rsidRDefault="00436E4E">
      <w:pPr>
        <w:rPr>
          <w:rtl/>
        </w:rPr>
      </w:pPr>
    </w:p>
    <w:p w14:paraId="5A13D757" w14:textId="728CFCF0" w:rsidR="00436E4E" w:rsidRDefault="00436E4E">
      <w:pPr>
        <w:tabs>
          <w:tab w:val="left" w:pos="6300"/>
        </w:tabs>
        <w:rPr>
          <w:rtl/>
        </w:rPr>
      </w:pPr>
      <w:r>
        <w:rPr>
          <w:rtl/>
        </w:rPr>
        <w:tab/>
      </w:r>
      <w:bookmarkStart w:id="0" w:name="TAKZIV8"/>
      <w:r w:rsidR="004C68B3">
        <w:rPr>
          <w:rtl/>
        </w:rPr>
        <w:t>תקציב רגיל</w:t>
      </w:r>
      <w:bookmarkEnd w:id="0"/>
    </w:p>
    <w:p w14:paraId="4639179F" w14:textId="77777777" w:rsidR="00436E4E" w:rsidRDefault="00436E4E">
      <w:pPr>
        <w:tabs>
          <w:tab w:val="left" w:pos="6300"/>
        </w:tabs>
        <w:rPr>
          <w:rtl/>
        </w:rPr>
      </w:pPr>
      <w:r>
        <w:rPr>
          <w:rtl/>
        </w:rPr>
        <w:tab/>
      </w:r>
    </w:p>
    <w:p w14:paraId="174C01A3" w14:textId="77777777" w:rsidR="00436E4E" w:rsidRPr="002E1D22" w:rsidRDefault="00436E4E" w:rsidP="002E1D22">
      <w:pPr>
        <w:rPr>
          <w:rFonts w:cs="FrankRuehl"/>
          <w:sz w:val="26"/>
          <w:szCs w:val="26"/>
          <w:rtl/>
        </w:rPr>
      </w:pPr>
      <w:r>
        <w:rPr>
          <w:rtl/>
        </w:rPr>
        <w:tab/>
      </w:r>
      <w:r w:rsidR="002E1D22">
        <w:rPr>
          <w:rtl/>
        </w:rPr>
        <w:tab/>
      </w:r>
      <w:r w:rsidR="002E1D22">
        <w:rPr>
          <w:rtl/>
        </w:rPr>
        <w:tab/>
      </w:r>
      <w:r w:rsidR="002E1D22">
        <w:rPr>
          <w:rtl/>
        </w:rPr>
        <w:tab/>
      </w:r>
      <w:r w:rsidR="002E1D22">
        <w:rPr>
          <w:rtl/>
        </w:rPr>
        <w:tab/>
      </w:r>
      <w:r w:rsidR="002E1D22">
        <w:rPr>
          <w:rtl/>
        </w:rPr>
        <w:tab/>
      </w:r>
      <w:r w:rsidR="002E1D22">
        <w:rPr>
          <w:rtl/>
        </w:rPr>
        <w:tab/>
      </w:r>
      <w:r w:rsidR="002E1D22">
        <w:rPr>
          <w:rtl/>
        </w:rPr>
        <w:tab/>
      </w:r>
      <w:r w:rsidRPr="002E1D22">
        <w:rPr>
          <w:rFonts w:cs="FrankRuehl"/>
          <w:sz w:val="26"/>
          <w:szCs w:val="26"/>
          <w:rtl/>
        </w:rPr>
        <w:t xml:space="preserve">ירושלים, </w:t>
      </w:r>
      <w:bookmarkStart w:id="1" w:name="TAKZIV9"/>
      <w:bookmarkEnd w:id="1"/>
    </w:p>
    <w:p w14:paraId="59E779A5" w14:textId="22547887" w:rsidR="00436E4E" w:rsidRDefault="00436E4E" w:rsidP="002E1D22">
      <w:pPr>
        <w:tabs>
          <w:tab w:val="left" w:pos="5755"/>
        </w:tabs>
        <w:rPr>
          <w:rFonts w:cs="FrankRuehl"/>
          <w:sz w:val="26"/>
          <w:szCs w:val="26"/>
          <w:rtl/>
        </w:rPr>
      </w:pPr>
      <w:r w:rsidRPr="002E1D22">
        <w:rPr>
          <w:rFonts w:cs="FrankRuehl"/>
          <w:sz w:val="26"/>
          <w:szCs w:val="26"/>
          <w:rtl/>
        </w:rPr>
        <w:tab/>
        <w:t xml:space="preserve">בקשה מספר </w:t>
      </w:r>
      <w:bookmarkStart w:id="2" w:name="TAKZIV4"/>
      <w:r w:rsidR="004C68B3">
        <w:rPr>
          <w:rFonts w:cs="FrankRuehl"/>
          <w:sz w:val="26"/>
          <w:szCs w:val="26"/>
          <w:rtl/>
        </w:rPr>
        <w:t>211</w:t>
      </w:r>
      <w:bookmarkEnd w:id="2"/>
      <w:r w:rsidRPr="002E1D22">
        <w:rPr>
          <w:rFonts w:cs="FrankRuehl"/>
          <w:sz w:val="26"/>
          <w:szCs w:val="26"/>
          <w:rtl/>
        </w:rPr>
        <w:t xml:space="preserve"> </w:t>
      </w:r>
      <w:r w:rsidR="002B519A">
        <w:rPr>
          <w:rFonts w:cs="FrankRuehl"/>
          <w:sz w:val="26"/>
          <w:szCs w:val="26"/>
          <w:rtl/>
        </w:rPr>
        <w:t>–</w:t>
      </w:r>
      <w:r w:rsidRPr="002E1D22">
        <w:rPr>
          <w:rFonts w:cs="FrankRuehl"/>
          <w:sz w:val="26"/>
          <w:szCs w:val="26"/>
          <w:rtl/>
        </w:rPr>
        <w:t xml:space="preserve"> </w:t>
      </w:r>
      <w:bookmarkStart w:id="3" w:name="TAKZIV3"/>
      <w:r w:rsidR="004C68B3">
        <w:rPr>
          <w:rFonts w:cs="FrankRuehl"/>
          <w:sz w:val="26"/>
          <w:szCs w:val="26"/>
          <w:rtl/>
        </w:rPr>
        <w:t>20</w:t>
      </w:r>
      <w:bookmarkEnd w:id="3"/>
      <w:r w:rsidR="002B519A">
        <w:rPr>
          <w:rFonts w:cs="FrankRuehl" w:hint="cs"/>
          <w:sz w:val="26"/>
          <w:szCs w:val="26"/>
          <w:rtl/>
        </w:rPr>
        <w:t>,</w:t>
      </w:r>
    </w:p>
    <w:p w14:paraId="1DA09AE7" w14:textId="67F03E10" w:rsidR="002B519A" w:rsidRPr="002E1D22" w:rsidRDefault="002B519A" w:rsidP="002E1D22">
      <w:pPr>
        <w:tabs>
          <w:tab w:val="left" w:pos="5755"/>
        </w:tabs>
        <w:rPr>
          <w:rFonts w:cs="FrankRuehl"/>
          <w:sz w:val="26"/>
          <w:szCs w:val="26"/>
          <w:rtl/>
        </w:rPr>
      </w:pPr>
      <w:r>
        <w:rPr>
          <w:rFonts w:cs="FrankRuehl"/>
          <w:sz w:val="26"/>
          <w:szCs w:val="26"/>
          <w:rtl/>
        </w:rPr>
        <w:tab/>
      </w:r>
      <w:r>
        <w:rPr>
          <w:rFonts w:cs="FrankRuehl" w:hint="cs"/>
          <w:sz w:val="26"/>
          <w:szCs w:val="26"/>
          <w:rtl/>
        </w:rPr>
        <w:t>04-230, 13-217</w:t>
      </w:r>
    </w:p>
    <w:p w14:paraId="469E6FE2" w14:textId="77777777" w:rsidR="002B519A" w:rsidRDefault="00436E4E" w:rsidP="002E1D22">
      <w:pPr>
        <w:rPr>
          <w:rFonts w:cs="FrankRuehl"/>
          <w:sz w:val="26"/>
          <w:szCs w:val="26"/>
          <w:rtl/>
        </w:rPr>
      </w:pPr>
      <w:r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Pr="002E1D22">
        <w:rPr>
          <w:rFonts w:cs="FrankRuehl"/>
          <w:sz w:val="26"/>
          <w:szCs w:val="26"/>
          <w:rtl/>
        </w:rPr>
        <w:t xml:space="preserve">מספר פניה </w:t>
      </w:r>
      <w:r w:rsidR="002B519A" w:rsidRPr="002E1D22">
        <w:rPr>
          <w:rFonts w:cs="FrankRuehl" w:hint="cs"/>
          <w:sz w:val="26"/>
          <w:szCs w:val="26"/>
          <w:rtl/>
        </w:rPr>
        <w:t>לוועד</w:t>
      </w:r>
      <w:r w:rsidR="002B519A" w:rsidRPr="002E1D22">
        <w:rPr>
          <w:rFonts w:cs="FrankRuehl" w:hint="eastAsia"/>
          <w:sz w:val="26"/>
          <w:szCs w:val="26"/>
          <w:rtl/>
        </w:rPr>
        <w:t>ה</w:t>
      </w:r>
      <w:r w:rsidRPr="002E1D22">
        <w:rPr>
          <w:rFonts w:cs="FrankRuehl"/>
          <w:sz w:val="26"/>
          <w:szCs w:val="26"/>
          <w:rtl/>
        </w:rPr>
        <w:t>:</w:t>
      </w:r>
    </w:p>
    <w:p w14:paraId="203287F5" w14:textId="21574259" w:rsidR="00436E4E" w:rsidRDefault="002B519A" w:rsidP="002B519A">
      <w:pPr>
        <w:ind w:left="5040" w:firstLine="720"/>
        <w:rPr>
          <w:rFonts w:cs="FrankRuehl"/>
          <w:sz w:val="26"/>
          <w:szCs w:val="26"/>
          <w:rtl/>
        </w:rPr>
      </w:pPr>
      <w:r>
        <w:rPr>
          <w:rFonts w:cs="FrankRuehl" w:hint="cs"/>
          <w:sz w:val="26"/>
          <w:szCs w:val="26"/>
          <w:rtl/>
        </w:rPr>
        <w:t>151 עד</w:t>
      </w:r>
      <w:r w:rsidR="00436E4E" w:rsidRPr="002E1D22">
        <w:rPr>
          <w:rFonts w:cs="FrankRuehl"/>
          <w:sz w:val="26"/>
          <w:szCs w:val="26"/>
          <w:rtl/>
        </w:rPr>
        <w:t xml:space="preserve"> </w:t>
      </w:r>
      <w:bookmarkStart w:id="4" w:name="TAKZIV11"/>
      <w:r w:rsidR="004C68B3">
        <w:rPr>
          <w:rFonts w:cs="FrankRuehl"/>
          <w:sz w:val="26"/>
          <w:szCs w:val="26"/>
          <w:rtl/>
        </w:rPr>
        <w:t>153</w:t>
      </w:r>
      <w:bookmarkEnd w:id="4"/>
      <w:r w:rsidR="00436E4E" w:rsidRPr="002E1D22">
        <w:rPr>
          <w:rFonts w:cs="FrankRuehl"/>
          <w:sz w:val="26"/>
          <w:szCs w:val="26"/>
          <w:rtl/>
        </w:rPr>
        <w:tab/>
      </w:r>
    </w:p>
    <w:p w14:paraId="2B991EA2" w14:textId="77777777" w:rsidR="002B519A" w:rsidRPr="002E1D22" w:rsidRDefault="002B519A" w:rsidP="002B519A">
      <w:pPr>
        <w:ind w:left="5040" w:firstLine="720"/>
        <w:rPr>
          <w:rFonts w:cs="FrankRuehl"/>
          <w:sz w:val="26"/>
          <w:szCs w:val="26"/>
          <w:rtl/>
        </w:rPr>
      </w:pPr>
    </w:p>
    <w:p w14:paraId="4D9693C0" w14:textId="77777777" w:rsidR="00436E4E" w:rsidRPr="002E1D22" w:rsidRDefault="00436E4E">
      <w:pPr>
        <w:rPr>
          <w:rFonts w:cs="FrankRuehl"/>
          <w:sz w:val="26"/>
          <w:szCs w:val="26"/>
          <w:rtl/>
        </w:rPr>
      </w:pPr>
      <w:r w:rsidRPr="002E1D22">
        <w:rPr>
          <w:rFonts w:cs="FrankRuehl"/>
          <w:sz w:val="26"/>
          <w:szCs w:val="26"/>
          <w:rtl/>
        </w:rPr>
        <w:t>לכבוד,</w:t>
      </w:r>
    </w:p>
    <w:p w14:paraId="24AF0D1C" w14:textId="77777777" w:rsidR="00436E4E" w:rsidRPr="002E1D22" w:rsidRDefault="00436E4E">
      <w:pPr>
        <w:rPr>
          <w:rFonts w:cs="FrankRuehl"/>
          <w:sz w:val="26"/>
          <w:szCs w:val="26"/>
          <w:rtl/>
        </w:rPr>
      </w:pPr>
      <w:r w:rsidRPr="002E1D22">
        <w:rPr>
          <w:rFonts w:cs="FrankRuehl"/>
          <w:sz w:val="26"/>
          <w:szCs w:val="26"/>
          <w:rtl/>
        </w:rPr>
        <w:t>יו"ר ועדת הכספים</w:t>
      </w:r>
    </w:p>
    <w:p w14:paraId="6A96B546" w14:textId="77777777" w:rsidR="00436E4E" w:rsidRPr="002E1D22" w:rsidRDefault="00436E4E">
      <w:pPr>
        <w:rPr>
          <w:rFonts w:cs="FrankRuehl"/>
          <w:sz w:val="26"/>
          <w:szCs w:val="26"/>
          <w:rtl/>
        </w:rPr>
      </w:pPr>
      <w:r w:rsidRPr="002E1D22">
        <w:rPr>
          <w:rFonts w:cs="FrankRuehl"/>
          <w:sz w:val="26"/>
          <w:szCs w:val="26"/>
          <w:rtl/>
        </w:rPr>
        <w:t>של הכנסת</w:t>
      </w:r>
    </w:p>
    <w:p w14:paraId="32B530EC" w14:textId="77777777" w:rsidR="00436E4E" w:rsidRPr="002E1D22" w:rsidRDefault="00436E4E">
      <w:pPr>
        <w:rPr>
          <w:rFonts w:cs="FrankRuehl"/>
          <w:sz w:val="26"/>
          <w:szCs w:val="26"/>
          <w:rtl/>
        </w:rPr>
      </w:pPr>
    </w:p>
    <w:p w14:paraId="6C229630" w14:textId="77777777" w:rsidR="00436E4E" w:rsidRPr="002E1D22" w:rsidRDefault="00436E4E">
      <w:pPr>
        <w:rPr>
          <w:rFonts w:cs="FrankRuehl"/>
          <w:sz w:val="26"/>
          <w:szCs w:val="26"/>
          <w:rtl/>
        </w:rPr>
      </w:pPr>
      <w:r w:rsidRPr="002E1D22">
        <w:rPr>
          <w:rFonts w:cs="FrankRuehl"/>
          <w:sz w:val="26"/>
          <w:szCs w:val="26"/>
          <w:rtl/>
        </w:rPr>
        <w:t>א.נ.,</w:t>
      </w:r>
    </w:p>
    <w:p w14:paraId="05E8A215" w14:textId="77777777" w:rsidR="00436E4E" w:rsidRPr="002E1D22" w:rsidRDefault="00436E4E">
      <w:pPr>
        <w:rPr>
          <w:rFonts w:cs="FrankRuehl"/>
          <w:sz w:val="26"/>
          <w:szCs w:val="26"/>
          <w:rtl/>
        </w:rPr>
      </w:pPr>
    </w:p>
    <w:p w14:paraId="489EAFCF" w14:textId="6B65124E" w:rsidR="00436E4E" w:rsidRPr="002E1D22" w:rsidRDefault="00436E4E">
      <w:pPr>
        <w:pStyle w:val="a7"/>
        <w:rPr>
          <w:rFonts w:cs="FrankRuehl"/>
          <w:sz w:val="26"/>
          <w:rtl/>
        </w:rPr>
      </w:pPr>
      <w:r w:rsidRPr="002E1D22">
        <w:rPr>
          <w:rFonts w:cs="FrankRuehl"/>
          <w:bCs w:val="0"/>
          <w:sz w:val="26"/>
          <w:u w:val="none"/>
          <w:rtl/>
        </w:rPr>
        <w:t xml:space="preserve">הנדון: </w:t>
      </w:r>
      <w:r w:rsidRPr="002E1D22">
        <w:rPr>
          <w:rFonts w:cs="FrankRuehl"/>
          <w:bCs w:val="0"/>
          <w:sz w:val="26"/>
          <w:rtl/>
        </w:rPr>
        <w:t>שימוש ברזרבה הכללית לשנת</w:t>
      </w:r>
      <w:r w:rsidRPr="002E1D22">
        <w:rPr>
          <w:rFonts w:cs="FrankRuehl"/>
          <w:sz w:val="26"/>
          <w:rtl/>
        </w:rPr>
        <w:t xml:space="preserve"> </w:t>
      </w:r>
      <w:bookmarkStart w:id="5" w:name="TAKZIV1"/>
      <w:r w:rsidR="004C68B3">
        <w:rPr>
          <w:rFonts w:cs="FrankRuehl"/>
          <w:sz w:val="26"/>
          <w:rtl/>
        </w:rPr>
        <w:t>2026</w:t>
      </w:r>
      <w:bookmarkEnd w:id="5"/>
      <w:r w:rsidRPr="002E1D22">
        <w:rPr>
          <w:rFonts w:cs="FrankRuehl"/>
          <w:sz w:val="26"/>
          <w:rtl/>
        </w:rPr>
        <w:t xml:space="preserve">     </w:t>
      </w:r>
    </w:p>
    <w:p w14:paraId="0ACB6A2D" w14:textId="77777777" w:rsidR="00436E4E" w:rsidRPr="002E1D22" w:rsidRDefault="00436E4E" w:rsidP="002E1D22">
      <w:pPr>
        <w:jc w:val="both"/>
        <w:rPr>
          <w:rFonts w:cs="FrankRuehl"/>
          <w:sz w:val="26"/>
          <w:szCs w:val="26"/>
          <w:rtl/>
        </w:rPr>
      </w:pPr>
    </w:p>
    <w:p w14:paraId="38B4E8E2" w14:textId="20422AFB" w:rsidR="00436E4E" w:rsidRPr="002E1D22" w:rsidRDefault="00436E4E" w:rsidP="00165B0E">
      <w:pPr>
        <w:jc w:val="both"/>
        <w:rPr>
          <w:rFonts w:cs="FrankRuehl"/>
          <w:sz w:val="26"/>
          <w:szCs w:val="26"/>
          <w:rtl/>
        </w:rPr>
      </w:pPr>
      <w:r w:rsidRPr="002E1D22">
        <w:rPr>
          <w:rFonts w:cs="FrankRuehl"/>
          <w:sz w:val="26"/>
          <w:szCs w:val="26"/>
          <w:rtl/>
        </w:rPr>
        <w:t xml:space="preserve">שר האוצר מבקש את אישורה של ועדת הכספים של הכנסת להעברת סכום של </w:t>
      </w:r>
      <w:bookmarkStart w:id="6" w:name="TAKZIV30"/>
      <w:r w:rsidR="004C68B3">
        <w:rPr>
          <w:rFonts w:cs="FrankRuehl"/>
          <w:sz w:val="26"/>
          <w:szCs w:val="26"/>
          <w:rtl/>
        </w:rPr>
        <w:t>85,158</w:t>
      </w:r>
      <w:bookmarkEnd w:id="6"/>
      <w:r w:rsidRPr="002E1D22">
        <w:rPr>
          <w:rFonts w:cs="FrankRuehl"/>
          <w:sz w:val="26"/>
          <w:szCs w:val="26"/>
          <w:rtl/>
        </w:rPr>
        <w:t xml:space="preserve"> אלפי שקלים חדשים מסעי</w:t>
      </w:r>
      <w:r w:rsidR="00F62D7B">
        <w:rPr>
          <w:rFonts w:cs="FrankRuehl" w:hint="cs"/>
          <w:sz w:val="26"/>
          <w:szCs w:val="26"/>
          <w:rtl/>
        </w:rPr>
        <w:t xml:space="preserve">פים 04 </w:t>
      </w:r>
      <w:r w:rsidR="00F62D7B">
        <w:rPr>
          <w:rFonts w:cs="FrankRuehl"/>
          <w:sz w:val="26"/>
          <w:szCs w:val="26"/>
          <w:rtl/>
        </w:rPr>
        <w:t>–</w:t>
      </w:r>
      <w:r w:rsidR="00F62D7B">
        <w:rPr>
          <w:rFonts w:cs="FrankRuehl" w:hint="cs"/>
          <w:sz w:val="26"/>
          <w:szCs w:val="26"/>
          <w:rtl/>
        </w:rPr>
        <w:t xml:space="preserve"> משרד ראש הממשלה, 13 </w:t>
      </w:r>
      <w:r w:rsidR="00F62D7B">
        <w:rPr>
          <w:rFonts w:cs="FrankRuehl"/>
          <w:sz w:val="26"/>
          <w:szCs w:val="26"/>
          <w:rtl/>
        </w:rPr>
        <w:t>–</w:t>
      </w:r>
      <w:r w:rsidR="00F62D7B">
        <w:rPr>
          <w:rFonts w:cs="FrankRuehl" w:hint="cs"/>
          <w:sz w:val="26"/>
          <w:szCs w:val="26"/>
          <w:rtl/>
        </w:rPr>
        <w:t xml:space="preserve"> הוצאות שונות לסעיף</w:t>
      </w:r>
      <w:r w:rsidRPr="002E1D22">
        <w:rPr>
          <w:rFonts w:cs="FrankRuehl"/>
          <w:sz w:val="26"/>
          <w:szCs w:val="26"/>
          <w:rtl/>
        </w:rPr>
        <w:t xml:space="preserve"> 47 - רזרבה כללית, בהתאם לסעיף 11 (ה) 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w:t>
      </w:r>
    </w:p>
    <w:p w14:paraId="0F570A36" w14:textId="77777777" w:rsidR="00436E4E" w:rsidRPr="002E1D22" w:rsidRDefault="00436E4E" w:rsidP="00165B0E">
      <w:pPr>
        <w:jc w:val="both"/>
        <w:rPr>
          <w:rFonts w:cs="FrankRuehl"/>
          <w:sz w:val="26"/>
          <w:szCs w:val="26"/>
          <w:rtl/>
        </w:rPr>
      </w:pPr>
    </w:p>
    <w:p w14:paraId="4996191E" w14:textId="53E41F7A" w:rsidR="00436E4E" w:rsidRPr="002E1D22" w:rsidRDefault="00436E4E" w:rsidP="00165B0E">
      <w:pPr>
        <w:jc w:val="both"/>
        <w:rPr>
          <w:rFonts w:cs="FrankRuehl"/>
          <w:sz w:val="26"/>
          <w:szCs w:val="26"/>
          <w:rtl/>
        </w:rPr>
      </w:pPr>
      <w:r w:rsidRPr="002E1D22">
        <w:rPr>
          <w:rFonts w:cs="FrankRuehl"/>
          <w:sz w:val="26"/>
          <w:szCs w:val="26"/>
          <w:rtl/>
        </w:rPr>
        <w:t xml:space="preserve">כמו כן, מבקש שר האוצר את אישורה של ועדת הכספים של הכנסת להעברת סכום </w:t>
      </w:r>
      <w:r w:rsidR="00F62D7B" w:rsidRPr="002E1D22">
        <w:rPr>
          <w:rFonts w:cs="FrankRuehl"/>
          <w:sz w:val="26"/>
          <w:szCs w:val="26"/>
          <w:rtl/>
        </w:rPr>
        <w:t xml:space="preserve">של </w:t>
      </w:r>
      <w:r w:rsidR="00F62D7B">
        <w:rPr>
          <w:rFonts w:cs="FrankRuehl"/>
          <w:sz w:val="26"/>
          <w:szCs w:val="26"/>
          <w:rtl/>
        </w:rPr>
        <w:t>85,158</w:t>
      </w:r>
      <w:r w:rsidR="00F62D7B" w:rsidRPr="002E1D22">
        <w:rPr>
          <w:rFonts w:cs="FrankRuehl"/>
          <w:sz w:val="26"/>
          <w:szCs w:val="26"/>
          <w:rtl/>
        </w:rPr>
        <w:t xml:space="preserve"> אלפי </w:t>
      </w:r>
      <w:r w:rsidRPr="002E1D22">
        <w:rPr>
          <w:rFonts w:cs="FrankRuehl"/>
          <w:sz w:val="26"/>
          <w:szCs w:val="26"/>
          <w:rtl/>
        </w:rPr>
        <w:t xml:space="preserve">שקלים חדשים מסעיף 47 - רזרבה כללית </w:t>
      </w:r>
      <w:r w:rsidR="00F62D7B" w:rsidRPr="002E1D22">
        <w:rPr>
          <w:rFonts w:cs="FrankRuehl"/>
          <w:sz w:val="26"/>
          <w:szCs w:val="26"/>
          <w:rtl/>
        </w:rPr>
        <w:t xml:space="preserve">לסעיף </w:t>
      </w:r>
      <w:bookmarkStart w:id="7" w:name="TAKZIV3_1"/>
      <w:r w:rsidR="00F62D7B">
        <w:rPr>
          <w:rFonts w:cs="FrankRuehl"/>
          <w:sz w:val="26"/>
          <w:szCs w:val="26"/>
          <w:rtl/>
        </w:rPr>
        <w:t>20</w:t>
      </w:r>
      <w:bookmarkEnd w:id="7"/>
      <w:r w:rsidR="00F62D7B" w:rsidRPr="002E1D22">
        <w:rPr>
          <w:rFonts w:cs="FrankRuehl"/>
          <w:sz w:val="26"/>
          <w:szCs w:val="26"/>
          <w:rtl/>
        </w:rPr>
        <w:t xml:space="preserve"> - </w:t>
      </w:r>
      <w:bookmarkStart w:id="8" w:name="TAKZIV6"/>
      <w:r w:rsidR="00F62D7B">
        <w:rPr>
          <w:rFonts w:cs="FrankRuehl"/>
          <w:sz w:val="26"/>
          <w:szCs w:val="26"/>
          <w:rtl/>
        </w:rPr>
        <w:t>משרד החינוך</w:t>
      </w:r>
      <w:bookmarkEnd w:id="8"/>
      <w:r w:rsidR="00F62D7B">
        <w:rPr>
          <w:rFonts w:cs="FrankRuehl" w:hint="cs"/>
          <w:sz w:val="26"/>
          <w:szCs w:val="26"/>
          <w:rtl/>
        </w:rPr>
        <w:t>,</w:t>
      </w:r>
      <w:r w:rsidR="00F62D7B" w:rsidRPr="002E1D22">
        <w:rPr>
          <w:rFonts w:cs="FrankRuehl"/>
          <w:sz w:val="26"/>
          <w:szCs w:val="26"/>
          <w:rtl/>
        </w:rPr>
        <w:t xml:space="preserve"> </w:t>
      </w:r>
      <w:r w:rsidRPr="002E1D22">
        <w:rPr>
          <w:rFonts w:cs="FrankRuehl"/>
          <w:sz w:val="26"/>
          <w:szCs w:val="26"/>
          <w:rtl/>
        </w:rPr>
        <w:t>בהתאם לסעיף 12 (א)</w:t>
      </w:r>
      <w:r w:rsidR="00F62D7B">
        <w:rPr>
          <w:rFonts w:cs="FrankRuehl" w:hint="cs"/>
          <w:sz w:val="26"/>
          <w:szCs w:val="26"/>
          <w:rtl/>
        </w:rPr>
        <w:t xml:space="preserve"> </w:t>
      </w:r>
      <w:r w:rsidRPr="002E1D22">
        <w:rPr>
          <w:rFonts w:cs="FrankRuehl"/>
          <w:sz w:val="26"/>
          <w:szCs w:val="26"/>
          <w:rtl/>
        </w:rPr>
        <w:t xml:space="preserve">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 כמפורט בתדפיס המצורף בזה.</w:t>
      </w:r>
    </w:p>
    <w:p w14:paraId="1E4E6F17" w14:textId="77777777" w:rsidR="00436E4E" w:rsidRPr="002E1D22" w:rsidRDefault="00436E4E" w:rsidP="00165B0E">
      <w:pPr>
        <w:jc w:val="both"/>
        <w:rPr>
          <w:rFonts w:cs="FrankRuehl"/>
          <w:sz w:val="26"/>
          <w:szCs w:val="26"/>
          <w:rtl/>
        </w:rPr>
      </w:pPr>
    </w:p>
    <w:p w14:paraId="63711A81" w14:textId="77777777" w:rsidR="002B519A" w:rsidRDefault="002B519A" w:rsidP="00165B0E">
      <w:pPr>
        <w:jc w:val="both"/>
        <w:rPr>
          <w:rFonts w:ascii="FrankRuehl" w:hAnsi="FrankRuehl" w:cs="FrankRuehl"/>
          <w:sz w:val="26"/>
          <w:szCs w:val="26"/>
          <w:lang w:eastAsia="en-US"/>
        </w:rPr>
      </w:pPr>
      <w:r>
        <w:rPr>
          <w:rFonts w:ascii="FrankRuehl" w:hAnsi="FrankRuehl" w:cs="FrankRuehl" w:hint="cs"/>
          <w:b/>
          <w:bCs/>
          <w:sz w:val="26"/>
          <w:szCs w:val="26"/>
          <w:rtl/>
        </w:rPr>
        <w:t xml:space="preserve">הבקשה דנה בסעיף תקציבי: </w:t>
      </w:r>
      <w:r>
        <w:rPr>
          <w:rFonts w:ascii="FrankRuehl" w:hAnsi="FrankRuehl" w:cs="FrankRuehl" w:hint="cs"/>
          <w:sz w:val="26"/>
          <w:szCs w:val="26"/>
          <w:rtl/>
        </w:rPr>
        <w:t>20 – משרד החינוך</w:t>
      </w:r>
    </w:p>
    <w:p w14:paraId="0512B6F6" w14:textId="77777777" w:rsidR="002B519A" w:rsidRDefault="002B519A" w:rsidP="00165B0E">
      <w:pPr>
        <w:jc w:val="both"/>
        <w:rPr>
          <w:rFonts w:ascii="FrankRuehl" w:hAnsi="FrankRuehl" w:cs="FrankRuehl" w:hint="cs"/>
          <w:b/>
          <w:bCs/>
          <w:sz w:val="26"/>
          <w:szCs w:val="26"/>
        </w:rPr>
      </w:pPr>
    </w:p>
    <w:p w14:paraId="3A01A4A7" w14:textId="77777777" w:rsidR="002B519A" w:rsidRDefault="002B519A" w:rsidP="00165B0E">
      <w:pPr>
        <w:jc w:val="both"/>
        <w:rPr>
          <w:rFonts w:ascii="FrankRuehl" w:hAnsi="FrankRuehl" w:cs="FrankRuehl" w:hint="cs"/>
          <w:sz w:val="26"/>
          <w:szCs w:val="26"/>
          <w:rtl/>
        </w:rPr>
      </w:pPr>
      <w:r>
        <w:rPr>
          <w:rFonts w:ascii="FrankRuehl" w:hAnsi="FrankRuehl" w:cs="FrankRuehl" w:hint="cs"/>
          <w:b/>
          <w:bCs/>
          <w:sz w:val="26"/>
          <w:szCs w:val="26"/>
          <w:rtl/>
        </w:rPr>
        <w:t>עיקרי הפנייה:</w:t>
      </w:r>
      <w:r>
        <w:rPr>
          <w:rFonts w:ascii="FrankRuehl" w:hAnsi="FrankRuehl" w:cs="FrankRuehl" w:hint="cs"/>
          <w:sz w:val="26"/>
          <w:szCs w:val="26"/>
          <w:rtl/>
        </w:rPr>
        <w:t xml:space="preserve"> </w:t>
      </w:r>
    </w:p>
    <w:p w14:paraId="6C1677BA" w14:textId="77777777" w:rsidR="002B519A" w:rsidRDefault="002B519A" w:rsidP="00165B0E">
      <w:pPr>
        <w:contextualSpacing/>
        <w:jc w:val="both"/>
        <w:rPr>
          <w:rFonts w:ascii="FrankRuehl" w:hAnsi="FrankRuehl" w:cs="FrankRuehl" w:hint="cs"/>
          <w:sz w:val="26"/>
          <w:szCs w:val="26"/>
          <w:rtl/>
        </w:rPr>
      </w:pPr>
      <w:r>
        <w:rPr>
          <w:rFonts w:ascii="FrankRuehl" w:hAnsi="FrankRuehl" w:cs="FrankRuehl" w:hint="cs"/>
          <w:sz w:val="26"/>
          <w:szCs w:val="26"/>
          <w:rtl/>
        </w:rPr>
        <w:t>הפניה נועדה לתקצוב</w:t>
      </w:r>
      <w:r>
        <w:rPr>
          <w:rFonts w:ascii="FrankRuehl" w:hAnsi="FrankRuehl" w:cs="FrankRuehl" w:hint="cs"/>
          <w:sz w:val="26"/>
          <w:szCs w:val="26"/>
        </w:rPr>
        <w:t xml:space="preserve"> </w:t>
      </w:r>
      <w:r>
        <w:rPr>
          <w:rFonts w:ascii="FrankRuehl" w:hAnsi="FrankRuehl" w:cs="FrankRuehl" w:hint="cs"/>
          <w:sz w:val="26"/>
          <w:szCs w:val="26"/>
          <w:rtl/>
        </w:rPr>
        <w:t>סך</w:t>
      </w:r>
      <w:r>
        <w:rPr>
          <w:rFonts w:ascii="FrankRuehl" w:hAnsi="FrankRuehl" w:cs="FrankRuehl" w:hint="cs"/>
          <w:sz w:val="26"/>
          <w:szCs w:val="26"/>
        </w:rPr>
        <w:t xml:space="preserve"> </w:t>
      </w:r>
      <w:r>
        <w:rPr>
          <w:rFonts w:ascii="FrankRuehl" w:hAnsi="FrankRuehl" w:cs="FrankRuehl" w:hint="cs"/>
          <w:sz w:val="26"/>
          <w:szCs w:val="26"/>
          <w:rtl/>
        </w:rPr>
        <w:t>של 85,158 אלפי</w:t>
      </w:r>
      <w:r>
        <w:rPr>
          <w:rFonts w:ascii="FrankRuehl" w:hAnsi="FrankRuehl" w:cs="FrankRuehl" w:hint="cs"/>
          <w:sz w:val="26"/>
          <w:szCs w:val="26"/>
        </w:rPr>
        <w:t xml:space="preserve"> </w:t>
      </w:r>
      <w:r>
        <w:rPr>
          <w:rFonts w:ascii="FrankRuehl" w:hAnsi="FrankRuehl" w:cs="FrankRuehl" w:hint="cs"/>
          <w:sz w:val="26"/>
          <w:szCs w:val="26"/>
          <w:rtl/>
        </w:rPr>
        <w:t>ש</w:t>
      </w:r>
      <w:r>
        <w:rPr>
          <w:rFonts w:ascii="FrankRuehl" w:hAnsi="FrankRuehl" w:cs="FrankRuehl" w:hint="cs"/>
          <w:sz w:val="26"/>
          <w:szCs w:val="26"/>
        </w:rPr>
        <w:t>"</w:t>
      </w:r>
      <w:r>
        <w:rPr>
          <w:rFonts w:ascii="FrankRuehl" w:hAnsi="FrankRuehl" w:cs="FrankRuehl" w:hint="cs"/>
          <w:sz w:val="26"/>
          <w:szCs w:val="26"/>
          <w:rtl/>
        </w:rPr>
        <w:t>ח</w:t>
      </w:r>
      <w:r>
        <w:rPr>
          <w:rFonts w:ascii="FrankRuehl" w:hAnsi="FrankRuehl" w:cs="FrankRuehl" w:hint="cs"/>
          <w:sz w:val="26"/>
          <w:szCs w:val="26"/>
        </w:rPr>
        <w:t xml:space="preserve"> </w:t>
      </w:r>
      <w:r>
        <w:rPr>
          <w:rFonts w:ascii="FrankRuehl" w:hAnsi="FrankRuehl" w:cs="FrankRuehl" w:hint="cs"/>
          <w:sz w:val="26"/>
          <w:szCs w:val="26"/>
          <w:rtl/>
        </w:rPr>
        <w:t>בתקציב ההוצאה של משרד החינוך עבור תקצוב מחויבויות הסכמיות לארגוני המורים לרבות תקצוב קרנות רווחה, ביצוע שינויים פנימיים לבקשת המשרד ועבור יישום הסכמים פוליטיים בעלי משמעות תקציבית כמפורט מטה.</w:t>
      </w:r>
    </w:p>
    <w:p w14:paraId="34FC0B57" w14:textId="77777777" w:rsidR="002B519A" w:rsidRDefault="002B519A" w:rsidP="00165B0E">
      <w:pPr>
        <w:jc w:val="both"/>
        <w:rPr>
          <w:rFonts w:ascii="FrankRuehl" w:hAnsi="FrankRuehl" w:cs="FrankRuehl" w:hint="cs"/>
          <w:b/>
          <w:bCs/>
          <w:sz w:val="26"/>
          <w:szCs w:val="26"/>
          <w:rtl/>
        </w:rPr>
      </w:pPr>
    </w:p>
    <w:p w14:paraId="444BCA51" w14:textId="77777777" w:rsidR="002B519A" w:rsidRDefault="002B519A" w:rsidP="00165B0E">
      <w:pPr>
        <w:jc w:val="both"/>
        <w:rPr>
          <w:rFonts w:ascii="FrankRuehl" w:hAnsi="FrankRuehl" w:cs="FrankRuehl" w:hint="cs"/>
          <w:b/>
          <w:bCs/>
          <w:sz w:val="26"/>
          <w:szCs w:val="26"/>
          <w:rtl/>
        </w:rPr>
      </w:pPr>
      <w:r>
        <w:rPr>
          <w:rFonts w:ascii="FrankRuehl" w:hAnsi="FrankRuehl" w:cs="FrankRuehl" w:hint="cs"/>
          <w:b/>
          <w:bCs/>
          <w:sz w:val="26"/>
          <w:szCs w:val="26"/>
          <w:rtl/>
        </w:rPr>
        <w:t>עיקרי הפנייה התקציבית בחלוקה לתוכניות מובאים להלן:</w:t>
      </w:r>
    </w:p>
    <w:p w14:paraId="2A9D6ABB" w14:textId="77777777" w:rsidR="002B519A" w:rsidRDefault="002B519A" w:rsidP="00165B0E">
      <w:pPr>
        <w:jc w:val="both"/>
        <w:rPr>
          <w:rFonts w:ascii="FrankRuehl" w:hAnsi="FrankRuehl" w:cs="FrankRuehl" w:hint="cs"/>
          <w:b/>
          <w:bCs/>
          <w:sz w:val="26"/>
          <w:szCs w:val="26"/>
          <w:rtl/>
        </w:rPr>
      </w:pPr>
      <w:r>
        <w:rPr>
          <w:rFonts w:ascii="FrankRuehl" w:hAnsi="FrankRuehl" w:cs="FrankRuehl" w:hint="cs"/>
          <w:b/>
          <w:bCs/>
          <w:sz w:val="26"/>
          <w:szCs w:val="26"/>
          <w:rtl/>
        </w:rPr>
        <w:t>206201 - קדם יסודי</w:t>
      </w:r>
    </w:p>
    <w:p w14:paraId="74145196" w14:textId="77777777" w:rsidR="002B519A" w:rsidRDefault="002B519A" w:rsidP="00165B0E">
      <w:pPr>
        <w:jc w:val="both"/>
        <w:rPr>
          <w:rFonts w:ascii="FrankRuehl" w:hAnsi="FrankRuehl" w:cs="FrankRuehl" w:hint="cs"/>
          <w:sz w:val="26"/>
          <w:szCs w:val="26"/>
          <w:rtl/>
        </w:rPr>
      </w:pPr>
      <w:r>
        <w:rPr>
          <w:rFonts w:ascii="FrankRuehl" w:hAnsi="FrankRuehl" w:cs="FrankRuehl" w:hint="cs"/>
          <w:b/>
          <w:bCs/>
          <w:sz w:val="26"/>
          <w:szCs w:val="26"/>
          <w:rtl/>
        </w:rPr>
        <w:t>תיאור התוכנית:</w:t>
      </w:r>
      <w:r>
        <w:rPr>
          <w:rFonts w:ascii="FrankRuehl" w:hAnsi="FrankRuehl" w:cs="FrankRuehl" w:hint="cs"/>
          <w:sz w:val="26"/>
          <w:szCs w:val="26"/>
          <w:rtl/>
        </w:rPr>
        <w:t xml:space="preserve"> התקציב מיועד למימון השתתפות המדינה בעלויות גני ילדים הכוללות שכר גננת, שכר עוזרת גננת והוצאות אחזקה.</w:t>
      </w:r>
    </w:p>
    <w:p w14:paraId="4A8AD689" w14:textId="77777777" w:rsidR="002B519A" w:rsidRDefault="002B519A" w:rsidP="00165B0E">
      <w:pPr>
        <w:jc w:val="both"/>
        <w:rPr>
          <w:rFonts w:ascii="FrankRuehl" w:hAnsi="FrankRuehl" w:cs="FrankRuehl" w:hint="cs"/>
          <w:sz w:val="26"/>
          <w:szCs w:val="26"/>
          <w:rtl/>
        </w:rPr>
      </w:pPr>
      <w:r>
        <w:rPr>
          <w:rFonts w:ascii="FrankRuehl" w:hAnsi="FrankRuehl" w:cs="FrankRuehl" w:hint="cs"/>
          <w:b/>
          <w:bCs/>
          <w:sz w:val="26"/>
          <w:szCs w:val="26"/>
          <w:rtl/>
        </w:rPr>
        <w:t xml:space="preserve">מטרת השינוי: </w:t>
      </w:r>
      <w:r>
        <w:rPr>
          <w:rFonts w:ascii="FrankRuehl" w:hAnsi="FrankRuehl" w:cs="FrankRuehl" w:hint="cs"/>
          <w:sz w:val="26"/>
          <w:szCs w:val="26"/>
          <w:rtl/>
        </w:rPr>
        <w:t>תקצוב סך של 54,000 אלפי ש"ח בתקציב ההוצאה עבור יישום החלטות ממשלה מס' 3191 מיום 1 ביולי 2025 שעניינה "מודל תקצוב גננות בחינוך המוכר שאינו רשמי" ומס' 4330 מיום 5 ביולי 2026 שעניינה "מודל תקצוב גננות בחינוך המוכר שאינו רשמי" והחלטת ממשלה מס' 4382 מיום 15 ביולי 2026 שעניינה "מודל תקצוב גננות בחינוך המוכר שאינו רשמי – מעבר לתקצוב ע"י פרופיל ותק הוראות מעבר לשנת תשפ"ז".</w:t>
      </w:r>
    </w:p>
    <w:p w14:paraId="4B55271A" w14:textId="77777777" w:rsidR="002B519A" w:rsidRDefault="002B519A" w:rsidP="00165B0E">
      <w:pPr>
        <w:jc w:val="both"/>
        <w:rPr>
          <w:rFonts w:ascii="FrankRuehl" w:hAnsi="FrankRuehl" w:cs="FrankRuehl" w:hint="cs"/>
          <w:b/>
          <w:bCs/>
          <w:sz w:val="26"/>
          <w:szCs w:val="26"/>
          <w:rtl/>
        </w:rPr>
      </w:pPr>
    </w:p>
    <w:p w14:paraId="1CC9E86A" w14:textId="77777777" w:rsidR="002B519A" w:rsidRDefault="002B519A" w:rsidP="00165B0E">
      <w:pPr>
        <w:jc w:val="both"/>
        <w:rPr>
          <w:rFonts w:ascii="FrankRuehl" w:hAnsi="FrankRuehl" w:cs="FrankRuehl" w:hint="cs"/>
          <w:b/>
          <w:bCs/>
          <w:sz w:val="26"/>
          <w:szCs w:val="26"/>
          <w:rtl/>
        </w:rPr>
      </w:pPr>
      <w:r>
        <w:rPr>
          <w:rFonts w:ascii="FrankRuehl" w:hAnsi="FrankRuehl" w:cs="FrankRuehl" w:hint="cs"/>
          <w:b/>
          <w:bCs/>
          <w:sz w:val="26"/>
          <w:szCs w:val="26"/>
          <w:rtl/>
        </w:rPr>
        <w:t>206501 - שירותי עזר, הסעות ומענקים לפיתוח</w:t>
      </w:r>
    </w:p>
    <w:p w14:paraId="08E5E76E" w14:textId="77777777" w:rsidR="002B519A" w:rsidRDefault="002B519A" w:rsidP="00165B0E">
      <w:pPr>
        <w:jc w:val="both"/>
        <w:rPr>
          <w:rFonts w:ascii="FrankRuehl" w:hAnsi="FrankRuehl" w:cs="FrankRuehl" w:hint="cs"/>
          <w:sz w:val="26"/>
          <w:szCs w:val="26"/>
        </w:rPr>
      </w:pPr>
      <w:r>
        <w:rPr>
          <w:rFonts w:ascii="FrankRuehl" w:hAnsi="FrankRuehl" w:cs="FrankRuehl" w:hint="cs"/>
          <w:b/>
          <w:bCs/>
          <w:sz w:val="26"/>
          <w:szCs w:val="26"/>
          <w:rtl/>
        </w:rPr>
        <w:t>תיאור התוכנית:</w:t>
      </w:r>
      <w:r>
        <w:rPr>
          <w:rFonts w:ascii="FrankRuehl" w:hAnsi="FrankRuehl" w:cs="FrankRuehl" w:hint="cs"/>
          <w:sz w:val="26"/>
          <w:szCs w:val="26"/>
          <w:rtl/>
        </w:rPr>
        <w:t xml:space="preserve"> התקציב מיועד למימון השתתפות המדינה בשירותי העזר, מימון השתתפות המדינה בהסעות תלמידים ומורים במערכת החינוך, סיוע תקציבי למועצות האזוריות ברכישת אוטובוסים להסעת תלמידים, סיוע למגזר הבדואי בפזורה, מימון שירותי היקף בחינוך היסודי ובחטיבות הביניים, תשלומי אגרות והצטיידות עבור התנסויות בחינוך מדעי.</w:t>
      </w:r>
    </w:p>
    <w:p w14:paraId="76EC0DEC" w14:textId="77777777" w:rsidR="002B519A" w:rsidRDefault="002B519A" w:rsidP="00165B0E">
      <w:pPr>
        <w:jc w:val="both"/>
        <w:rPr>
          <w:rFonts w:ascii="FrankRuehl" w:hAnsi="FrankRuehl" w:cs="FrankRuehl" w:hint="cs"/>
          <w:sz w:val="26"/>
          <w:szCs w:val="26"/>
          <w:rtl/>
        </w:rPr>
      </w:pPr>
      <w:r>
        <w:rPr>
          <w:rFonts w:ascii="FrankRuehl" w:hAnsi="FrankRuehl" w:cs="FrankRuehl" w:hint="cs"/>
          <w:b/>
          <w:bCs/>
          <w:sz w:val="26"/>
          <w:szCs w:val="26"/>
          <w:rtl/>
        </w:rPr>
        <w:lastRenderedPageBreak/>
        <w:t>מטרות השינוי:</w:t>
      </w:r>
      <w:r>
        <w:rPr>
          <w:rFonts w:ascii="FrankRuehl" w:hAnsi="FrankRuehl" w:cs="FrankRuehl" w:hint="cs"/>
          <w:sz w:val="26"/>
          <w:szCs w:val="26"/>
          <w:rtl/>
        </w:rPr>
        <w:t xml:space="preserve"> תקצוב סך של 69,006 אלפי ש"ח בתקציב ההוצאה עבור מימון השתתפות המדינה בהסעות תלמידים בחינוך המוכר שאינו רשמי ברשתות החינוך "בני יוסף - מעין החינוך התורני" ו"החינוך העצמאי".</w:t>
      </w:r>
    </w:p>
    <w:p w14:paraId="58DF01F5" w14:textId="77777777" w:rsidR="002B519A" w:rsidRDefault="002B519A" w:rsidP="00165B0E">
      <w:pPr>
        <w:jc w:val="both"/>
        <w:rPr>
          <w:rFonts w:ascii="FrankRuehl" w:hAnsi="FrankRuehl" w:cs="FrankRuehl" w:hint="cs"/>
          <w:sz w:val="26"/>
          <w:szCs w:val="26"/>
          <w:rtl/>
        </w:rPr>
      </w:pPr>
    </w:p>
    <w:p w14:paraId="7E5AEB24" w14:textId="77777777" w:rsidR="002B519A" w:rsidRDefault="002B519A" w:rsidP="00165B0E">
      <w:pPr>
        <w:jc w:val="both"/>
        <w:rPr>
          <w:rFonts w:ascii="FrankRuehl" w:hAnsi="FrankRuehl" w:cs="FrankRuehl" w:hint="cs"/>
          <w:b/>
          <w:bCs/>
          <w:sz w:val="26"/>
          <w:szCs w:val="26"/>
          <w:rtl/>
        </w:rPr>
      </w:pPr>
      <w:r>
        <w:rPr>
          <w:rFonts w:ascii="FrankRuehl" w:hAnsi="FrankRuehl" w:cs="FrankRuehl" w:hint="cs"/>
          <w:b/>
          <w:bCs/>
          <w:sz w:val="26"/>
          <w:szCs w:val="26"/>
          <w:rtl/>
        </w:rPr>
        <w:t>206701 – פעילויות ופרויקטים</w:t>
      </w:r>
    </w:p>
    <w:p w14:paraId="00FBCDCD" w14:textId="77777777" w:rsidR="002B519A" w:rsidRDefault="002B519A" w:rsidP="00165B0E">
      <w:pPr>
        <w:contextualSpacing/>
        <w:jc w:val="both"/>
        <w:rPr>
          <w:rFonts w:ascii="FrankRuehl" w:hAnsi="FrankRuehl" w:cs="FrankRuehl" w:hint="cs"/>
          <w:sz w:val="26"/>
          <w:szCs w:val="26"/>
          <w:rtl/>
        </w:rPr>
      </w:pPr>
      <w:r>
        <w:rPr>
          <w:rFonts w:ascii="FrankRuehl" w:hAnsi="FrankRuehl" w:cs="FrankRuehl" w:hint="cs"/>
          <w:b/>
          <w:bCs/>
          <w:sz w:val="26"/>
          <w:szCs w:val="26"/>
          <w:rtl/>
        </w:rPr>
        <w:t xml:space="preserve">תיאור התוכנית: </w:t>
      </w:r>
      <w:r>
        <w:rPr>
          <w:rFonts w:ascii="FrankRuehl" w:hAnsi="FrankRuehl" w:cs="FrankRuehl" w:hint="cs"/>
          <w:sz w:val="26"/>
          <w:szCs w:val="26"/>
          <w:rtl/>
        </w:rPr>
        <w:t xml:space="preserve">התוכנית כוללת פעולות ופרויקטים המופעלים במערכת החינוך: פעולות במסגרת החינוך הבלתי פורמלי, חינוך גופני בבתי הספר, תכנית בתי הספר של החופש הגדול, תכנית קרב, מענק ירושלים לחינוך, שעות תגבור לבגרות, ספריות בבתי ספר, הדרכה לזהירות בדרכים, הקצבות במדעי הרוח, הוראת שפות, פעולות האגף לאומנויות, מרחבים מוסיקליים, פעולות אגף א' לחינוך ילדים ונוער בסיכון, הפעלת תוכניות ייחודיות בתחומי המדע והטכנולוגיה ותקשוב המערכת. </w:t>
      </w:r>
    </w:p>
    <w:p w14:paraId="5712DF8D" w14:textId="77777777" w:rsidR="002B519A" w:rsidRDefault="002B519A" w:rsidP="00165B0E">
      <w:pPr>
        <w:contextualSpacing/>
        <w:jc w:val="both"/>
        <w:rPr>
          <w:rFonts w:ascii="FrankRuehl" w:hAnsi="FrankRuehl" w:cs="FrankRuehl" w:hint="cs"/>
          <w:sz w:val="26"/>
          <w:szCs w:val="26"/>
          <w:rtl/>
        </w:rPr>
      </w:pPr>
      <w:r>
        <w:rPr>
          <w:rFonts w:ascii="FrankRuehl" w:hAnsi="FrankRuehl" w:cs="FrankRuehl" w:hint="cs"/>
          <w:b/>
          <w:bCs/>
          <w:sz w:val="26"/>
          <w:szCs w:val="26"/>
          <w:rtl/>
        </w:rPr>
        <w:t>מטרת השינוי:</w:t>
      </w:r>
      <w:r>
        <w:rPr>
          <w:rFonts w:ascii="FrankRuehl" w:hAnsi="FrankRuehl" w:cs="FrankRuehl" w:hint="cs"/>
          <w:sz w:val="26"/>
          <w:szCs w:val="26"/>
          <w:rtl/>
        </w:rPr>
        <w:t xml:space="preserve"> תקצוב סך של 119,310 אלפי ש"ח בתקציב ההוצאה עבור יישום הסכמים פוליטיים בעלי משמעות תקציבית כמפורט מטה.</w:t>
      </w:r>
    </w:p>
    <w:p w14:paraId="0A171944" w14:textId="77777777" w:rsidR="002B519A" w:rsidRDefault="002B519A" w:rsidP="00165B0E">
      <w:pPr>
        <w:contextualSpacing/>
        <w:jc w:val="both"/>
        <w:rPr>
          <w:rFonts w:ascii="FrankRuehl" w:hAnsi="FrankRuehl" w:cs="FrankRuehl" w:hint="cs"/>
          <w:sz w:val="26"/>
          <w:szCs w:val="26"/>
          <w:rtl/>
        </w:rPr>
      </w:pPr>
    </w:p>
    <w:p w14:paraId="3330FA01" w14:textId="77777777" w:rsidR="002B519A" w:rsidRDefault="002B519A" w:rsidP="00165B0E">
      <w:pPr>
        <w:jc w:val="both"/>
        <w:rPr>
          <w:rFonts w:ascii="FrankRuehl" w:hAnsi="FrankRuehl" w:cs="FrankRuehl" w:hint="cs"/>
          <w:b/>
          <w:bCs/>
          <w:sz w:val="26"/>
          <w:szCs w:val="26"/>
          <w:rtl/>
        </w:rPr>
      </w:pPr>
      <w:r>
        <w:rPr>
          <w:rFonts w:ascii="FrankRuehl" w:hAnsi="FrankRuehl" w:cs="FrankRuehl" w:hint="cs"/>
          <w:b/>
          <w:bCs/>
          <w:sz w:val="26"/>
          <w:szCs w:val="26"/>
          <w:rtl/>
        </w:rPr>
        <w:t>206702 – הארכת יום הלימודים</w:t>
      </w:r>
    </w:p>
    <w:p w14:paraId="78F3C9F5" w14:textId="77777777" w:rsidR="002B519A" w:rsidRDefault="002B519A" w:rsidP="00165B0E">
      <w:pPr>
        <w:jc w:val="both"/>
        <w:rPr>
          <w:rFonts w:ascii="FrankRuehl" w:hAnsi="FrankRuehl" w:cs="FrankRuehl" w:hint="cs"/>
          <w:b/>
          <w:bCs/>
          <w:sz w:val="26"/>
          <w:szCs w:val="26"/>
        </w:rPr>
      </w:pPr>
      <w:r>
        <w:rPr>
          <w:rFonts w:ascii="FrankRuehl" w:hAnsi="FrankRuehl" w:cs="FrankRuehl" w:hint="cs"/>
          <w:b/>
          <w:bCs/>
          <w:color w:val="000000"/>
          <w:sz w:val="26"/>
          <w:szCs w:val="26"/>
          <w:rtl/>
        </w:rPr>
        <w:t>תיאור התוכנית:</w:t>
      </w:r>
      <w:r>
        <w:rPr>
          <w:rFonts w:ascii="FrankRuehl" w:hAnsi="FrankRuehl" w:cs="FrankRuehl" w:hint="cs"/>
          <w:color w:val="000000"/>
          <w:sz w:val="26"/>
          <w:szCs w:val="26"/>
          <w:rtl/>
        </w:rPr>
        <w:t xml:space="preserve"> התקציב בתוכנית מיועד למימון חוק ארוחה יומית לתלמיד, תשס"ה- 2005 וכן מתוקצבות </w:t>
      </w:r>
      <w:proofErr w:type="spellStart"/>
      <w:r>
        <w:rPr>
          <w:rFonts w:ascii="FrankRuehl" w:hAnsi="FrankRuehl" w:cs="FrankRuehl" w:hint="cs"/>
          <w:color w:val="000000"/>
          <w:sz w:val="26"/>
          <w:szCs w:val="26"/>
          <w:rtl/>
        </w:rPr>
        <w:t>תכניות</w:t>
      </w:r>
      <w:proofErr w:type="spellEnd"/>
      <w:r>
        <w:rPr>
          <w:rFonts w:ascii="FrankRuehl" w:hAnsi="FrankRuehl" w:cs="FrankRuehl" w:hint="cs"/>
          <w:color w:val="000000"/>
          <w:sz w:val="26"/>
          <w:szCs w:val="26"/>
          <w:rtl/>
        </w:rPr>
        <w:t xml:space="preserve"> שונות להארכת יום הלימודים - תכנית פנימיות יום הנותנת מענה לילדים בגני הילדים ולתלמידים בבתי הספר באזורי הפריפריה הגיאוגרפית והחברתית, תכנית ניצנים הנותנת מענה לתלמידים בגני הילדים באשכולות 1-5 ובכיתות א-ב באשכולות 1-10. במסגרת שתי התוכניות כלולה הזנה בצהרי היום.</w:t>
      </w:r>
    </w:p>
    <w:p w14:paraId="3B97B4CA" w14:textId="77777777" w:rsidR="002B519A" w:rsidRDefault="002B519A" w:rsidP="00165B0E">
      <w:pPr>
        <w:contextualSpacing/>
        <w:jc w:val="both"/>
        <w:rPr>
          <w:rFonts w:ascii="FrankRuehl" w:hAnsi="FrankRuehl" w:cs="FrankRuehl" w:hint="cs"/>
          <w:sz w:val="26"/>
          <w:szCs w:val="26"/>
          <w:rtl/>
        </w:rPr>
      </w:pPr>
      <w:r>
        <w:rPr>
          <w:rFonts w:ascii="FrankRuehl" w:hAnsi="FrankRuehl" w:cs="FrankRuehl" w:hint="cs"/>
          <w:b/>
          <w:bCs/>
          <w:sz w:val="26"/>
          <w:szCs w:val="26"/>
          <w:rtl/>
        </w:rPr>
        <w:t xml:space="preserve">מטרות השינוי: </w:t>
      </w:r>
      <w:r>
        <w:rPr>
          <w:rFonts w:ascii="FrankRuehl" w:hAnsi="FrankRuehl" w:cs="FrankRuehl" w:hint="cs"/>
          <w:sz w:val="26"/>
          <w:szCs w:val="26"/>
          <w:rtl/>
        </w:rPr>
        <w:t>תקצוב סך של 16,167 אלפי ש"ח בתקציב ההוצאה עבור יישום הסכמים פוליטיים בעלי משמעות תקציבית כמפורט מטה.</w:t>
      </w:r>
    </w:p>
    <w:p w14:paraId="45FF7BBB" w14:textId="77777777" w:rsidR="002B519A" w:rsidRDefault="002B519A" w:rsidP="00165B0E">
      <w:pPr>
        <w:contextualSpacing/>
        <w:jc w:val="both"/>
        <w:rPr>
          <w:rFonts w:ascii="FrankRuehl" w:hAnsi="FrankRuehl" w:cs="FrankRuehl" w:hint="cs"/>
          <w:sz w:val="26"/>
          <w:szCs w:val="26"/>
          <w:rtl/>
        </w:rPr>
      </w:pPr>
    </w:p>
    <w:p w14:paraId="753A804F" w14:textId="77777777" w:rsidR="002B519A" w:rsidRDefault="002B519A" w:rsidP="00165B0E">
      <w:pPr>
        <w:jc w:val="both"/>
        <w:rPr>
          <w:rFonts w:ascii="FrankRuehl" w:hAnsi="FrankRuehl" w:cs="FrankRuehl" w:hint="cs"/>
          <w:b/>
          <w:bCs/>
          <w:sz w:val="26"/>
          <w:szCs w:val="26"/>
          <w:rtl/>
        </w:rPr>
      </w:pPr>
      <w:r>
        <w:rPr>
          <w:rFonts w:ascii="FrankRuehl" w:hAnsi="FrankRuehl" w:cs="FrankRuehl" w:hint="cs"/>
          <w:b/>
          <w:bCs/>
          <w:sz w:val="26"/>
          <w:szCs w:val="26"/>
          <w:rtl/>
        </w:rPr>
        <w:t>206703 – מנהל החינוך הדתי</w:t>
      </w:r>
    </w:p>
    <w:p w14:paraId="60594C8F" w14:textId="77777777" w:rsidR="002B519A" w:rsidRDefault="002B519A" w:rsidP="00165B0E">
      <w:pPr>
        <w:jc w:val="both"/>
        <w:rPr>
          <w:rFonts w:ascii="FrankRuehl" w:hAnsi="FrankRuehl" w:cs="FrankRuehl" w:hint="cs"/>
          <w:b/>
          <w:bCs/>
          <w:sz w:val="26"/>
          <w:szCs w:val="26"/>
        </w:rPr>
      </w:pPr>
      <w:r>
        <w:rPr>
          <w:rFonts w:ascii="FrankRuehl" w:hAnsi="FrankRuehl" w:cs="FrankRuehl" w:hint="cs"/>
          <w:b/>
          <w:bCs/>
          <w:color w:val="000000"/>
          <w:sz w:val="26"/>
          <w:szCs w:val="26"/>
          <w:rtl/>
        </w:rPr>
        <w:t>תיאור התוכנית:</w:t>
      </w:r>
      <w:r>
        <w:rPr>
          <w:rFonts w:ascii="FrankRuehl" w:hAnsi="FrankRuehl" w:cs="FrankRuehl" w:hint="cs"/>
          <w:color w:val="000000"/>
          <w:sz w:val="26"/>
          <w:szCs w:val="26"/>
          <w:rtl/>
        </w:rPr>
        <w:t xml:space="preserve"> </w:t>
      </w:r>
      <w:r>
        <w:rPr>
          <w:rFonts w:ascii="FrankRuehl" w:hAnsi="FrankRuehl" w:cs="FrankRuehl" w:hint="cs"/>
          <w:sz w:val="26"/>
          <w:szCs w:val="26"/>
          <w:rtl/>
        </w:rPr>
        <w:t xml:space="preserve">התקציב מיועד למימון פעולות תוכניות ומחקרים של </w:t>
      </w:r>
      <w:proofErr w:type="spellStart"/>
      <w:r>
        <w:rPr>
          <w:rFonts w:ascii="FrankRuehl" w:hAnsi="FrankRuehl" w:cs="FrankRuehl" w:hint="cs"/>
          <w:sz w:val="26"/>
          <w:szCs w:val="26"/>
          <w:rtl/>
        </w:rPr>
        <w:t>מינהל</w:t>
      </w:r>
      <w:proofErr w:type="spellEnd"/>
      <w:r>
        <w:rPr>
          <w:rFonts w:ascii="FrankRuehl" w:hAnsi="FrankRuehl" w:cs="FrankRuehl" w:hint="cs"/>
          <w:sz w:val="26"/>
          <w:szCs w:val="26"/>
          <w:rtl/>
        </w:rPr>
        <w:t xml:space="preserve"> החינוך הדתי שנועדו, בין היתר, להעמיק את החינוך הציוני דתי והתורני, לשפר את רמת ההוראה במוסדות החינוך הממלכתי דתי וכן עבור עידוד שירות משמעותי</w:t>
      </w:r>
      <w:r>
        <w:rPr>
          <w:rFonts w:ascii="FrankRuehl" w:hAnsi="FrankRuehl" w:cs="FrankRuehl" w:hint="cs"/>
          <w:b/>
          <w:bCs/>
          <w:sz w:val="26"/>
          <w:szCs w:val="26"/>
          <w:rtl/>
        </w:rPr>
        <w:t>.</w:t>
      </w:r>
    </w:p>
    <w:p w14:paraId="5CDAFF83" w14:textId="77777777" w:rsidR="002B519A" w:rsidRDefault="002B519A" w:rsidP="00165B0E">
      <w:pPr>
        <w:contextualSpacing/>
        <w:jc w:val="both"/>
        <w:rPr>
          <w:rFonts w:ascii="FrankRuehl" w:hAnsi="FrankRuehl" w:cs="FrankRuehl" w:hint="cs"/>
          <w:sz w:val="26"/>
          <w:szCs w:val="26"/>
          <w:rtl/>
        </w:rPr>
      </w:pPr>
      <w:r>
        <w:rPr>
          <w:rFonts w:ascii="FrankRuehl" w:hAnsi="FrankRuehl" w:cs="FrankRuehl" w:hint="cs"/>
          <w:b/>
          <w:bCs/>
          <w:sz w:val="26"/>
          <w:szCs w:val="26"/>
          <w:rtl/>
        </w:rPr>
        <w:t xml:space="preserve">מטרות השינוי: </w:t>
      </w:r>
      <w:r>
        <w:rPr>
          <w:rFonts w:ascii="FrankRuehl" w:hAnsi="FrankRuehl" w:cs="FrankRuehl" w:hint="cs"/>
          <w:sz w:val="26"/>
          <w:szCs w:val="26"/>
          <w:rtl/>
        </w:rPr>
        <w:t>תקצוב סך של 30,366 אלפי ש"ח בתקציב ההוצאה עבור יישום הסכמים פוליטיים בעלי משמעות תקציבית כמפורט מטה.</w:t>
      </w:r>
    </w:p>
    <w:p w14:paraId="58891E34" w14:textId="77777777" w:rsidR="002B519A" w:rsidRDefault="002B519A" w:rsidP="00165B0E">
      <w:pPr>
        <w:jc w:val="both"/>
        <w:rPr>
          <w:rFonts w:ascii="FrankRuehl" w:hAnsi="FrankRuehl" w:cs="FrankRuehl" w:hint="cs"/>
          <w:sz w:val="26"/>
          <w:szCs w:val="26"/>
          <w:rtl/>
        </w:rPr>
      </w:pPr>
    </w:p>
    <w:p w14:paraId="1F589406" w14:textId="77777777" w:rsidR="002B519A" w:rsidRDefault="002B519A" w:rsidP="00165B0E">
      <w:pPr>
        <w:jc w:val="both"/>
        <w:rPr>
          <w:rFonts w:ascii="FrankRuehl" w:hAnsi="FrankRuehl" w:cs="FrankRuehl" w:hint="cs"/>
          <w:b/>
          <w:bCs/>
          <w:sz w:val="26"/>
          <w:szCs w:val="26"/>
          <w:rtl/>
        </w:rPr>
      </w:pPr>
      <w:r>
        <w:rPr>
          <w:rFonts w:ascii="FrankRuehl" w:hAnsi="FrankRuehl" w:cs="FrankRuehl" w:hint="cs"/>
          <w:b/>
          <w:bCs/>
          <w:sz w:val="26"/>
          <w:szCs w:val="26"/>
          <w:rtl/>
        </w:rPr>
        <w:t>206801 - תנאי שירות והכשרת עובדי הוראה</w:t>
      </w:r>
    </w:p>
    <w:p w14:paraId="24336992" w14:textId="77777777" w:rsidR="002B519A" w:rsidRDefault="002B519A" w:rsidP="00165B0E">
      <w:pPr>
        <w:jc w:val="both"/>
        <w:rPr>
          <w:rFonts w:ascii="FrankRuehl" w:hAnsi="FrankRuehl" w:cs="FrankRuehl" w:hint="cs"/>
          <w:sz w:val="26"/>
          <w:szCs w:val="26"/>
        </w:rPr>
      </w:pPr>
      <w:r>
        <w:rPr>
          <w:rFonts w:ascii="FrankRuehl" w:hAnsi="FrankRuehl" w:cs="FrankRuehl" w:hint="cs"/>
          <w:b/>
          <w:bCs/>
          <w:sz w:val="26"/>
          <w:szCs w:val="26"/>
          <w:rtl/>
        </w:rPr>
        <w:t>תיאור</w:t>
      </w:r>
      <w:r>
        <w:rPr>
          <w:rFonts w:ascii="FrankRuehl" w:hAnsi="FrankRuehl" w:cs="FrankRuehl" w:hint="cs"/>
          <w:b/>
          <w:bCs/>
          <w:sz w:val="26"/>
          <w:szCs w:val="26"/>
        </w:rPr>
        <w:t xml:space="preserve"> </w:t>
      </w:r>
      <w:r>
        <w:rPr>
          <w:rFonts w:ascii="FrankRuehl" w:hAnsi="FrankRuehl" w:cs="FrankRuehl" w:hint="cs"/>
          <w:b/>
          <w:bCs/>
          <w:sz w:val="26"/>
          <w:szCs w:val="26"/>
          <w:rtl/>
        </w:rPr>
        <w:t>התוכנית:</w:t>
      </w:r>
      <w:r>
        <w:rPr>
          <w:rFonts w:ascii="FrankRuehl" w:hAnsi="FrankRuehl" w:cs="FrankRuehl" w:hint="cs"/>
          <w:sz w:val="26"/>
          <w:szCs w:val="26"/>
        </w:rPr>
        <w:t xml:space="preserve"> </w:t>
      </w:r>
      <w:r>
        <w:rPr>
          <w:rFonts w:ascii="FrankRuehl" w:hAnsi="FrankRuehl" w:cs="FrankRuehl" w:hint="cs"/>
          <w:sz w:val="26"/>
          <w:szCs w:val="26"/>
          <w:rtl/>
        </w:rPr>
        <w:t>תקצוב</w:t>
      </w:r>
      <w:r>
        <w:rPr>
          <w:rFonts w:ascii="FrankRuehl" w:hAnsi="FrankRuehl" w:cs="FrankRuehl" w:hint="cs"/>
          <w:sz w:val="26"/>
          <w:szCs w:val="26"/>
        </w:rPr>
        <w:t xml:space="preserve"> </w:t>
      </w:r>
      <w:r>
        <w:rPr>
          <w:rFonts w:ascii="FrankRuehl" w:hAnsi="FrankRuehl" w:cs="FrankRuehl" w:hint="cs"/>
          <w:sz w:val="26"/>
          <w:szCs w:val="26"/>
          <w:rtl/>
        </w:rPr>
        <w:t>המכללות</w:t>
      </w:r>
      <w:r>
        <w:rPr>
          <w:rFonts w:ascii="FrankRuehl" w:hAnsi="FrankRuehl" w:cs="FrankRuehl" w:hint="cs"/>
          <w:sz w:val="26"/>
          <w:szCs w:val="26"/>
        </w:rPr>
        <w:t xml:space="preserve"> </w:t>
      </w:r>
      <w:r>
        <w:rPr>
          <w:rFonts w:ascii="FrankRuehl" w:hAnsi="FrankRuehl" w:cs="FrankRuehl" w:hint="cs"/>
          <w:sz w:val="26"/>
          <w:szCs w:val="26"/>
          <w:rtl/>
        </w:rPr>
        <w:t>להכשרת</w:t>
      </w:r>
      <w:r>
        <w:rPr>
          <w:rFonts w:ascii="FrankRuehl" w:hAnsi="FrankRuehl" w:cs="FrankRuehl" w:hint="cs"/>
          <w:sz w:val="26"/>
          <w:szCs w:val="26"/>
        </w:rPr>
        <w:t xml:space="preserve"> </w:t>
      </w:r>
      <w:r>
        <w:rPr>
          <w:rFonts w:ascii="FrankRuehl" w:hAnsi="FrankRuehl" w:cs="FrankRuehl" w:hint="cs"/>
          <w:sz w:val="26"/>
          <w:szCs w:val="26"/>
          <w:rtl/>
        </w:rPr>
        <w:t>מורים, השתלמויות</w:t>
      </w:r>
      <w:r>
        <w:rPr>
          <w:rFonts w:ascii="FrankRuehl" w:hAnsi="FrankRuehl" w:cs="FrankRuehl" w:hint="cs"/>
          <w:sz w:val="26"/>
          <w:szCs w:val="26"/>
        </w:rPr>
        <w:t xml:space="preserve"> </w:t>
      </w:r>
      <w:r>
        <w:rPr>
          <w:rFonts w:ascii="FrankRuehl" w:hAnsi="FrankRuehl" w:cs="FrankRuehl" w:hint="cs"/>
          <w:sz w:val="26"/>
          <w:szCs w:val="26"/>
          <w:rtl/>
        </w:rPr>
        <w:t>לעובדי</w:t>
      </w:r>
      <w:r>
        <w:rPr>
          <w:rFonts w:ascii="FrankRuehl" w:hAnsi="FrankRuehl" w:cs="FrankRuehl" w:hint="cs"/>
          <w:sz w:val="26"/>
          <w:szCs w:val="26"/>
        </w:rPr>
        <w:t xml:space="preserve"> </w:t>
      </w:r>
      <w:r>
        <w:rPr>
          <w:rFonts w:ascii="FrankRuehl" w:hAnsi="FrankRuehl" w:cs="FrankRuehl" w:hint="cs"/>
          <w:sz w:val="26"/>
          <w:szCs w:val="26"/>
          <w:rtl/>
        </w:rPr>
        <w:t>הוראה, חונכות</w:t>
      </w:r>
      <w:r>
        <w:rPr>
          <w:rFonts w:ascii="FrankRuehl" w:hAnsi="FrankRuehl" w:cs="FrankRuehl" w:hint="cs"/>
          <w:sz w:val="26"/>
          <w:szCs w:val="26"/>
        </w:rPr>
        <w:t xml:space="preserve"> </w:t>
      </w:r>
      <w:r>
        <w:rPr>
          <w:rFonts w:ascii="FrankRuehl" w:hAnsi="FrankRuehl" w:cs="FrankRuehl" w:hint="cs"/>
          <w:sz w:val="26"/>
          <w:szCs w:val="26"/>
          <w:rtl/>
        </w:rPr>
        <w:t>למורים</w:t>
      </w:r>
    </w:p>
    <w:p w14:paraId="6365D323" w14:textId="77777777" w:rsidR="002B519A" w:rsidRDefault="002B519A" w:rsidP="00165B0E">
      <w:pPr>
        <w:jc w:val="both"/>
        <w:rPr>
          <w:rFonts w:ascii="FrankRuehl" w:hAnsi="FrankRuehl" w:cs="FrankRuehl" w:hint="cs"/>
          <w:sz w:val="26"/>
          <w:szCs w:val="26"/>
        </w:rPr>
      </w:pPr>
      <w:r>
        <w:rPr>
          <w:rFonts w:ascii="FrankRuehl" w:hAnsi="FrankRuehl" w:cs="FrankRuehl" w:hint="cs"/>
          <w:sz w:val="26"/>
          <w:szCs w:val="26"/>
          <w:rtl/>
        </w:rPr>
        <w:t>חדשים, תקצוב</w:t>
      </w:r>
      <w:r>
        <w:rPr>
          <w:rFonts w:ascii="FrankRuehl" w:hAnsi="FrankRuehl" w:cs="FrankRuehl" w:hint="cs"/>
          <w:sz w:val="26"/>
          <w:szCs w:val="26"/>
        </w:rPr>
        <w:t xml:space="preserve"> </w:t>
      </w:r>
      <w:r>
        <w:rPr>
          <w:rFonts w:ascii="FrankRuehl" w:hAnsi="FrankRuehl" w:cs="FrankRuehl" w:hint="cs"/>
          <w:sz w:val="26"/>
          <w:szCs w:val="26"/>
          <w:rtl/>
        </w:rPr>
        <w:t>ארגוני</w:t>
      </w:r>
      <w:r>
        <w:rPr>
          <w:rFonts w:ascii="FrankRuehl" w:hAnsi="FrankRuehl" w:cs="FrankRuehl" w:hint="cs"/>
          <w:sz w:val="26"/>
          <w:szCs w:val="26"/>
        </w:rPr>
        <w:t xml:space="preserve"> </w:t>
      </w:r>
      <w:r>
        <w:rPr>
          <w:rFonts w:ascii="FrankRuehl" w:hAnsi="FrankRuehl" w:cs="FrankRuehl" w:hint="cs"/>
          <w:sz w:val="26"/>
          <w:szCs w:val="26"/>
          <w:rtl/>
        </w:rPr>
        <w:t>המורים</w:t>
      </w:r>
      <w:r>
        <w:rPr>
          <w:rFonts w:ascii="FrankRuehl" w:hAnsi="FrankRuehl" w:cs="FrankRuehl" w:hint="cs"/>
          <w:sz w:val="26"/>
          <w:szCs w:val="26"/>
        </w:rPr>
        <w:t xml:space="preserve"> </w:t>
      </w:r>
      <w:r>
        <w:rPr>
          <w:rFonts w:ascii="FrankRuehl" w:hAnsi="FrankRuehl" w:cs="FrankRuehl" w:hint="cs"/>
          <w:sz w:val="26"/>
          <w:szCs w:val="26"/>
          <w:rtl/>
        </w:rPr>
        <w:t>בהתאם</w:t>
      </w:r>
      <w:r>
        <w:rPr>
          <w:rFonts w:ascii="FrankRuehl" w:hAnsi="FrankRuehl" w:cs="FrankRuehl" w:hint="cs"/>
          <w:sz w:val="26"/>
          <w:szCs w:val="26"/>
        </w:rPr>
        <w:t xml:space="preserve"> </w:t>
      </w:r>
      <w:r>
        <w:rPr>
          <w:rFonts w:ascii="FrankRuehl" w:hAnsi="FrankRuehl" w:cs="FrankRuehl" w:hint="cs"/>
          <w:sz w:val="26"/>
          <w:szCs w:val="26"/>
          <w:rtl/>
        </w:rPr>
        <w:t>להסכמי</w:t>
      </w:r>
      <w:r>
        <w:rPr>
          <w:rFonts w:ascii="FrankRuehl" w:hAnsi="FrankRuehl" w:cs="FrankRuehl" w:hint="cs"/>
          <w:sz w:val="26"/>
          <w:szCs w:val="26"/>
        </w:rPr>
        <w:t xml:space="preserve"> </w:t>
      </w:r>
      <w:r>
        <w:rPr>
          <w:rFonts w:ascii="FrankRuehl" w:hAnsi="FrankRuehl" w:cs="FrankRuehl" w:hint="cs"/>
          <w:sz w:val="26"/>
          <w:szCs w:val="26"/>
          <w:rtl/>
        </w:rPr>
        <w:t>השכר</w:t>
      </w:r>
      <w:r>
        <w:rPr>
          <w:rFonts w:ascii="FrankRuehl" w:hAnsi="FrankRuehl" w:cs="FrankRuehl" w:hint="cs"/>
          <w:sz w:val="26"/>
          <w:szCs w:val="26"/>
        </w:rPr>
        <w:t xml:space="preserve"> </w:t>
      </w:r>
      <w:r>
        <w:rPr>
          <w:rFonts w:ascii="FrankRuehl" w:hAnsi="FrankRuehl" w:cs="FrankRuehl" w:hint="cs"/>
          <w:sz w:val="26"/>
          <w:szCs w:val="26"/>
          <w:rtl/>
        </w:rPr>
        <w:t>בפעולות</w:t>
      </w:r>
      <w:r>
        <w:rPr>
          <w:rFonts w:ascii="FrankRuehl" w:hAnsi="FrankRuehl" w:cs="FrankRuehl" w:hint="cs"/>
          <w:sz w:val="26"/>
          <w:szCs w:val="26"/>
        </w:rPr>
        <w:t xml:space="preserve"> </w:t>
      </w:r>
      <w:r>
        <w:rPr>
          <w:rFonts w:ascii="FrankRuehl" w:hAnsi="FrankRuehl" w:cs="FrankRuehl" w:hint="cs"/>
          <w:sz w:val="26"/>
          <w:szCs w:val="26"/>
          <w:rtl/>
        </w:rPr>
        <w:t>רווחה, השתלמות</w:t>
      </w:r>
      <w:r>
        <w:rPr>
          <w:rFonts w:ascii="FrankRuehl" w:hAnsi="FrankRuehl" w:cs="FrankRuehl" w:hint="cs"/>
          <w:sz w:val="26"/>
          <w:szCs w:val="26"/>
        </w:rPr>
        <w:t xml:space="preserve"> </w:t>
      </w:r>
      <w:r>
        <w:rPr>
          <w:rFonts w:ascii="FrankRuehl" w:hAnsi="FrankRuehl" w:cs="FrankRuehl" w:hint="cs"/>
          <w:sz w:val="26"/>
          <w:szCs w:val="26"/>
          <w:rtl/>
        </w:rPr>
        <w:t>עובדי</w:t>
      </w:r>
      <w:r>
        <w:rPr>
          <w:rFonts w:ascii="FrankRuehl" w:hAnsi="FrankRuehl" w:cs="FrankRuehl" w:hint="cs"/>
          <w:sz w:val="26"/>
          <w:szCs w:val="26"/>
        </w:rPr>
        <w:t xml:space="preserve"> </w:t>
      </w:r>
      <w:r>
        <w:rPr>
          <w:rFonts w:ascii="FrankRuehl" w:hAnsi="FrankRuehl" w:cs="FrankRuehl" w:hint="cs"/>
          <w:sz w:val="26"/>
          <w:szCs w:val="26"/>
          <w:rtl/>
        </w:rPr>
        <w:t>הוראה והלוואות</w:t>
      </w:r>
      <w:r>
        <w:rPr>
          <w:rFonts w:ascii="FrankRuehl" w:hAnsi="FrankRuehl" w:cs="FrankRuehl" w:hint="cs"/>
          <w:sz w:val="26"/>
          <w:szCs w:val="26"/>
        </w:rPr>
        <w:t xml:space="preserve"> </w:t>
      </w:r>
      <w:r>
        <w:rPr>
          <w:rFonts w:ascii="FrankRuehl" w:hAnsi="FrankRuehl" w:cs="FrankRuehl" w:hint="cs"/>
          <w:sz w:val="26"/>
          <w:szCs w:val="26"/>
          <w:rtl/>
        </w:rPr>
        <w:t>לעובדי</w:t>
      </w:r>
      <w:r>
        <w:rPr>
          <w:rFonts w:ascii="FrankRuehl" w:hAnsi="FrankRuehl" w:cs="FrankRuehl" w:hint="cs"/>
          <w:sz w:val="26"/>
          <w:szCs w:val="26"/>
        </w:rPr>
        <w:t xml:space="preserve"> </w:t>
      </w:r>
      <w:r>
        <w:rPr>
          <w:rFonts w:ascii="FrankRuehl" w:hAnsi="FrankRuehl" w:cs="FrankRuehl" w:hint="cs"/>
          <w:sz w:val="26"/>
          <w:szCs w:val="26"/>
          <w:rtl/>
        </w:rPr>
        <w:t>הוראה</w:t>
      </w:r>
      <w:r>
        <w:rPr>
          <w:rFonts w:ascii="FrankRuehl" w:hAnsi="FrankRuehl" w:cs="FrankRuehl" w:hint="cs"/>
          <w:sz w:val="26"/>
          <w:szCs w:val="26"/>
        </w:rPr>
        <w:t>.</w:t>
      </w:r>
    </w:p>
    <w:p w14:paraId="5461E265" w14:textId="77777777" w:rsidR="002B519A" w:rsidRDefault="002B519A" w:rsidP="00165B0E">
      <w:pPr>
        <w:jc w:val="both"/>
        <w:rPr>
          <w:rFonts w:ascii="FrankRuehl" w:hAnsi="FrankRuehl" w:cs="FrankRuehl" w:hint="cs"/>
          <w:sz w:val="26"/>
          <w:szCs w:val="26"/>
          <w:rtl/>
        </w:rPr>
      </w:pPr>
      <w:r>
        <w:rPr>
          <w:rFonts w:ascii="FrankRuehl" w:hAnsi="FrankRuehl" w:cs="FrankRuehl" w:hint="cs"/>
          <w:b/>
          <w:bCs/>
          <w:sz w:val="26"/>
          <w:szCs w:val="26"/>
          <w:rtl/>
        </w:rPr>
        <w:t xml:space="preserve">מטרת השינוי: </w:t>
      </w:r>
      <w:r>
        <w:rPr>
          <w:rFonts w:ascii="FrankRuehl" w:hAnsi="FrankRuehl" w:cs="FrankRuehl" w:hint="cs"/>
          <w:sz w:val="26"/>
          <w:szCs w:val="26"/>
          <w:rtl/>
        </w:rPr>
        <w:t>תקצוב סך של 234,327 אלפי ש"ח בתקציב ההוצאה עבור שכר מורים במכללות להוראה ועבור מחויבויות הסכמיות לארגוני המורים לרבות תקצוב קרנות רווחה. בתוך כך, תקצוב סך של 57,327 אלפי ש"ח בתקציב ההוצאה עבור יישום הסכמים פוליטיים בעלי משמעות תקציבית כמפורט מטה.</w:t>
      </w:r>
    </w:p>
    <w:p w14:paraId="4A37201F" w14:textId="77777777" w:rsidR="002B519A" w:rsidRDefault="002B519A" w:rsidP="00165B0E">
      <w:pPr>
        <w:jc w:val="both"/>
        <w:rPr>
          <w:rFonts w:ascii="FrankRuehl" w:hAnsi="FrankRuehl" w:cs="FrankRuehl" w:hint="cs"/>
          <w:sz w:val="26"/>
          <w:szCs w:val="26"/>
          <w:rtl/>
        </w:rPr>
      </w:pPr>
    </w:p>
    <w:p w14:paraId="3FD82086" w14:textId="77777777" w:rsidR="002B519A" w:rsidRDefault="002B519A" w:rsidP="00165B0E">
      <w:pPr>
        <w:contextualSpacing/>
        <w:jc w:val="both"/>
        <w:rPr>
          <w:rFonts w:ascii="FrankRuehl" w:hAnsi="FrankRuehl" w:cs="FrankRuehl" w:hint="cs"/>
          <w:b/>
          <w:bCs/>
          <w:sz w:val="26"/>
          <w:szCs w:val="26"/>
          <w:rtl/>
        </w:rPr>
      </w:pPr>
      <w:r>
        <w:rPr>
          <w:rFonts w:ascii="FrankRuehl" w:hAnsi="FrankRuehl" w:cs="FrankRuehl" w:hint="cs"/>
          <w:b/>
          <w:bCs/>
          <w:sz w:val="26"/>
          <w:szCs w:val="26"/>
          <w:rtl/>
        </w:rPr>
        <w:t xml:space="preserve">206901- תרבות יהודית </w:t>
      </w:r>
    </w:p>
    <w:p w14:paraId="616497A9" w14:textId="77777777" w:rsidR="002B519A" w:rsidRDefault="002B519A" w:rsidP="00165B0E">
      <w:pPr>
        <w:contextualSpacing/>
        <w:jc w:val="both"/>
        <w:rPr>
          <w:rFonts w:ascii="FrankRuehl" w:hAnsi="FrankRuehl" w:cs="FrankRuehl" w:hint="cs"/>
          <w:sz w:val="26"/>
          <w:szCs w:val="26"/>
          <w:rtl/>
        </w:rPr>
      </w:pPr>
      <w:r>
        <w:rPr>
          <w:rFonts w:ascii="FrankRuehl" w:hAnsi="FrankRuehl" w:cs="FrankRuehl" w:hint="cs"/>
          <w:b/>
          <w:bCs/>
          <w:sz w:val="26"/>
          <w:szCs w:val="26"/>
          <w:rtl/>
        </w:rPr>
        <w:t xml:space="preserve">תיאור התוכנית: </w:t>
      </w:r>
      <w:r>
        <w:rPr>
          <w:rFonts w:ascii="FrankRuehl" w:hAnsi="FrankRuehl" w:cs="FrankRuehl" w:hint="cs"/>
          <w:sz w:val="26"/>
          <w:szCs w:val="26"/>
          <w:rtl/>
        </w:rPr>
        <w:t>התקציב מיועד למימון פעולות תרבות יהודית, למרכזים להעמקת החינוך היהודי ועבור מדרשות ליהדות וללימודי ארץ ישראל.</w:t>
      </w:r>
    </w:p>
    <w:p w14:paraId="6B1B0635" w14:textId="77777777" w:rsidR="002B519A" w:rsidRDefault="002B519A" w:rsidP="00165B0E">
      <w:pPr>
        <w:contextualSpacing/>
        <w:jc w:val="both"/>
        <w:rPr>
          <w:rFonts w:ascii="FrankRuehl" w:hAnsi="FrankRuehl" w:cs="FrankRuehl" w:hint="cs"/>
          <w:sz w:val="26"/>
          <w:szCs w:val="26"/>
          <w:rtl/>
        </w:rPr>
      </w:pPr>
      <w:r>
        <w:rPr>
          <w:rFonts w:ascii="FrankRuehl" w:hAnsi="FrankRuehl" w:cs="FrankRuehl" w:hint="cs"/>
          <w:b/>
          <w:bCs/>
          <w:sz w:val="26"/>
          <w:szCs w:val="26"/>
          <w:rtl/>
        </w:rPr>
        <w:t>מטרות השינוי:</w:t>
      </w:r>
      <w:r>
        <w:rPr>
          <w:rFonts w:ascii="FrankRuehl" w:hAnsi="FrankRuehl" w:cs="FrankRuehl" w:hint="cs"/>
          <w:sz w:val="26"/>
          <w:szCs w:val="26"/>
          <w:rtl/>
        </w:rPr>
        <w:t xml:space="preserve"> תקצוב סך של 12,540 אלפי ש"ח בתקציב ההוצאה עבור יישום הסכמים פוליטיים בעלי משמעות תקציבית כמפורט מטה.</w:t>
      </w:r>
    </w:p>
    <w:p w14:paraId="06CA1AF7" w14:textId="77777777" w:rsidR="002B519A" w:rsidRDefault="002B519A" w:rsidP="00165B0E">
      <w:pPr>
        <w:jc w:val="both"/>
        <w:rPr>
          <w:rFonts w:ascii="FrankRuehl" w:hAnsi="FrankRuehl" w:cs="FrankRuehl" w:hint="cs"/>
          <w:sz w:val="26"/>
          <w:szCs w:val="26"/>
          <w:rtl/>
        </w:rPr>
      </w:pPr>
    </w:p>
    <w:p w14:paraId="12792503" w14:textId="77777777" w:rsidR="002B519A" w:rsidRDefault="002B519A" w:rsidP="00165B0E">
      <w:pPr>
        <w:jc w:val="both"/>
        <w:rPr>
          <w:rFonts w:ascii="FrankRuehl" w:hAnsi="FrankRuehl" w:cs="FrankRuehl" w:hint="cs"/>
          <w:b/>
          <w:bCs/>
          <w:sz w:val="26"/>
          <w:szCs w:val="26"/>
          <w:rtl/>
        </w:rPr>
      </w:pPr>
      <w:r>
        <w:rPr>
          <w:rFonts w:ascii="FrankRuehl" w:hAnsi="FrankRuehl" w:cs="FrankRuehl" w:hint="cs"/>
          <w:b/>
          <w:bCs/>
          <w:sz w:val="26"/>
          <w:szCs w:val="26"/>
          <w:rtl/>
        </w:rPr>
        <w:t>206902 - מוסדות תורניים</w:t>
      </w:r>
    </w:p>
    <w:p w14:paraId="4C8DAF2B" w14:textId="77777777" w:rsidR="002B519A" w:rsidRDefault="002B519A" w:rsidP="00165B0E">
      <w:pPr>
        <w:jc w:val="both"/>
        <w:rPr>
          <w:rFonts w:ascii="FrankRuehl" w:hAnsi="FrankRuehl" w:cs="FrankRuehl" w:hint="cs"/>
          <w:sz w:val="26"/>
          <w:szCs w:val="26"/>
        </w:rPr>
      </w:pPr>
      <w:r>
        <w:rPr>
          <w:rFonts w:ascii="FrankRuehl" w:hAnsi="FrankRuehl" w:cs="FrankRuehl" w:hint="cs"/>
          <w:b/>
          <w:bCs/>
          <w:color w:val="000000"/>
          <w:sz w:val="26"/>
          <w:szCs w:val="26"/>
          <w:rtl/>
        </w:rPr>
        <w:t>תיאור התוכנית:</w:t>
      </w:r>
      <w:r>
        <w:rPr>
          <w:rFonts w:ascii="FrankRuehl" w:hAnsi="FrankRuehl" w:cs="FrankRuehl" w:hint="cs"/>
          <w:color w:val="000000"/>
          <w:sz w:val="26"/>
          <w:szCs w:val="26"/>
          <w:rtl/>
        </w:rPr>
        <w:t xml:space="preserve"> </w:t>
      </w:r>
      <w:r>
        <w:rPr>
          <w:rFonts w:ascii="FrankRuehl" w:hAnsi="FrankRuehl" w:cs="FrankRuehl" w:hint="cs"/>
          <w:sz w:val="26"/>
          <w:szCs w:val="26"/>
          <w:rtl/>
        </w:rPr>
        <w:t>התקציב מיועד למימון התמיכה במוסדות תורניים בהתאם למבחני התמיכה שבעניין ולתקצוב קרן הסיוע לאברכים בהתאם לחוק סיוע כלכלי לעידוד לומדי תורה וסטודנטים נזקקים, תשע"ז-2017.</w:t>
      </w:r>
    </w:p>
    <w:p w14:paraId="7285DE9B" w14:textId="77777777" w:rsidR="002B519A" w:rsidRDefault="002B519A" w:rsidP="00165B0E">
      <w:pPr>
        <w:contextualSpacing/>
        <w:jc w:val="both"/>
        <w:rPr>
          <w:rFonts w:ascii="FrankRuehl" w:hAnsi="FrankRuehl" w:cs="FrankRuehl" w:hint="cs"/>
          <w:sz w:val="26"/>
          <w:szCs w:val="26"/>
          <w:rtl/>
        </w:rPr>
      </w:pPr>
      <w:r>
        <w:rPr>
          <w:rFonts w:ascii="FrankRuehl" w:hAnsi="FrankRuehl" w:cs="FrankRuehl" w:hint="cs"/>
          <w:b/>
          <w:bCs/>
          <w:sz w:val="26"/>
          <w:szCs w:val="26"/>
          <w:rtl/>
        </w:rPr>
        <w:t>מטרות השינוי:</w:t>
      </w:r>
      <w:r>
        <w:rPr>
          <w:rFonts w:ascii="FrankRuehl" w:hAnsi="FrankRuehl" w:cs="FrankRuehl" w:hint="cs"/>
          <w:sz w:val="26"/>
          <w:szCs w:val="26"/>
          <w:rtl/>
        </w:rPr>
        <w:t xml:space="preserve"> תקצוב סך של 32,121 אלפי ש"ח בתקציב ההוצאה עבור יישום הסכמים פוליטיים בעלי משמעות תקציבית כמפורט מטה.</w:t>
      </w:r>
    </w:p>
    <w:p w14:paraId="14B9E649" w14:textId="77777777" w:rsidR="002B519A" w:rsidRDefault="002B519A" w:rsidP="00165B0E">
      <w:pPr>
        <w:jc w:val="both"/>
        <w:rPr>
          <w:rFonts w:ascii="FrankRuehl" w:hAnsi="FrankRuehl" w:cs="FrankRuehl" w:hint="cs"/>
          <w:sz w:val="26"/>
          <w:szCs w:val="26"/>
          <w:rtl/>
        </w:rPr>
      </w:pPr>
    </w:p>
    <w:p w14:paraId="3AC4294E" w14:textId="77777777" w:rsidR="002B519A" w:rsidRDefault="002B519A" w:rsidP="00165B0E">
      <w:pPr>
        <w:contextualSpacing/>
        <w:jc w:val="both"/>
        <w:rPr>
          <w:rFonts w:ascii="FrankRuehl" w:hAnsi="FrankRuehl" w:cs="FrankRuehl" w:hint="cs"/>
          <w:b/>
          <w:bCs/>
          <w:sz w:val="26"/>
          <w:szCs w:val="26"/>
        </w:rPr>
      </w:pPr>
      <w:r>
        <w:rPr>
          <w:rFonts w:ascii="FrankRuehl" w:hAnsi="FrankRuehl" w:cs="FrankRuehl" w:hint="cs"/>
          <w:b/>
          <w:bCs/>
          <w:sz w:val="26"/>
          <w:szCs w:val="26"/>
          <w:rtl/>
        </w:rPr>
        <w:t xml:space="preserve">יישום הסכמים פוליטיים בעלי משמעות תקציבית: </w:t>
      </w:r>
    </w:p>
    <w:p w14:paraId="12716450" w14:textId="77777777" w:rsidR="002B519A" w:rsidRDefault="002B519A" w:rsidP="00165B0E">
      <w:pPr>
        <w:jc w:val="both"/>
        <w:rPr>
          <w:rFonts w:ascii="FrankRuehl" w:hAnsi="FrankRuehl" w:cs="FrankRuehl" w:hint="cs"/>
          <w:sz w:val="26"/>
          <w:szCs w:val="26"/>
          <w:rtl/>
        </w:rPr>
      </w:pPr>
      <w:r>
        <w:rPr>
          <w:rFonts w:ascii="FrankRuehl" w:hAnsi="FrankRuehl" w:cs="FrankRuehl" w:hint="cs"/>
          <w:sz w:val="26"/>
          <w:szCs w:val="26"/>
          <w:rtl/>
        </w:rPr>
        <w:lastRenderedPageBreak/>
        <w:t>הפנייה נועדה לתקצב סך של 267,831 אלפי ש"ח עבור הנושאים המפורטים להלן, בהתאם להחלטת ממשלה מס' 3610 מיום 4 בדצמבר 2025 שעניינה "הקצאת תקציבים עבור הסכמים קואליציוניים והחלטות נוספות בשנת 2026", החלטה מס' 3971 מיום 10 במרץ 2026 שעניינה "יישום הסכמים קואליציוניים בשנת הכספים 2026", החלטה מס' 4241 מיום 15 ביולי 2026 שעניינה " חיזוק החינוך הבלתי פורמאלי ותיקון החלטת ממשלה",  החלטה מס' 4391 מיום 15 ביולי 2026 שעניינה "תקצוב תפעול מערך השירות הלאומי במערכת החינוך, תיקון מבחני תמיכה למוסדות תורניים ותמיכה בהורים שכולים ותיקון החלטת ממשלה". מכיוון שבעת קבלת החלטות הממשלה האמורות טרם הושלמו הבדיקות המקצועיות והמשפטיות הנחוצות לצורך הקצאת התקציבים הנדרשים על פי הנחיית היועץ המשפטי לממשלה מספר 1.180, התקציב טרם הוקצה בתוכניות הייעודיות עד להשלמתן. כעת, משהושלמו הבדיקות המקצועיות והמשפטיות הנחוצות, מוצע להעביר את הסכומים האמורים, בהתאם להחלטות הממשלה האמורות, לתוכניות הייעודיות כמפורט להלן:</w:t>
      </w:r>
    </w:p>
    <w:p w14:paraId="232215C6" w14:textId="77777777" w:rsidR="002B519A" w:rsidRDefault="002B519A" w:rsidP="00165B0E">
      <w:pPr>
        <w:jc w:val="both"/>
        <w:rPr>
          <w:rFonts w:ascii="FrankRuehl" w:hAnsi="FrankRuehl" w:cs="FrankRuehl" w:hint="cs"/>
          <w:sz w:val="26"/>
          <w:szCs w:val="26"/>
          <w:rtl/>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3529"/>
        <w:gridCol w:w="2859"/>
        <w:gridCol w:w="881"/>
      </w:tblGrid>
      <w:tr w:rsidR="002B519A" w14:paraId="79220722" w14:textId="77777777" w:rsidTr="002B519A">
        <w:trPr>
          <w:trHeight w:val="576"/>
          <w:jc w:val="center"/>
        </w:trPr>
        <w:tc>
          <w:tcPr>
            <w:tcW w:w="735" w:type="pct"/>
            <w:tcBorders>
              <w:top w:val="single" w:sz="4" w:space="0" w:color="auto"/>
              <w:left w:val="single" w:sz="4" w:space="0" w:color="auto"/>
              <w:bottom w:val="single" w:sz="4" w:space="0" w:color="auto"/>
              <w:right w:val="single" w:sz="4" w:space="0" w:color="auto"/>
            </w:tcBorders>
            <w:noWrap/>
            <w:vAlign w:val="center"/>
            <w:hideMark/>
          </w:tcPr>
          <w:p w14:paraId="6DAA160F" w14:textId="77777777" w:rsidR="002B519A" w:rsidRDefault="002B519A" w:rsidP="00165B0E">
            <w:pPr>
              <w:bidi w:val="0"/>
              <w:jc w:val="both"/>
              <w:rPr>
                <w:rFonts w:ascii="FrankRuehl" w:hAnsi="FrankRuehl" w:cs="FrankRuehl" w:hint="cs"/>
                <w:b/>
                <w:bCs/>
                <w:sz w:val="26"/>
                <w:szCs w:val="26"/>
                <w:rtl/>
              </w:rPr>
            </w:pPr>
            <w:r>
              <w:rPr>
                <w:rFonts w:ascii="FrankRuehl" w:hAnsi="FrankRuehl" w:cs="FrankRuehl" w:hint="cs"/>
                <w:b/>
                <w:bCs/>
                <w:sz w:val="26"/>
                <w:szCs w:val="26"/>
                <w:rtl/>
              </w:rPr>
              <w:t>מספר תכנית</w:t>
            </w:r>
          </w:p>
        </w:tc>
        <w:tc>
          <w:tcPr>
            <w:tcW w:w="2070" w:type="pct"/>
            <w:tcBorders>
              <w:top w:val="single" w:sz="4" w:space="0" w:color="auto"/>
              <w:left w:val="single" w:sz="4" w:space="0" w:color="auto"/>
              <w:bottom w:val="single" w:sz="4" w:space="0" w:color="auto"/>
              <w:right w:val="single" w:sz="4" w:space="0" w:color="auto"/>
            </w:tcBorders>
            <w:noWrap/>
            <w:vAlign w:val="center"/>
            <w:hideMark/>
          </w:tcPr>
          <w:p w14:paraId="311D2214" w14:textId="77777777" w:rsidR="002B519A" w:rsidRDefault="002B519A" w:rsidP="00165B0E">
            <w:pPr>
              <w:jc w:val="both"/>
              <w:rPr>
                <w:rFonts w:ascii="FrankRuehl" w:hAnsi="FrankRuehl" w:cs="FrankRuehl" w:hint="cs"/>
                <w:b/>
                <w:bCs/>
                <w:sz w:val="26"/>
                <w:szCs w:val="26"/>
                <w:rtl/>
              </w:rPr>
            </w:pPr>
            <w:r>
              <w:rPr>
                <w:rFonts w:ascii="FrankRuehl" w:hAnsi="FrankRuehl" w:cs="FrankRuehl" w:hint="cs"/>
                <w:b/>
                <w:bCs/>
                <w:sz w:val="26"/>
                <w:szCs w:val="26"/>
                <w:rtl/>
              </w:rPr>
              <w:t>שם תכנית</w:t>
            </w:r>
          </w:p>
        </w:tc>
        <w:tc>
          <w:tcPr>
            <w:tcW w:w="1677" w:type="pct"/>
            <w:tcBorders>
              <w:top w:val="single" w:sz="4" w:space="0" w:color="auto"/>
              <w:left w:val="single" w:sz="4" w:space="0" w:color="auto"/>
              <w:bottom w:val="single" w:sz="4" w:space="0" w:color="auto"/>
              <w:right w:val="single" w:sz="4" w:space="0" w:color="auto"/>
            </w:tcBorders>
            <w:vAlign w:val="center"/>
            <w:hideMark/>
          </w:tcPr>
          <w:p w14:paraId="45B13102" w14:textId="77777777" w:rsidR="002B519A" w:rsidRDefault="002B519A" w:rsidP="00165B0E">
            <w:pPr>
              <w:jc w:val="both"/>
              <w:rPr>
                <w:rFonts w:ascii="FrankRuehl" w:hAnsi="FrankRuehl" w:cs="FrankRuehl" w:hint="cs"/>
                <w:b/>
                <w:bCs/>
                <w:sz w:val="26"/>
                <w:szCs w:val="26"/>
                <w:rtl/>
              </w:rPr>
            </w:pPr>
            <w:r>
              <w:rPr>
                <w:rFonts w:ascii="FrankRuehl" w:hAnsi="FrankRuehl" w:cs="FrankRuehl" w:hint="cs"/>
                <w:b/>
                <w:bCs/>
                <w:sz w:val="26"/>
                <w:szCs w:val="26"/>
                <w:rtl/>
              </w:rPr>
              <w:t>נושא</w:t>
            </w:r>
          </w:p>
        </w:tc>
        <w:tc>
          <w:tcPr>
            <w:tcW w:w="517" w:type="pct"/>
            <w:tcBorders>
              <w:top w:val="single" w:sz="4" w:space="0" w:color="auto"/>
              <w:left w:val="single" w:sz="4" w:space="0" w:color="auto"/>
              <w:bottom w:val="single" w:sz="4" w:space="0" w:color="auto"/>
              <w:right w:val="single" w:sz="4" w:space="0" w:color="auto"/>
            </w:tcBorders>
            <w:vAlign w:val="center"/>
            <w:hideMark/>
          </w:tcPr>
          <w:p w14:paraId="39B1E81A" w14:textId="77777777" w:rsidR="002B519A" w:rsidRDefault="002B519A" w:rsidP="00165B0E">
            <w:pPr>
              <w:jc w:val="both"/>
              <w:rPr>
                <w:rFonts w:ascii="FrankRuehl" w:hAnsi="FrankRuehl" w:cs="FrankRuehl" w:hint="cs"/>
                <w:b/>
                <w:bCs/>
                <w:sz w:val="26"/>
                <w:szCs w:val="26"/>
                <w:rtl/>
              </w:rPr>
            </w:pPr>
            <w:r>
              <w:rPr>
                <w:rFonts w:ascii="FrankRuehl" w:hAnsi="FrankRuehl" w:cs="FrankRuehl" w:hint="cs"/>
                <w:b/>
                <w:bCs/>
                <w:sz w:val="26"/>
                <w:szCs w:val="26"/>
                <w:rtl/>
              </w:rPr>
              <w:t>סכום</w:t>
            </w:r>
          </w:p>
        </w:tc>
      </w:tr>
      <w:tr w:rsidR="002B519A" w14:paraId="6B07C9C5" w14:textId="77777777" w:rsidTr="002B519A">
        <w:trPr>
          <w:trHeight w:val="576"/>
          <w:jc w:val="center"/>
        </w:trPr>
        <w:tc>
          <w:tcPr>
            <w:tcW w:w="735" w:type="pct"/>
            <w:tcBorders>
              <w:top w:val="single" w:sz="4" w:space="0" w:color="auto"/>
              <w:left w:val="single" w:sz="4" w:space="0" w:color="auto"/>
              <w:bottom w:val="single" w:sz="4" w:space="0" w:color="auto"/>
              <w:right w:val="single" w:sz="4" w:space="0" w:color="auto"/>
            </w:tcBorders>
            <w:noWrap/>
            <w:vAlign w:val="center"/>
            <w:hideMark/>
          </w:tcPr>
          <w:p w14:paraId="29788D74" w14:textId="77777777" w:rsidR="002B519A" w:rsidRDefault="002B519A" w:rsidP="00165B0E">
            <w:pPr>
              <w:bidi w:val="0"/>
              <w:jc w:val="both"/>
              <w:rPr>
                <w:rFonts w:ascii="FrankRuehl" w:hAnsi="FrankRuehl" w:cs="FrankRuehl" w:hint="cs"/>
                <w:sz w:val="26"/>
                <w:szCs w:val="26"/>
                <w:rtl/>
              </w:rPr>
            </w:pPr>
            <w:r>
              <w:rPr>
                <w:rFonts w:ascii="FrankRuehl" w:hAnsi="FrankRuehl" w:cs="FrankRuehl" w:hint="cs"/>
                <w:sz w:val="26"/>
                <w:szCs w:val="26"/>
                <w:rtl/>
              </w:rPr>
              <w:t>206701</w:t>
            </w:r>
          </w:p>
        </w:tc>
        <w:tc>
          <w:tcPr>
            <w:tcW w:w="2070" w:type="pct"/>
            <w:tcBorders>
              <w:top w:val="single" w:sz="4" w:space="0" w:color="auto"/>
              <w:left w:val="single" w:sz="4" w:space="0" w:color="auto"/>
              <w:bottom w:val="single" w:sz="4" w:space="0" w:color="auto"/>
              <w:right w:val="single" w:sz="4" w:space="0" w:color="auto"/>
            </w:tcBorders>
            <w:noWrap/>
            <w:vAlign w:val="center"/>
            <w:hideMark/>
          </w:tcPr>
          <w:p w14:paraId="10D7566A" w14:textId="77777777" w:rsidR="002B519A" w:rsidRDefault="002B519A" w:rsidP="00165B0E">
            <w:pPr>
              <w:jc w:val="both"/>
              <w:rPr>
                <w:rFonts w:ascii="FrankRuehl" w:hAnsi="FrankRuehl" w:cs="FrankRuehl" w:hint="cs"/>
                <w:sz w:val="26"/>
                <w:szCs w:val="26"/>
                <w:rtl/>
              </w:rPr>
            </w:pPr>
            <w:r>
              <w:rPr>
                <w:rFonts w:ascii="FrankRuehl" w:hAnsi="FrankRuehl" w:cs="FrankRuehl" w:hint="cs"/>
                <w:sz w:val="26"/>
                <w:szCs w:val="26"/>
                <w:rtl/>
              </w:rPr>
              <w:t>פעילויות ופרויקטים</w:t>
            </w:r>
          </w:p>
        </w:tc>
        <w:tc>
          <w:tcPr>
            <w:tcW w:w="1677" w:type="pct"/>
            <w:tcBorders>
              <w:top w:val="single" w:sz="4" w:space="0" w:color="auto"/>
              <w:left w:val="single" w:sz="4" w:space="0" w:color="auto"/>
              <w:bottom w:val="single" w:sz="4" w:space="0" w:color="auto"/>
              <w:right w:val="single" w:sz="4" w:space="0" w:color="auto"/>
            </w:tcBorders>
            <w:vAlign w:val="center"/>
            <w:hideMark/>
          </w:tcPr>
          <w:p w14:paraId="301AC79F" w14:textId="77777777" w:rsidR="002B519A" w:rsidRDefault="002B519A" w:rsidP="00165B0E">
            <w:pPr>
              <w:jc w:val="both"/>
              <w:rPr>
                <w:rFonts w:ascii="FrankRuehl" w:hAnsi="FrankRuehl" w:cs="FrankRuehl" w:hint="cs"/>
                <w:sz w:val="26"/>
                <w:szCs w:val="26"/>
                <w:rtl/>
              </w:rPr>
            </w:pPr>
            <w:r>
              <w:rPr>
                <w:rFonts w:ascii="FrankRuehl" w:hAnsi="FrankRuehl" w:cs="FrankRuehl" w:hint="cs"/>
                <w:sz w:val="26"/>
                <w:szCs w:val="26"/>
                <w:rtl/>
              </w:rPr>
              <w:t>חנוך לנער – תוכנית למניעת נשירה בישיבות</w:t>
            </w:r>
          </w:p>
        </w:tc>
        <w:tc>
          <w:tcPr>
            <w:tcW w:w="517" w:type="pct"/>
            <w:tcBorders>
              <w:top w:val="single" w:sz="4" w:space="0" w:color="auto"/>
              <w:left w:val="single" w:sz="4" w:space="0" w:color="auto"/>
              <w:bottom w:val="single" w:sz="4" w:space="0" w:color="auto"/>
              <w:right w:val="single" w:sz="4" w:space="0" w:color="auto"/>
            </w:tcBorders>
            <w:vAlign w:val="center"/>
            <w:hideMark/>
          </w:tcPr>
          <w:p w14:paraId="0E68F190" w14:textId="77777777" w:rsidR="002B519A" w:rsidRDefault="002B519A" w:rsidP="00165B0E">
            <w:pPr>
              <w:bidi w:val="0"/>
              <w:jc w:val="both"/>
              <w:rPr>
                <w:rFonts w:ascii="FrankRuehl" w:hAnsi="FrankRuehl" w:cs="FrankRuehl" w:hint="cs"/>
                <w:sz w:val="26"/>
                <w:szCs w:val="26"/>
              </w:rPr>
            </w:pPr>
            <w:r>
              <w:rPr>
                <w:rFonts w:ascii="FrankRuehl" w:hAnsi="FrankRuehl" w:cs="FrankRuehl" w:hint="cs"/>
                <w:sz w:val="26"/>
                <w:szCs w:val="26"/>
                <w:rtl/>
              </w:rPr>
              <w:t>26,190</w:t>
            </w:r>
          </w:p>
        </w:tc>
      </w:tr>
      <w:tr w:rsidR="002B519A" w14:paraId="0FC030F9" w14:textId="77777777" w:rsidTr="002B519A">
        <w:trPr>
          <w:trHeight w:val="576"/>
          <w:jc w:val="center"/>
        </w:trPr>
        <w:tc>
          <w:tcPr>
            <w:tcW w:w="735" w:type="pct"/>
            <w:tcBorders>
              <w:top w:val="single" w:sz="4" w:space="0" w:color="auto"/>
              <w:left w:val="single" w:sz="4" w:space="0" w:color="auto"/>
              <w:bottom w:val="single" w:sz="4" w:space="0" w:color="auto"/>
              <w:right w:val="single" w:sz="4" w:space="0" w:color="auto"/>
            </w:tcBorders>
            <w:noWrap/>
            <w:vAlign w:val="center"/>
            <w:hideMark/>
          </w:tcPr>
          <w:p w14:paraId="24D48E11" w14:textId="77777777" w:rsidR="002B519A" w:rsidRDefault="002B519A" w:rsidP="00165B0E">
            <w:pPr>
              <w:bidi w:val="0"/>
              <w:jc w:val="both"/>
              <w:rPr>
                <w:rFonts w:ascii="FrankRuehl" w:hAnsi="FrankRuehl" w:cs="FrankRuehl" w:hint="cs"/>
                <w:sz w:val="26"/>
                <w:szCs w:val="26"/>
              </w:rPr>
            </w:pPr>
            <w:r>
              <w:rPr>
                <w:rFonts w:ascii="FrankRuehl" w:hAnsi="FrankRuehl" w:cs="FrankRuehl" w:hint="cs"/>
                <w:sz w:val="26"/>
                <w:szCs w:val="26"/>
              </w:rPr>
              <w:t>206701</w:t>
            </w:r>
          </w:p>
        </w:tc>
        <w:tc>
          <w:tcPr>
            <w:tcW w:w="2070" w:type="pct"/>
            <w:tcBorders>
              <w:top w:val="single" w:sz="4" w:space="0" w:color="auto"/>
              <w:left w:val="single" w:sz="4" w:space="0" w:color="auto"/>
              <w:bottom w:val="single" w:sz="4" w:space="0" w:color="auto"/>
              <w:right w:val="single" w:sz="4" w:space="0" w:color="auto"/>
            </w:tcBorders>
            <w:noWrap/>
            <w:vAlign w:val="center"/>
            <w:hideMark/>
          </w:tcPr>
          <w:p w14:paraId="095AF3A0" w14:textId="77777777" w:rsidR="002B519A" w:rsidRDefault="002B519A" w:rsidP="00165B0E">
            <w:pPr>
              <w:jc w:val="both"/>
              <w:rPr>
                <w:rFonts w:ascii="FrankRuehl" w:hAnsi="FrankRuehl" w:cs="FrankRuehl" w:hint="cs"/>
                <w:sz w:val="26"/>
                <w:szCs w:val="26"/>
                <w:rtl/>
              </w:rPr>
            </w:pPr>
            <w:r>
              <w:rPr>
                <w:rFonts w:ascii="FrankRuehl" w:hAnsi="FrankRuehl" w:cs="FrankRuehl" w:hint="cs"/>
                <w:sz w:val="26"/>
                <w:szCs w:val="26"/>
                <w:rtl/>
              </w:rPr>
              <w:t>פעילויות ופרויקטים</w:t>
            </w:r>
          </w:p>
        </w:tc>
        <w:tc>
          <w:tcPr>
            <w:tcW w:w="1677" w:type="pct"/>
            <w:tcBorders>
              <w:top w:val="single" w:sz="4" w:space="0" w:color="auto"/>
              <w:left w:val="single" w:sz="4" w:space="0" w:color="auto"/>
              <w:bottom w:val="single" w:sz="4" w:space="0" w:color="auto"/>
              <w:right w:val="single" w:sz="4" w:space="0" w:color="auto"/>
            </w:tcBorders>
            <w:vAlign w:val="center"/>
            <w:hideMark/>
          </w:tcPr>
          <w:p w14:paraId="0141059D" w14:textId="77777777" w:rsidR="002B519A" w:rsidRDefault="002B519A" w:rsidP="00165B0E">
            <w:pPr>
              <w:jc w:val="both"/>
              <w:rPr>
                <w:rFonts w:ascii="FrankRuehl" w:hAnsi="FrankRuehl" w:cs="FrankRuehl" w:hint="cs"/>
                <w:sz w:val="26"/>
                <w:szCs w:val="26"/>
                <w:rtl/>
              </w:rPr>
            </w:pPr>
            <w:r>
              <w:rPr>
                <w:rFonts w:ascii="FrankRuehl" w:hAnsi="FrankRuehl" w:cs="FrankRuehl" w:hint="cs"/>
                <w:sz w:val="26"/>
                <w:szCs w:val="26"/>
                <w:rtl/>
              </w:rPr>
              <w:t>פעולות לחיזוק וסיוע לנוער בסיכון</w:t>
            </w:r>
          </w:p>
        </w:tc>
        <w:tc>
          <w:tcPr>
            <w:tcW w:w="517" w:type="pct"/>
            <w:tcBorders>
              <w:top w:val="single" w:sz="4" w:space="0" w:color="auto"/>
              <w:left w:val="single" w:sz="4" w:space="0" w:color="auto"/>
              <w:bottom w:val="single" w:sz="4" w:space="0" w:color="auto"/>
              <w:right w:val="single" w:sz="4" w:space="0" w:color="auto"/>
            </w:tcBorders>
            <w:vAlign w:val="center"/>
            <w:hideMark/>
          </w:tcPr>
          <w:p w14:paraId="36810C43" w14:textId="77777777" w:rsidR="002B519A" w:rsidRDefault="002B519A" w:rsidP="00165B0E">
            <w:pPr>
              <w:bidi w:val="0"/>
              <w:jc w:val="both"/>
              <w:rPr>
                <w:rFonts w:ascii="FrankRuehl" w:hAnsi="FrankRuehl" w:cs="FrankRuehl" w:hint="cs"/>
                <w:sz w:val="26"/>
                <w:szCs w:val="26"/>
                <w:rtl/>
              </w:rPr>
            </w:pPr>
            <w:r>
              <w:rPr>
                <w:rFonts w:ascii="FrankRuehl" w:hAnsi="FrankRuehl" w:cs="FrankRuehl" w:hint="cs"/>
                <w:sz w:val="26"/>
                <w:szCs w:val="26"/>
                <w:rtl/>
              </w:rPr>
              <w:t>21,340</w:t>
            </w:r>
          </w:p>
        </w:tc>
      </w:tr>
      <w:tr w:rsidR="002B519A" w14:paraId="7BCC90C7" w14:textId="77777777" w:rsidTr="002B519A">
        <w:trPr>
          <w:trHeight w:val="576"/>
          <w:jc w:val="center"/>
        </w:trPr>
        <w:tc>
          <w:tcPr>
            <w:tcW w:w="735" w:type="pct"/>
            <w:tcBorders>
              <w:top w:val="single" w:sz="4" w:space="0" w:color="auto"/>
              <w:left w:val="single" w:sz="4" w:space="0" w:color="auto"/>
              <w:bottom w:val="single" w:sz="4" w:space="0" w:color="auto"/>
              <w:right w:val="single" w:sz="4" w:space="0" w:color="auto"/>
            </w:tcBorders>
            <w:noWrap/>
            <w:vAlign w:val="center"/>
            <w:hideMark/>
          </w:tcPr>
          <w:p w14:paraId="5B237C19" w14:textId="77777777" w:rsidR="002B519A" w:rsidRDefault="002B519A" w:rsidP="00165B0E">
            <w:pPr>
              <w:bidi w:val="0"/>
              <w:jc w:val="both"/>
              <w:rPr>
                <w:rFonts w:ascii="FrankRuehl" w:hAnsi="FrankRuehl" w:cs="FrankRuehl" w:hint="cs"/>
                <w:sz w:val="26"/>
                <w:szCs w:val="26"/>
              </w:rPr>
            </w:pPr>
            <w:r>
              <w:rPr>
                <w:rFonts w:ascii="FrankRuehl" w:hAnsi="FrankRuehl" w:cs="FrankRuehl" w:hint="cs"/>
                <w:sz w:val="26"/>
                <w:szCs w:val="26"/>
              </w:rPr>
              <w:t>206701</w:t>
            </w:r>
          </w:p>
        </w:tc>
        <w:tc>
          <w:tcPr>
            <w:tcW w:w="2070" w:type="pct"/>
            <w:tcBorders>
              <w:top w:val="single" w:sz="4" w:space="0" w:color="auto"/>
              <w:left w:val="single" w:sz="4" w:space="0" w:color="auto"/>
              <w:bottom w:val="single" w:sz="4" w:space="0" w:color="auto"/>
              <w:right w:val="single" w:sz="4" w:space="0" w:color="auto"/>
            </w:tcBorders>
            <w:noWrap/>
            <w:vAlign w:val="center"/>
            <w:hideMark/>
          </w:tcPr>
          <w:p w14:paraId="7B5CBB65" w14:textId="77777777" w:rsidR="002B519A" w:rsidRDefault="002B519A" w:rsidP="00165B0E">
            <w:pPr>
              <w:jc w:val="both"/>
              <w:rPr>
                <w:rFonts w:ascii="FrankRuehl" w:hAnsi="FrankRuehl" w:cs="FrankRuehl" w:hint="cs"/>
                <w:sz w:val="26"/>
                <w:szCs w:val="26"/>
              </w:rPr>
            </w:pPr>
            <w:r>
              <w:rPr>
                <w:rFonts w:ascii="FrankRuehl" w:hAnsi="FrankRuehl" w:cs="FrankRuehl" w:hint="cs"/>
                <w:sz w:val="26"/>
                <w:szCs w:val="26"/>
                <w:rtl/>
              </w:rPr>
              <w:t>פעילויות ופרויקטים</w:t>
            </w:r>
          </w:p>
        </w:tc>
        <w:tc>
          <w:tcPr>
            <w:tcW w:w="1677" w:type="pct"/>
            <w:tcBorders>
              <w:top w:val="single" w:sz="4" w:space="0" w:color="auto"/>
              <w:left w:val="single" w:sz="4" w:space="0" w:color="auto"/>
              <w:bottom w:val="single" w:sz="4" w:space="0" w:color="auto"/>
              <w:right w:val="single" w:sz="4" w:space="0" w:color="auto"/>
            </w:tcBorders>
            <w:vAlign w:val="center"/>
            <w:hideMark/>
          </w:tcPr>
          <w:p w14:paraId="2F8E1C9C" w14:textId="77777777" w:rsidR="002B519A" w:rsidRDefault="002B519A" w:rsidP="00165B0E">
            <w:pPr>
              <w:jc w:val="both"/>
              <w:rPr>
                <w:rFonts w:ascii="FrankRuehl" w:hAnsi="FrankRuehl" w:cs="FrankRuehl" w:hint="cs"/>
                <w:sz w:val="26"/>
                <w:szCs w:val="26"/>
                <w:rtl/>
              </w:rPr>
            </w:pPr>
            <w:r>
              <w:rPr>
                <w:rFonts w:ascii="FrankRuehl" w:hAnsi="FrankRuehl" w:cs="FrankRuehl" w:hint="cs"/>
                <w:sz w:val="26"/>
                <w:szCs w:val="26"/>
                <w:rtl/>
              </w:rPr>
              <w:t>מערך השירות הלאומי במערכת החינוך</w:t>
            </w:r>
          </w:p>
        </w:tc>
        <w:tc>
          <w:tcPr>
            <w:tcW w:w="517" w:type="pct"/>
            <w:tcBorders>
              <w:top w:val="single" w:sz="4" w:space="0" w:color="auto"/>
              <w:left w:val="single" w:sz="4" w:space="0" w:color="auto"/>
              <w:bottom w:val="single" w:sz="4" w:space="0" w:color="auto"/>
              <w:right w:val="single" w:sz="4" w:space="0" w:color="auto"/>
            </w:tcBorders>
            <w:vAlign w:val="center"/>
            <w:hideMark/>
          </w:tcPr>
          <w:p w14:paraId="79EC5D84" w14:textId="77777777" w:rsidR="002B519A" w:rsidRDefault="002B519A" w:rsidP="00165B0E">
            <w:pPr>
              <w:bidi w:val="0"/>
              <w:jc w:val="both"/>
              <w:rPr>
                <w:rFonts w:ascii="FrankRuehl" w:hAnsi="FrankRuehl" w:cs="FrankRuehl" w:hint="cs"/>
                <w:sz w:val="26"/>
                <w:szCs w:val="26"/>
                <w:rtl/>
              </w:rPr>
            </w:pPr>
            <w:r>
              <w:rPr>
                <w:rFonts w:ascii="FrankRuehl" w:hAnsi="FrankRuehl" w:cs="FrankRuehl" w:hint="cs"/>
                <w:sz w:val="26"/>
                <w:szCs w:val="26"/>
                <w:rtl/>
              </w:rPr>
              <w:t>71,780</w:t>
            </w:r>
          </w:p>
        </w:tc>
      </w:tr>
      <w:tr w:rsidR="002B519A" w14:paraId="1A5FB135" w14:textId="77777777" w:rsidTr="002B519A">
        <w:trPr>
          <w:trHeight w:val="576"/>
          <w:jc w:val="center"/>
        </w:trPr>
        <w:tc>
          <w:tcPr>
            <w:tcW w:w="735" w:type="pct"/>
            <w:tcBorders>
              <w:top w:val="single" w:sz="4" w:space="0" w:color="auto"/>
              <w:left w:val="single" w:sz="4" w:space="0" w:color="auto"/>
              <w:bottom w:val="single" w:sz="4" w:space="0" w:color="auto"/>
              <w:right w:val="single" w:sz="4" w:space="0" w:color="auto"/>
            </w:tcBorders>
            <w:noWrap/>
            <w:vAlign w:val="center"/>
            <w:hideMark/>
          </w:tcPr>
          <w:p w14:paraId="71DB1DFF" w14:textId="77777777" w:rsidR="002B519A" w:rsidRDefault="002B519A" w:rsidP="00165B0E">
            <w:pPr>
              <w:bidi w:val="0"/>
              <w:jc w:val="both"/>
              <w:rPr>
                <w:rFonts w:ascii="FrankRuehl" w:hAnsi="FrankRuehl" w:cs="FrankRuehl" w:hint="cs"/>
                <w:sz w:val="26"/>
                <w:szCs w:val="26"/>
              </w:rPr>
            </w:pPr>
            <w:r>
              <w:rPr>
                <w:rFonts w:ascii="FrankRuehl" w:hAnsi="FrankRuehl" w:cs="FrankRuehl" w:hint="cs"/>
                <w:sz w:val="26"/>
                <w:szCs w:val="26"/>
              </w:rPr>
              <w:t>206702</w:t>
            </w:r>
          </w:p>
        </w:tc>
        <w:tc>
          <w:tcPr>
            <w:tcW w:w="2070" w:type="pct"/>
            <w:tcBorders>
              <w:top w:val="single" w:sz="4" w:space="0" w:color="auto"/>
              <w:left w:val="single" w:sz="4" w:space="0" w:color="auto"/>
              <w:bottom w:val="single" w:sz="4" w:space="0" w:color="auto"/>
              <w:right w:val="single" w:sz="4" w:space="0" w:color="auto"/>
            </w:tcBorders>
            <w:noWrap/>
            <w:vAlign w:val="center"/>
            <w:hideMark/>
          </w:tcPr>
          <w:p w14:paraId="7E1ABBA4" w14:textId="77777777" w:rsidR="002B519A" w:rsidRDefault="002B519A" w:rsidP="00165B0E">
            <w:pPr>
              <w:jc w:val="both"/>
              <w:rPr>
                <w:rFonts w:ascii="FrankRuehl" w:hAnsi="FrankRuehl" w:cs="FrankRuehl" w:hint="cs"/>
                <w:sz w:val="26"/>
                <w:szCs w:val="26"/>
                <w:rtl/>
              </w:rPr>
            </w:pPr>
            <w:r>
              <w:rPr>
                <w:rFonts w:ascii="FrankRuehl" w:hAnsi="FrankRuehl" w:cs="FrankRuehl" w:hint="cs"/>
                <w:sz w:val="26"/>
                <w:szCs w:val="26"/>
                <w:rtl/>
              </w:rPr>
              <w:t>הארכת יום הלימודים</w:t>
            </w:r>
          </w:p>
        </w:tc>
        <w:tc>
          <w:tcPr>
            <w:tcW w:w="1677" w:type="pct"/>
            <w:tcBorders>
              <w:top w:val="single" w:sz="4" w:space="0" w:color="auto"/>
              <w:left w:val="single" w:sz="4" w:space="0" w:color="auto"/>
              <w:bottom w:val="single" w:sz="4" w:space="0" w:color="auto"/>
              <w:right w:val="single" w:sz="4" w:space="0" w:color="auto"/>
            </w:tcBorders>
            <w:vAlign w:val="center"/>
            <w:hideMark/>
          </w:tcPr>
          <w:p w14:paraId="629D7418" w14:textId="77777777" w:rsidR="002B519A" w:rsidRDefault="002B519A" w:rsidP="00165B0E">
            <w:pPr>
              <w:jc w:val="both"/>
              <w:rPr>
                <w:rFonts w:ascii="FrankRuehl" w:hAnsi="FrankRuehl" w:cs="FrankRuehl" w:hint="cs"/>
                <w:sz w:val="26"/>
                <w:szCs w:val="26"/>
                <w:rtl/>
              </w:rPr>
            </w:pPr>
            <w:r>
              <w:rPr>
                <w:rFonts w:ascii="FrankRuehl" w:hAnsi="FrankRuehl" w:cs="FrankRuehl" w:hint="cs"/>
                <w:sz w:val="26"/>
                <w:szCs w:val="26"/>
                <w:rtl/>
              </w:rPr>
              <w:t>העלאת סבסוד בצהרונים ל100% במוסדות המוכשר והפטור</w:t>
            </w:r>
          </w:p>
        </w:tc>
        <w:tc>
          <w:tcPr>
            <w:tcW w:w="517" w:type="pct"/>
            <w:tcBorders>
              <w:top w:val="single" w:sz="4" w:space="0" w:color="auto"/>
              <w:left w:val="single" w:sz="4" w:space="0" w:color="auto"/>
              <w:bottom w:val="single" w:sz="4" w:space="0" w:color="auto"/>
              <w:right w:val="single" w:sz="4" w:space="0" w:color="auto"/>
            </w:tcBorders>
            <w:vAlign w:val="center"/>
            <w:hideMark/>
          </w:tcPr>
          <w:p w14:paraId="4D7B9DC0" w14:textId="77777777" w:rsidR="002B519A" w:rsidRDefault="002B519A" w:rsidP="00165B0E">
            <w:pPr>
              <w:bidi w:val="0"/>
              <w:jc w:val="both"/>
              <w:rPr>
                <w:rFonts w:ascii="FrankRuehl" w:hAnsi="FrankRuehl" w:cs="FrankRuehl" w:hint="cs"/>
                <w:sz w:val="26"/>
                <w:szCs w:val="26"/>
                <w:rtl/>
              </w:rPr>
            </w:pPr>
            <w:r>
              <w:rPr>
                <w:rFonts w:ascii="FrankRuehl" w:hAnsi="FrankRuehl" w:cs="FrankRuehl" w:hint="cs"/>
                <w:sz w:val="26"/>
                <w:szCs w:val="26"/>
                <w:rtl/>
              </w:rPr>
              <w:t>16,167</w:t>
            </w:r>
          </w:p>
        </w:tc>
      </w:tr>
      <w:tr w:rsidR="002B519A" w14:paraId="7B4EDAE8" w14:textId="77777777" w:rsidTr="002B519A">
        <w:trPr>
          <w:trHeight w:val="576"/>
          <w:jc w:val="center"/>
        </w:trPr>
        <w:tc>
          <w:tcPr>
            <w:tcW w:w="735" w:type="pct"/>
            <w:tcBorders>
              <w:top w:val="single" w:sz="4" w:space="0" w:color="auto"/>
              <w:left w:val="single" w:sz="4" w:space="0" w:color="auto"/>
              <w:bottom w:val="single" w:sz="4" w:space="0" w:color="auto"/>
              <w:right w:val="single" w:sz="4" w:space="0" w:color="auto"/>
            </w:tcBorders>
            <w:noWrap/>
            <w:vAlign w:val="center"/>
            <w:hideMark/>
          </w:tcPr>
          <w:p w14:paraId="641E0BA7" w14:textId="77777777" w:rsidR="002B519A" w:rsidRDefault="002B519A" w:rsidP="00165B0E">
            <w:pPr>
              <w:bidi w:val="0"/>
              <w:jc w:val="both"/>
              <w:rPr>
                <w:rFonts w:ascii="FrankRuehl" w:hAnsi="FrankRuehl" w:cs="FrankRuehl" w:hint="cs"/>
                <w:sz w:val="26"/>
                <w:szCs w:val="26"/>
                <w:rtl/>
              </w:rPr>
            </w:pPr>
            <w:r>
              <w:rPr>
                <w:rFonts w:ascii="FrankRuehl" w:hAnsi="FrankRuehl" w:cs="FrankRuehl" w:hint="cs"/>
                <w:sz w:val="26"/>
                <w:szCs w:val="26"/>
              </w:rPr>
              <w:t>206703</w:t>
            </w:r>
          </w:p>
        </w:tc>
        <w:tc>
          <w:tcPr>
            <w:tcW w:w="2070" w:type="pct"/>
            <w:tcBorders>
              <w:top w:val="single" w:sz="4" w:space="0" w:color="auto"/>
              <w:left w:val="single" w:sz="4" w:space="0" w:color="auto"/>
              <w:bottom w:val="single" w:sz="4" w:space="0" w:color="auto"/>
              <w:right w:val="single" w:sz="4" w:space="0" w:color="auto"/>
            </w:tcBorders>
            <w:noWrap/>
            <w:vAlign w:val="center"/>
            <w:hideMark/>
          </w:tcPr>
          <w:p w14:paraId="6FB1F7DB" w14:textId="77777777" w:rsidR="002B519A" w:rsidRDefault="002B519A" w:rsidP="00165B0E">
            <w:pPr>
              <w:jc w:val="both"/>
              <w:rPr>
                <w:rFonts w:ascii="FrankRuehl" w:hAnsi="FrankRuehl" w:cs="FrankRuehl" w:hint="cs"/>
                <w:sz w:val="26"/>
                <w:szCs w:val="26"/>
              </w:rPr>
            </w:pPr>
            <w:r>
              <w:rPr>
                <w:rFonts w:ascii="FrankRuehl" w:hAnsi="FrankRuehl" w:cs="FrankRuehl" w:hint="cs"/>
                <w:sz w:val="26"/>
                <w:szCs w:val="26"/>
                <w:rtl/>
              </w:rPr>
              <w:t>מנהל החינוך הדתי</w:t>
            </w:r>
          </w:p>
        </w:tc>
        <w:tc>
          <w:tcPr>
            <w:tcW w:w="1677" w:type="pct"/>
            <w:tcBorders>
              <w:top w:val="single" w:sz="4" w:space="0" w:color="auto"/>
              <w:left w:val="single" w:sz="4" w:space="0" w:color="auto"/>
              <w:bottom w:val="single" w:sz="4" w:space="0" w:color="auto"/>
              <w:right w:val="single" w:sz="4" w:space="0" w:color="auto"/>
            </w:tcBorders>
            <w:vAlign w:val="center"/>
            <w:hideMark/>
          </w:tcPr>
          <w:p w14:paraId="197E85DF" w14:textId="77777777" w:rsidR="002B519A" w:rsidRDefault="002B519A" w:rsidP="00165B0E">
            <w:pPr>
              <w:jc w:val="both"/>
              <w:rPr>
                <w:rFonts w:ascii="FrankRuehl" w:hAnsi="FrankRuehl" w:cs="FrankRuehl" w:hint="cs"/>
                <w:sz w:val="26"/>
                <w:szCs w:val="26"/>
                <w:rtl/>
              </w:rPr>
            </w:pPr>
            <w:r>
              <w:rPr>
                <w:rFonts w:ascii="FrankRuehl" w:hAnsi="FrankRuehl" w:cs="FrankRuehl" w:hint="cs"/>
                <w:sz w:val="26"/>
                <w:szCs w:val="26"/>
                <w:rtl/>
              </w:rPr>
              <w:t xml:space="preserve">מאפיינים </w:t>
            </w:r>
            <w:proofErr w:type="spellStart"/>
            <w:r>
              <w:rPr>
                <w:rFonts w:ascii="FrankRuehl" w:hAnsi="FrankRuehl" w:cs="FrankRuehl" w:hint="cs"/>
                <w:sz w:val="26"/>
                <w:szCs w:val="26"/>
                <w:rtl/>
              </w:rPr>
              <w:t>יחודיים</w:t>
            </w:r>
            <w:proofErr w:type="spellEnd"/>
            <w:r>
              <w:rPr>
                <w:rFonts w:ascii="FrankRuehl" w:hAnsi="FrankRuehl" w:cs="FrankRuehl" w:hint="cs"/>
                <w:sz w:val="26"/>
                <w:szCs w:val="26"/>
                <w:rtl/>
              </w:rPr>
              <w:t xml:space="preserve"> של </w:t>
            </w:r>
            <w:proofErr w:type="spellStart"/>
            <w:r>
              <w:rPr>
                <w:rFonts w:ascii="FrankRuehl" w:hAnsi="FrankRuehl" w:cs="FrankRuehl" w:hint="cs"/>
                <w:sz w:val="26"/>
                <w:szCs w:val="26"/>
                <w:rtl/>
              </w:rPr>
              <w:t>החמ"ד</w:t>
            </w:r>
            <w:proofErr w:type="spellEnd"/>
          </w:p>
        </w:tc>
        <w:tc>
          <w:tcPr>
            <w:tcW w:w="517" w:type="pct"/>
            <w:tcBorders>
              <w:top w:val="single" w:sz="4" w:space="0" w:color="auto"/>
              <w:left w:val="single" w:sz="4" w:space="0" w:color="auto"/>
              <w:bottom w:val="single" w:sz="4" w:space="0" w:color="auto"/>
              <w:right w:val="single" w:sz="4" w:space="0" w:color="auto"/>
            </w:tcBorders>
            <w:vAlign w:val="center"/>
            <w:hideMark/>
          </w:tcPr>
          <w:p w14:paraId="25E2727D" w14:textId="77777777" w:rsidR="002B519A" w:rsidRDefault="002B519A" w:rsidP="00165B0E">
            <w:pPr>
              <w:bidi w:val="0"/>
              <w:jc w:val="both"/>
              <w:rPr>
                <w:rFonts w:ascii="FrankRuehl" w:hAnsi="FrankRuehl" w:cs="FrankRuehl" w:hint="cs"/>
                <w:sz w:val="26"/>
                <w:szCs w:val="26"/>
                <w:rtl/>
              </w:rPr>
            </w:pPr>
            <w:r>
              <w:rPr>
                <w:rFonts w:ascii="FrankRuehl" w:hAnsi="FrankRuehl" w:cs="FrankRuehl" w:hint="cs"/>
                <w:sz w:val="26"/>
                <w:szCs w:val="26"/>
                <w:rtl/>
              </w:rPr>
              <w:t>30,366</w:t>
            </w:r>
          </w:p>
        </w:tc>
      </w:tr>
      <w:tr w:rsidR="002B519A" w14:paraId="2000D1D6" w14:textId="77777777" w:rsidTr="002B519A">
        <w:trPr>
          <w:trHeight w:val="576"/>
          <w:jc w:val="center"/>
        </w:trPr>
        <w:tc>
          <w:tcPr>
            <w:tcW w:w="735" w:type="pct"/>
            <w:tcBorders>
              <w:top w:val="single" w:sz="4" w:space="0" w:color="auto"/>
              <w:left w:val="single" w:sz="4" w:space="0" w:color="auto"/>
              <w:bottom w:val="single" w:sz="4" w:space="0" w:color="auto"/>
              <w:right w:val="single" w:sz="4" w:space="0" w:color="auto"/>
            </w:tcBorders>
            <w:noWrap/>
            <w:vAlign w:val="center"/>
            <w:hideMark/>
          </w:tcPr>
          <w:p w14:paraId="1B30EAA6" w14:textId="77777777" w:rsidR="002B519A" w:rsidRDefault="002B519A" w:rsidP="00165B0E">
            <w:pPr>
              <w:bidi w:val="0"/>
              <w:jc w:val="both"/>
              <w:rPr>
                <w:rFonts w:ascii="FrankRuehl" w:hAnsi="FrankRuehl" w:cs="FrankRuehl" w:hint="cs"/>
                <w:sz w:val="26"/>
                <w:szCs w:val="26"/>
                <w:rtl/>
              </w:rPr>
            </w:pPr>
            <w:r>
              <w:rPr>
                <w:rFonts w:ascii="FrankRuehl" w:hAnsi="FrankRuehl" w:cs="FrankRuehl" w:hint="cs"/>
                <w:sz w:val="26"/>
                <w:szCs w:val="26"/>
              </w:rPr>
              <w:t>206801</w:t>
            </w:r>
          </w:p>
        </w:tc>
        <w:tc>
          <w:tcPr>
            <w:tcW w:w="2070" w:type="pct"/>
            <w:tcBorders>
              <w:top w:val="single" w:sz="4" w:space="0" w:color="auto"/>
              <w:left w:val="single" w:sz="4" w:space="0" w:color="auto"/>
              <w:bottom w:val="single" w:sz="4" w:space="0" w:color="auto"/>
              <w:right w:val="single" w:sz="4" w:space="0" w:color="auto"/>
            </w:tcBorders>
            <w:noWrap/>
            <w:vAlign w:val="center"/>
            <w:hideMark/>
          </w:tcPr>
          <w:p w14:paraId="3EA6993A" w14:textId="77777777" w:rsidR="002B519A" w:rsidRDefault="002B519A" w:rsidP="00165B0E">
            <w:pPr>
              <w:jc w:val="both"/>
              <w:rPr>
                <w:rFonts w:ascii="FrankRuehl" w:hAnsi="FrankRuehl" w:cs="FrankRuehl" w:hint="cs"/>
                <w:sz w:val="26"/>
                <w:szCs w:val="26"/>
              </w:rPr>
            </w:pPr>
            <w:r>
              <w:rPr>
                <w:rFonts w:ascii="FrankRuehl" w:hAnsi="FrankRuehl" w:cs="FrankRuehl" w:hint="cs"/>
                <w:sz w:val="26"/>
                <w:szCs w:val="26"/>
                <w:rtl/>
              </w:rPr>
              <w:t>תנאי שירות והכשרת עובדי הוראה</w:t>
            </w:r>
          </w:p>
        </w:tc>
        <w:tc>
          <w:tcPr>
            <w:tcW w:w="1677" w:type="pct"/>
            <w:tcBorders>
              <w:top w:val="single" w:sz="4" w:space="0" w:color="auto"/>
              <w:left w:val="single" w:sz="4" w:space="0" w:color="auto"/>
              <w:bottom w:val="single" w:sz="4" w:space="0" w:color="auto"/>
              <w:right w:val="single" w:sz="4" w:space="0" w:color="auto"/>
            </w:tcBorders>
            <w:vAlign w:val="center"/>
            <w:hideMark/>
          </w:tcPr>
          <w:p w14:paraId="18512562" w14:textId="77777777" w:rsidR="002B519A" w:rsidRDefault="002B519A" w:rsidP="00165B0E">
            <w:pPr>
              <w:jc w:val="both"/>
              <w:rPr>
                <w:rFonts w:ascii="FrankRuehl" w:hAnsi="FrankRuehl" w:cs="FrankRuehl" w:hint="cs"/>
                <w:sz w:val="26"/>
                <w:szCs w:val="26"/>
                <w:rtl/>
              </w:rPr>
            </w:pPr>
            <w:r>
              <w:rPr>
                <w:rFonts w:ascii="FrankRuehl" w:hAnsi="FrankRuehl" w:cs="FrankRuehl" w:hint="cs"/>
                <w:sz w:val="26"/>
                <w:szCs w:val="26"/>
                <w:rtl/>
              </w:rPr>
              <w:t>תגבור פעולות בסמינרים לעובדי הוראה</w:t>
            </w:r>
          </w:p>
        </w:tc>
        <w:tc>
          <w:tcPr>
            <w:tcW w:w="517" w:type="pct"/>
            <w:tcBorders>
              <w:top w:val="single" w:sz="4" w:space="0" w:color="auto"/>
              <w:left w:val="single" w:sz="4" w:space="0" w:color="auto"/>
              <w:bottom w:val="single" w:sz="4" w:space="0" w:color="auto"/>
              <w:right w:val="single" w:sz="4" w:space="0" w:color="auto"/>
            </w:tcBorders>
            <w:vAlign w:val="center"/>
            <w:hideMark/>
          </w:tcPr>
          <w:p w14:paraId="7C13D5DF" w14:textId="77777777" w:rsidR="002B519A" w:rsidRDefault="002B519A" w:rsidP="00165B0E">
            <w:pPr>
              <w:bidi w:val="0"/>
              <w:jc w:val="both"/>
              <w:rPr>
                <w:rFonts w:ascii="FrankRuehl" w:hAnsi="FrankRuehl" w:cs="FrankRuehl" w:hint="cs"/>
                <w:sz w:val="26"/>
                <w:szCs w:val="26"/>
                <w:rtl/>
              </w:rPr>
            </w:pPr>
            <w:r>
              <w:rPr>
                <w:rFonts w:ascii="FrankRuehl" w:hAnsi="FrankRuehl" w:cs="FrankRuehl" w:hint="cs"/>
                <w:sz w:val="26"/>
                <w:szCs w:val="26"/>
                <w:rtl/>
              </w:rPr>
              <w:t>57,327</w:t>
            </w:r>
          </w:p>
        </w:tc>
      </w:tr>
      <w:tr w:rsidR="002B519A" w14:paraId="1BAAB0A5" w14:textId="77777777" w:rsidTr="002B519A">
        <w:trPr>
          <w:trHeight w:val="576"/>
          <w:jc w:val="center"/>
        </w:trPr>
        <w:tc>
          <w:tcPr>
            <w:tcW w:w="735" w:type="pct"/>
            <w:tcBorders>
              <w:top w:val="single" w:sz="4" w:space="0" w:color="auto"/>
              <w:left w:val="single" w:sz="4" w:space="0" w:color="auto"/>
              <w:bottom w:val="single" w:sz="4" w:space="0" w:color="auto"/>
              <w:right w:val="single" w:sz="4" w:space="0" w:color="auto"/>
            </w:tcBorders>
            <w:noWrap/>
            <w:hideMark/>
          </w:tcPr>
          <w:p w14:paraId="5A7EC21A" w14:textId="77777777" w:rsidR="002B519A" w:rsidRDefault="002B519A" w:rsidP="00165B0E">
            <w:pPr>
              <w:bidi w:val="0"/>
              <w:jc w:val="both"/>
              <w:rPr>
                <w:rFonts w:ascii="FrankRuehl" w:hAnsi="FrankRuehl" w:cs="FrankRuehl" w:hint="cs"/>
                <w:sz w:val="26"/>
                <w:szCs w:val="26"/>
                <w:rtl/>
              </w:rPr>
            </w:pPr>
            <w:r>
              <w:rPr>
                <w:rFonts w:ascii="FrankRuehl" w:hAnsi="FrankRuehl" w:cs="FrankRuehl" w:hint="cs"/>
                <w:sz w:val="26"/>
                <w:szCs w:val="26"/>
              </w:rPr>
              <w:t>206901</w:t>
            </w:r>
          </w:p>
        </w:tc>
        <w:tc>
          <w:tcPr>
            <w:tcW w:w="2070" w:type="pct"/>
            <w:tcBorders>
              <w:top w:val="single" w:sz="4" w:space="0" w:color="auto"/>
              <w:left w:val="single" w:sz="4" w:space="0" w:color="auto"/>
              <w:bottom w:val="single" w:sz="4" w:space="0" w:color="auto"/>
              <w:right w:val="single" w:sz="4" w:space="0" w:color="auto"/>
            </w:tcBorders>
            <w:noWrap/>
            <w:vAlign w:val="center"/>
            <w:hideMark/>
          </w:tcPr>
          <w:p w14:paraId="4BE94499" w14:textId="77777777" w:rsidR="002B519A" w:rsidRDefault="002B519A" w:rsidP="00165B0E">
            <w:pPr>
              <w:jc w:val="both"/>
              <w:rPr>
                <w:rFonts w:ascii="FrankRuehl" w:hAnsi="FrankRuehl" w:cs="FrankRuehl" w:hint="cs"/>
                <w:sz w:val="26"/>
                <w:szCs w:val="26"/>
              </w:rPr>
            </w:pPr>
            <w:r>
              <w:rPr>
                <w:rFonts w:ascii="FrankRuehl" w:hAnsi="FrankRuehl" w:cs="FrankRuehl" w:hint="cs"/>
                <w:sz w:val="26"/>
                <w:szCs w:val="26"/>
                <w:rtl/>
              </w:rPr>
              <w:t>תרבות יהודית</w:t>
            </w:r>
          </w:p>
        </w:tc>
        <w:tc>
          <w:tcPr>
            <w:tcW w:w="1677" w:type="pct"/>
            <w:tcBorders>
              <w:top w:val="single" w:sz="4" w:space="0" w:color="auto"/>
              <w:left w:val="single" w:sz="4" w:space="0" w:color="auto"/>
              <w:bottom w:val="single" w:sz="4" w:space="0" w:color="auto"/>
              <w:right w:val="single" w:sz="4" w:space="0" w:color="auto"/>
            </w:tcBorders>
            <w:vAlign w:val="center"/>
            <w:hideMark/>
          </w:tcPr>
          <w:p w14:paraId="4EF983AA" w14:textId="77777777" w:rsidR="002B519A" w:rsidRDefault="002B519A" w:rsidP="00165B0E">
            <w:pPr>
              <w:jc w:val="both"/>
              <w:rPr>
                <w:rFonts w:ascii="FrankRuehl" w:hAnsi="FrankRuehl" w:cs="FrankRuehl" w:hint="cs"/>
                <w:sz w:val="26"/>
                <w:szCs w:val="26"/>
                <w:rtl/>
              </w:rPr>
            </w:pPr>
            <w:r>
              <w:rPr>
                <w:rFonts w:ascii="FrankRuehl" w:hAnsi="FrankRuehl" w:cs="FrankRuehl" w:hint="cs"/>
                <w:sz w:val="26"/>
                <w:szCs w:val="26"/>
                <w:rtl/>
              </w:rPr>
              <w:t>תמיכה בתרבות יהודית חרדית</w:t>
            </w:r>
          </w:p>
        </w:tc>
        <w:tc>
          <w:tcPr>
            <w:tcW w:w="517" w:type="pct"/>
            <w:tcBorders>
              <w:top w:val="single" w:sz="4" w:space="0" w:color="auto"/>
              <w:left w:val="single" w:sz="4" w:space="0" w:color="auto"/>
              <w:bottom w:val="single" w:sz="4" w:space="0" w:color="auto"/>
              <w:right w:val="single" w:sz="4" w:space="0" w:color="auto"/>
            </w:tcBorders>
            <w:vAlign w:val="center"/>
            <w:hideMark/>
          </w:tcPr>
          <w:p w14:paraId="553CE1AE" w14:textId="77777777" w:rsidR="002B519A" w:rsidRDefault="002B519A" w:rsidP="00165B0E">
            <w:pPr>
              <w:bidi w:val="0"/>
              <w:jc w:val="both"/>
              <w:rPr>
                <w:rFonts w:ascii="FrankRuehl" w:hAnsi="FrankRuehl" w:cs="FrankRuehl" w:hint="cs"/>
                <w:sz w:val="26"/>
                <w:szCs w:val="26"/>
                <w:rtl/>
              </w:rPr>
            </w:pPr>
            <w:r>
              <w:rPr>
                <w:rFonts w:ascii="FrankRuehl" w:hAnsi="FrankRuehl" w:cs="FrankRuehl" w:hint="cs"/>
                <w:sz w:val="26"/>
                <w:szCs w:val="26"/>
                <w:rtl/>
              </w:rPr>
              <w:t>12,540</w:t>
            </w:r>
          </w:p>
        </w:tc>
      </w:tr>
      <w:tr w:rsidR="002B519A" w14:paraId="028058B4" w14:textId="77777777" w:rsidTr="002B519A">
        <w:trPr>
          <w:trHeight w:val="576"/>
          <w:jc w:val="center"/>
        </w:trPr>
        <w:tc>
          <w:tcPr>
            <w:tcW w:w="735" w:type="pct"/>
            <w:tcBorders>
              <w:top w:val="single" w:sz="4" w:space="0" w:color="auto"/>
              <w:left w:val="single" w:sz="4" w:space="0" w:color="auto"/>
              <w:bottom w:val="single" w:sz="4" w:space="0" w:color="auto"/>
              <w:right w:val="single" w:sz="4" w:space="0" w:color="auto"/>
            </w:tcBorders>
            <w:noWrap/>
            <w:hideMark/>
          </w:tcPr>
          <w:p w14:paraId="7E477B03" w14:textId="77777777" w:rsidR="002B519A" w:rsidRDefault="002B519A" w:rsidP="00165B0E">
            <w:pPr>
              <w:bidi w:val="0"/>
              <w:jc w:val="both"/>
              <w:rPr>
                <w:rFonts w:ascii="FrankRuehl" w:hAnsi="FrankRuehl" w:cs="FrankRuehl" w:hint="cs"/>
                <w:sz w:val="26"/>
                <w:szCs w:val="26"/>
                <w:rtl/>
              </w:rPr>
            </w:pPr>
            <w:r>
              <w:rPr>
                <w:rFonts w:ascii="FrankRuehl" w:hAnsi="FrankRuehl" w:cs="FrankRuehl" w:hint="cs"/>
                <w:sz w:val="26"/>
                <w:szCs w:val="26"/>
                <w:rtl/>
              </w:rPr>
              <w:t>206902</w:t>
            </w:r>
          </w:p>
        </w:tc>
        <w:tc>
          <w:tcPr>
            <w:tcW w:w="2070" w:type="pct"/>
            <w:tcBorders>
              <w:top w:val="single" w:sz="4" w:space="0" w:color="auto"/>
              <w:left w:val="single" w:sz="4" w:space="0" w:color="auto"/>
              <w:bottom w:val="single" w:sz="4" w:space="0" w:color="auto"/>
              <w:right w:val="single" w:sz="4" w:space="0" w:color="auto"/>
            </w:tcBorders>
            <w:noWrap/>
            <w:vAlign w:val="center"/>
            <w:hideMark/>
          </w:tcPr>
          <w:p w14:paraId="17471076" w14:textId="77777777" w:rsidR="002B519A" w:rsidRDefault="002B519A" w:rsidP="00165B0E">
            <w:pPr>
              <w:jc w:val="both"/>
              <w:rPr>
                <w:rFonts w:ascii="FrankRuehl" w:hAnsi="FrankRuehl" w:cs="FrankRuehl" w:hint="cs"/>
                <w:sz w:val="26"/>
                <w:szCs w:val="26"/>
                <w:rtl/>
              </w:rPr>
            </w:pPr>
            <w:r>
              <w:rPr>
                <w:rFonts w:ascii="FrankRuehl" w:hAnsi="FrankRuehl" w:cs="FrankRuehl" w:hint="cs"/>
                <w:sz w:val="26"/>
                <w:szCs w:val="26"/>
                <w:rtl/>
              </w:rPr>
              <w:t>מוסדות תורניים</w:t>
            </w:r>
          </w:p>
        </w:tc>
        <w:tc>
          <w:tcPr>
            <w:tcW w:w="1677" w:type="pct"/>
            <w:tcBorders>
              <w:top w:val="single" w:sz="4" w:space="0" w:color="auto"/>
              <w:left w:val="single" w:sz="4" w:space="0" w:color="auto"/>
              <w:bottom w:val="single" w:sz="4" w:space="0" w:color="auto"/>
              <w:right w:val="single" w:sz="4" w:space="0" w:color="auto"/>
            </w:tcBorders>
            <w:vAlign w:val="center"/>
            <w:hideMark/>
          </w:tcPr>
          <w:p w14:paraId="1C4F47C6" w14:textId="77777777" w:rsidR="002B519A" w:rsidRDefault="002B519A" w:rsidP="00165B0E">
            <w:pPr>
              <w:jc w:val="both"/>
              <w:rPr>
                <w:rFonts w:ascii="FrankRuehl" w:hAnsi="FrankRuehl" w:cs="FrankRuehl" w:hint="cs"/>
                <w:sz w:val="26"/>
                <w:szCs w:val="26"/>
                <w:rtl/>
              </w:rPr>
            </w:pPr>
            <w:r>
              <w:rPr>
                <w:rFonts w:ascii="FrankRuehl" w:hAnsi="FrankRuehl" w:cs="FrankRuehl" w:hint="cs"/>
                <w:sz w:val="26"/>
                <w:szCs w:val="26"/>
                <w:rtl/>
              </w:rPr>
              <w:t>תמיכה עבור תלמידי ישיבות הסדר, ישיבות מעודדות גיוס</w:t>
            </w:r>
          </w:p>
        </w:tc>
        <w:tc>
          <w:tcPr>
            <w:tcW w:w="517" w:type="pct"/>
            <w:tcBorders>
              <w:top w:val="single" w:sz="4" w:space="0" w:color="auto"/>
              <w:left w:val="single" w:sz="4" w:space="0" w:color="auto"/>
              <w:bottom w:val="single" w:sz="4" w:space="0" w:color="auto"/>
              <w:right w:val="single" w:sz="4" w:space="0" w:color="auto"/>
            </w:tcBorders>
            <w:vAlign w:val="center"/>
            <w:hideMark/>
          </w:tcPr>
          <w:p w14:paraId="288146A8" w14:textId="77777777" w:rsidR="002B519A" w:rsidRDefault="002B519A" w:rsidP="00165B0E">
            <w:pPr>
              <w:bidi w:val="0"/>
              <w:jc w:val="both"/>
              <w:rPr>
                <w:rFonts w:ascii="FrankRuehl" w:hAnsi="FrankRuehl" w:cs="FrankRuehl" w:hint="cs"/>
                <w:sz w:val="26"/>
                <w:szCs w:val="26"/>
                <w:rtl/>
              </w:rPr>
            </w:pPr>
            <w:r>
              <w:rPr>
                <w:rFonts w:ascii="FrankRuehl" w:hAnsi="FrankRuehl" w:cs="FrankRuehl" w:hint="cs"/>
                <w:sz w:val="26"/>
                <w:szCs w:val="26"/>
                <w:rtl/>
              </w:rPr>
              <w:t>8,730</w:t>
            </w:r>
          </w:p>
        </w:tc>
      </w:tr>
      <w:tr w:rsidR="002B519A" w14:paraId="7AECA310" w14:textId="77777777" w:rsidTr="002B519A">
        <w:trPr>
          <w:trHeight w:val="576"/>
          <w:jc w:val="center"/>
        </w:trPr>
        <w:tc>
          <w:tcPr>
            <w:tcW w:w="735" w:type="pct"/>
            <w:tcBorders>
              <w:top w:val="single" w:sz="4" w:space="0" w:color="auto"/>
              <w:left w:val="single" w:sz="4" w:space="0" w:color="auto"/>
              <w:bottom w:val="single" w:sz="4" w:space="0" w:color="auto"/>
              <w:right w:val="single" w:sz="4" w:space="0" w:color="auto"/>
            </w:tcBorders>
            <w:noWrap/>
            <w:hideMark/>
          </w:tcPr>
          <w:p w14:paraId="10D79150" w14:textId="77777777" w:rsidR="002B519A" w:rsidRDefault="002B519A" w:rsidP="00165B0E">
            <w:pPr>
              <w:bidi w:val="0"/>
              <w:jc w:val="both"/>
              <w:rPr>
                <w:rFonts w:ascii="FrankRuehl" w:hAnsi="FrankRuehl" w:cs="FrankRuehl" w:hint="cs"/>
                <w:sz w:val="26"/>
                <w:szCs w:val="26"/>
                <w:rtl/>
              </w:rPr>
            </w:pPr>
            <w:r>
              <w:rPr>
                <w:rFonts w:ascii="FrankRuehl" w:hAnsi="FrankRuehl" w:cs="FrankRuehl" w:hint="cs"/>
                <w:sz w:val="26"/>
                <w:szCs w:val="26"/>
                <w:rtl/>
              </w:rPr>
              <w:t>206902</w:t>
            </w:r>
          </w:p>
        </w:tc>
        <w:tc>
          <w:tcPr>
            <w:tcW w:w="2070" w:type="pct"/>
            <w:tcBorders>
              <w:top w:val="single" w:sz="4" w:space="0" w:color="auto"/>
              <w:left w:val="single" w:sz="4" w:space="0" w:color="auto"/>
              <w:bottom w:val="single" w:sz="4" w:space="0" w:color="auto"/>
              <w:right w:val="single" w:sz="4" w:space="0" w:color="auto"/>
            </w:tcBorders>
            <w:noWrap/>
            <w:vAlign w:val="center"/>
            <w:hideMark/>
          </w:tcPr>
          <w:p w14:paraId="38EE6C14" w14:textId="77777777" w:rsidR="002B519A" w:rsidRDefault="002B519A" w:rsidP="00165B0E">
            <w:pPr>
              <w:jc w:val="both"/>
              <w:rPr>
                <w:rFonts w:ascii="FrankRuehl" w:hAnsi="FrankRuehl" w:cs="FrankRuehl" w:hint="cs"/>
                <w:sz w:val="26"/>
                <w:szCs w:val="26"/>
                <w:rtl/>
              </w:rPr>
            </w:pPr>
            <w:r>
              <w:rPr>
                <w:rFonts w:ascii="FrankRuehl" w:hAnsi="FrankRuehl" w:cs="FrankRuehl" w:hint="cs"/>
                <w:sz w:val="26"/>
                <w:szCs w:val="26"/>
                <w:rtl/>
              </w:rPr>
              <w:t>מוסדות תורניים</w:t>
            </w:r>
          </w:p>
        </w:tc>
        <w:tc>
          <w:tcPr>
            <w:tcW w:w="1677" w:type="pct"/>
            <w:tcBorders>
              <w:top w:val="single" w:sz="4" w:space="0" w:color="auto"/>
              <w:left w:val="single" w:sz="4" w:space="0" w:color="auto"/>
              <w:bottom w:val="single" w:sz="4" w:space="0" w:color="auto"/>
              <w:right w:val="single" w:sz="4" w:space="0" w:color="auto"/>
            </w:tcBorders>
            <w:vAlign w:val="center"/>
            <w:hideMark/>
          </w:tcPr>
          <w:p w14:paraId="2DB506B8" w14:textId="77777777" w:rsidR="002B519A" w:rsidRDefault="002B519A" w:rsidP="00165B0E">
            <w:pPr>
              <w:jc w:val="both"/>
              <w:rPr>
                <w:rFonts w:ascii="FrankRuehl" w:hAnsi="FrankRuehl" w:cs="FrankRuehl" w:hint="cs"/>
                <w:sz w:val="26"/>
                <w:szCs w:val="26"/>
                <w:rtl/>
              </w:rPr>
            </w:pPr>
            <w:r>
              <w:rPr>
                <w:rFonts w:ascii="FrankRuehl" w:hAnsi="FrankRuehl" w:cs="FrankRuehl" w:hint="cs"/>
                <w:sz w:val="26"/>
                <w:szCs w:val="26"/>
                <w:rtl/>
              </w:rPr>
              <w:t>הרחבת תמיכה במוסדות התורניים שהם ישיבות לפי 22ב' לחוק שירות ביטחון וישיבות המעודדות לשירות צבאי</w:t>
            </w:r>
          </w:p>
        </w:tc>
        <w:tc>
          <w:tcPr>
            <w:tcW w:w="517" w:type="pct"/>
            <w:tcBorders>
              <w:top w:val="single" w:sz="4" w:space="0" w:color="auto"/>
              <w:left w:val="single" w:sz="4" w:space="0" w:color="auto"/>
              <w:bottom w:val="single" w:sz="4" w:space="0" w:color="auto"/>
              <w:right w:val="single" w:sz="4" w:space="0" w:color="auto"/>
            </w:tcBorders>
            <w:vAlign w:val="center"/>
            <w:hideMark/>
          </w:tcPr>
          <w:p w14:paraId="14CF9750" w14:textId="77777777" w:rsidR="002B519A" w:rsidRDefault="002B519A" w:rsidP="00165B0E">
            <w:pPr>
              <w:bidi w:val="0"/>
              <w:jc w:val="both"/>
              <w:rPr>
                <w:rFonts w:ascii="FrankRuehl" w:hAnsi="FrankRuehl" w:cs="FrankRuehl" w:hint="cs"/>
                <w:sz w:val="26"/>
                <w:szCs w:val="26"/>
                <w:rtl/>
              </w:rPr>
            </w:pPr>
            <w:r>
              <w:rPr>
                <w:rFonts w:ascii="FrankRuehl" w:hAnsi="FrankRuehl" w:cs="FrankRuehl" w:hint="cs"/>
                <w:sz w:val="26"/>
                <w:szCs w:val="26"/>
                <w:rtl/>
              </w:rPr>
              <w:t>4,275</w:t>
            </w:r>
          </w:p>
        </w:tc>
      </w:tr>
      <w:tr w:rsidR="002B519A" w14:paraId="100C8C63" w14:textId="77777777" w:rsidTr="002B519A">
        <w:trPr>
          <w:trHeight w:val="576"/>
          <w:jc w:val="center"/>
        </w:trPr>
        <w:tc>
          <w:tcPr>
            <w:tcW w:w="735" w:type="pct"/>
            <w:tcBorders>
              <w:top w:val="single" w:sz="4" w:space="0" w:color="auto"/>
              <w:left w:val="single" w:sz="4" w:space="0" w:color="auto"/>
              <w:bottom w:val="single" w:sz="4" w:space="0" w:color="auto"/>
              <w:right w:val="single" w:sz="4" w:space="0" w:color="auto"/>
            </w:tcBorders>
            <w:noWrap/>
            <w:hideMark/>
          </w:tcPr>
          <w:p w14:paraId="63389632" w14:textId="77777777" w:rsidR="002B519A" w:rsidRDefault="002B519A" w:rsidP="00165B0E">
            <w:pPr>
              <w:bidi w:val="0"/>
              <w:jc w:val="both"/>
              <w:rPr>
                <w:rFonts w:ascii="FrankRuehl" w:hAnsi="FrankRuehl" w:cs="FrankRuehl" w:hint="cs"/>
                <w:sz w:val="26"/>
                <w:szCs w:val="26"/>
                <w:rtl/>
              </w:rPr>
            </w:pPr>
            <w:r>
              <w:rPr>
                <w:rFonts w:ascii="FrankRuehl" w:hAnsi="FrankRuehl" w:cs="FrankRuehl" w:hint="cs"/>
                <w:sz w:val="26"/>
                <w:szCs w:val="26"/>
                <w:rtl/>
              </w:rPr>
              <w:t>206902</w:t>
            </w:r>
          </w:p>
        </w:tc>
        <w:tc>
          <w:tcPr>
            <w:tcW w:w="2070" w:type="pct"/>
            <w:tcBorders>
              <w:top w:val="single" w:sz="4" w:space="0" w:color="auto"/>
              <w:left w:val="single" w:sz="4" w:space="0" w:color="auto"/>
              <w:bottom w:val="single" w:sz="4" w:space="0" w:color="auto"/>
              <w:right w:val="single" w:sz="4" w:space="0" w:color="auto"/>
            </w:tcBorders>
            <w:noWrap/>
            <w:vAlign w:val="center"/>
            <w:hideMark/>
          </w:tcPr>
          <w:p w14:paraId="0CE6DFE6" w14:textId="77777777" w:rsidR="002B519A" w:rsidRDefault="002B519A" w:rsidP="00165B0E">
            <w:pPr>
              <w:jc w:val="both"/>
              <w:rPr>
                <w:rFonts w:ascii="FrankRuehl" w:hAnsi="FrankRuehl" w:cs="FrankRuehl" w:hint="cs"/>
                <w:sz w:val="26"/>
                <w:szCs w:val="26"/>
                <w:rtl/>
              </w:rPr>
            </w:pPr>
            <w:r>
              <w:rPr>
                <w:rFonts w:ascii="FrankRuehl" w:hAnsi="FrankRuehl" w:cs="FrankRuehl" w:hint="cs"/>
                <w:sz w:val="26"/>
                <w:szCs w:val="26"/>
                <w:rtl/>
              </w:rPr>
              <w:t>מוסדות תורניים</w:t>
            </w:r>
          </w:p>
        </w:tc>
        <w:tc>
          <w:tcPr>
            <w:tcW w:w="1677" w:type="pct"/>
            <w:tcBorders>
              <w:top w:val="single" w:sz="4" w:space="0" w:color="auto"/>
              <w:left w:val="single" w:sz="4" w:space="0" w:color="auto"/>
              <w:bottom w:val="single" w:sz="4" w:space="0" w:color="auto"/>
              <w:right w:val="single" w:sz="4" w:space="0" w:color="auto"/>
            </w:tcBorders>
            <w:vAlign w:val="center"/>
            <w:hideMark/>
          </w:tcPr>
          <w:p w14:paraId="102824F8" w14:textId="77777777" w:rsidR="002B519A" w:rsidRDefault="002B519A" w:rsidP="00165B0E">
            <w:pPr>
              <w:jc w:val="both"/>
              <w:rPr>
                <w:rFonts w:ascii="FrankRuehl" w:hAnsi="FrankRuehl" w:cs="FrankRuehl" w:hint="cs"/>
                <w:sz w:val="26"/>
                <w:szCs w:val="26"/>
                <w:rtl/>
              </w:rPr>
            </w:pPr>
            <w:r>
              <w:rPr>
                <w:rFonts w:ascii="FrankRuehl" w:hAnsi="FrankRuehl" w:cs="FrankRuehl" w:hint="cs"/>
                <w:sz w:val="26"/>
                <w:szCs w:val="26"/>
                <w:rtl/>
              </w:rPr>
              <w:t>תוספת תמיכה עבור מוסדות תורניים מסוימים הפועלים בחבל תקומה ואזורי עדיפות נוספים לפי החלטות ממשלה</w:t>
            </w:r>
          </w:p>
        </w:tc>
        <w:tc>
          <w:tcPr>
            <w:tcW w:w="517" w:type="pct"/>
            <w:tcBorders>
              <w:top w:val="single" w:sz="4" w:space="0" w:color="auto"/>
              <w:left w:val="single" w:sz="4" w:space="0" w:color="auto"/>
              <w:bottom w:val="single" w:sz="4" w:space="0" w:color="auto"/>
              <w:right w:val="single" w:sz="4" w:space="0" w:color="auto"/>
            </w:tcBorders>
            <w:vAlign w:val="center"/>
            <w:hideMark/>
          </w:tcPr>
          <w:p w14:paraId="6F1EEA39" w14:textId="77777777" w:rsidR="002B519A" w:rsidRDefault="002B519A" w:rsidP="00165B0E">
            <w:pPr>
              <w:bidi w:val="0"/>
              <w:jc w:val="both"/>
              <w:rPr>
                <w:rFonts w:ascii="FrankRuehl" w:hAnsi="FrankRuehl" w:cs="FrankRuehl" w:hint="cs"/>
                <w:sz w:val="26"/>
                <w:szCs w:val="26"/>
                <w:rtl/>
              </w:rPr>
            </w:pPr>
            <w:r>
              <w:rPr>
                <w:rFonts w:ascii="FrankRuehl" w:hAnsi="FrankRuehl" w:cs="FrankRuehl" w:hint="cs"/>
                <w:sz w:val="26"/>
                <w:szCs w:val="26"/>
                <w:rtl/>
              </w:rPr>
              <w:t>15,236</w:t>
            </w:r>
          </w:p>
        </w:tc>
      </w:tr>
      <w:tr w:rsidR="002B519A" w14:paraId="6507B05D" w14:textId="77777777" w:rsidTr="002B519A">
        <w:trPr>
          <w:trHeight w:val="576"/>
          <w:jc w:val="center"/>
        </w:trPr>
        <w:tc>
          <w:tcPr>
            <w:tcW w:w="735" w:type="pct"/>
            <w:tcBorders>
              <w:top w:val="single" w:sz="4" w:space="0" w:color="auto"/>
              <w:left w:val="single" w:sz="4" w:space="0" w:color="auto"/>
              <w:bottom w:val="single" w:sz="4" w:space="0" w:color="auto"/>
              <w:right w:val="single" w:sz="4" w:space="0" w:color="auto"/>
            </w:tcBorders>
            <w:noWrap/>
            <w:hideMark/>
          </w:tcPr>
          <w:p w14:paraId="4C727939" w14:textId="77777777" w:rsidR="002B519A" w:rsidRDefault="002B519A" w:rsidP="00165B0E">
            <w:pPr>
              <w:bidi w:val="0"/>
              <w:jc w:val="both"/>
              <w:rPr>
                <w:rFonts w:ascii="FrankRuehl" w:hAnsi="FrankRuehl" w:cs="FrankRuehl" w:hint="cs"/>
                <w:sz w:val="26"/>
                <w:szCs w:val="26"/>
                <w:rtl/>
              </w:rPr>
            </w:pPr>
            <w:r>
              <w:rPr>
                <w:rFonts w:ascii="FrankRuehl" w:hAnsi="FrankRuehl" w:cs="FrankRuehl" w:hint="cs"/>
                <w:sz w:val="26"/>
                <w:szCs w:val="26"/>
              </w:rPr>
              <w:t>206902</w:t>
            </w:r>
          </w:p>
        </w:tc>
        <w:tc>
          <w:tcPr>
            <w:tcW w:w="2070" w:type="pct"/>
            <w:tcBorders>
              <w:top w:val="single" w:sz="4" w:space="0" w:color="auto"/>
              <w:left w:val="single" w:sz="4" w:space="0" w:color="auto"/>
              <w:bottom w:val="single" w:sz="4" w:space="0" w:color="auto"/>
              <w:right w:val="single" w:sz="4" w:space="0" w:color="auto"/>
            </w:tcBorders>
            <w:noWrap/>
            <w:vAlign w:val="center"/>
            <w:hideMark/>
          </w:tcPr>
          <w:p w14:paraId="5EA14F94" w14:textId="77777777" w:rsidR="002B519A" w:rsidRDefault="002B519A" w:rsidP="00165B0E">
            <w:pPr>
              <w:jc w:val="both"/>
              <w:rPr>
                <w:rFonts w:ascii="FrankRuehl" w:hAnsi="FrankRuehl" w:cs="FrankRuehl" w:hint="cs"/>
                <w:sz w:val="26"/>
                <w:szCs w:val="26"/>
                <w:rtl/>
              </w:rPr>
            </w:pPr>
            <w:r>
              <w:rPr>
                <w:rFonts w:ascii="FrankRuehl" w:hAnsi="FrankRuehl" w:cs="FrankRuehl" w:hint="cs"/>
                <w:sz w:val="26"/>
                <w:szCs w:val="26"/>
                <w:rtl/>
              </w:rPr>
              <w:t>מוסדות תורניים</w:t>
            </w:r>
          </w:p>
        </w:tc>
        <w:tc>
          <w:tcPr>
            <w:tcW w:w="1677" w:type="pct"/>
            <w:tcBorders>
              <w:top w:val="single" w:sz="4" w:space="0" w:color="auto"/>
              <w:left w:val="single" w:sz="4" w:space="0" w:color="auto"/>
              <w:bottom w:val="single" w:sz="4" w:space="0" w:color="auto"/>
              <w:right w:val="single" w:sz="4" w:space="0" w:color="auto"/>
            </w:tcBorders>
            <w:vAlign w:val="center"/>
            <w:hideMark/>
          </w:tcPr>
          <w:p w14:paraId="6D76D2BB" w14:textId="77777777" w:rsidR="002B519A" w:rsidRDefault="002B519A" w:rsidP="00165B0E">
            <w:pPr>
              <w:jc w:val="both"/>
              <w:rPr>
                <w:rFonts w:ascii="FrankRuehl" w:hAnsi="FrankRuehl" w:cs="FrankRuehl" w:hint="cs"/>
                <w:sz w:val="26"/>
                <w:szCs w:val="26"/>
                <w:rtl/>
              </w:rPr>
            </w:pPr>
            <w:r>
              <w:rPr>
                <w:rFonts w:ascii="FrankRuehl" w:hAnsi="FrankRuehl" w:cs="FrankRuehl" w:hint="cs"/>
                <w:sz w:val="26"/>
                <w:szCs w:val="26"/>
                <w:rtl/>
              </w:rPr>
              <w:t>גופי תיאום וקישור</w:t>
            </w:r>
          </w:p>
        </w:tc>
        <w:tc>
          <w:tcPr>
            <w:tcW w:w="517" w:type="pct"/>
            <w:tcBorders>
              <w:top w:val="single" w:sz="4" w:space="0" w:color="auto"/>
              <w:left w:val="single" w:sz="4" w:space="0" w:color="auto"/>
              <w:bottom w:val="single" w:sz="4" w:space="0" w:color="auto"/>
              <w:right w:val="single" w:sz="4" w:space="0" w:color="auto"/>
            </w:tcBorders>
            <w:vAlign w:val="center"/>
            <w:hideMark/>
          </w:tcPr>
          <w:p w14:paraId="027F3457" w14:textId="77777777" w:rsidR="002B519A" w:rsidRDefault="002B519A" w:rsidP="00165B0E">
            <w:pPr>
              <w:bidi w:val="0"/>
              <w:jc w:val="both"/>
              <w:rPr>
                <w:rFonts w:ascii="FrankRuehl" w:hAnsi="FrankRuehl" w:cs="FrankRuehl" w:hint="cs"/>
                <w:sz w:val="26"/>
                <w:szCs w:val="26"/>
                <w:rtl/>
              </w:rPr>
            </w:pPr>
            <w:r>
              <w:rPr>
                <w:rFonts w:ascii="FrankRuehl" w:hAnsi="FrankRuehl" w:cs="FrankRuehl" w:hint="cs"/>
                <w:sz w:val="26"/>
                <w:szCs w:val="26"/>
                <w:rtl/>
              </w:rPr>
              <w:t>3,880</w:t>
            </w:r>
          </w:p>
        </w:tc>
      </w:tr>
    </w:tbl>
    <w:p w14:paraId="7305D9EB" w14:textId="77777777" w:rsidR="002B519A" w:rsidRDefault="002B519A" w:rsidP="00165B0E">
      <w:pPr>
        <w:bidi w:val="0"/>
        <w:jc w:val="both"/>
        <w:rPr>
          <w:rFonts w:ascii="FrankRuehl" w:hAnsi="FrankRuehl" w:cs="FrankRuehl" w:hint="cs"/>
          <w:b/>
          <w:bCs/>
          <w:sz w:val="26"/>
          <w:szCs w:val="26"/>
        </w:rPr>
      </w:pPr>
    </w:p>
    <w:p w14:paraId="29BD2AAC" w14:textId="13464EC5" w:rsidR="002B519A" w:rsidRDefault="002B519A" w:rsidP="00165B0E">
      <w:pPr>
        <w:jc w:val="both"/>
        <w:rPr>
          <w:rFonts w:ascii="FrankRuehl" w:hAnsi="FrankRuehl" w:cs="FrankRuehl" w:hint="cs"/>
          <w:sz w:val="26"/>
          <w:szCs w:val="26"/>
          <w:rtl/>
        </w:rPr>
      </w:pPr>
      <w:r>
        <w:rPr>
          <w:rFonts w:ascii="FrankRuehl" w:hAnsi="FrankRuehl" w:cs="FrankRuehl" w:hint="cs"/>
          <w:b/>
          <w:bCs/>
          <w:sz w:val="26"/>
          <w:szCs w:val="26"/>
          <w:rtl/>
        </w:rPr>
        <w:t xml:space="preserve">השפעה על כוח אדם: </w:t>
      </w:r>
      <w:r>
        <w:rPr>
          <w:rFonts w:ascii="FrankRuehl" w:hAnsi="FrankRuehl" w:cs="FrankRuehl" w:hint="cs"/>
          <w:sz w:val="26"/>
          <w:szCs w:val="26"/>
          <w:rtl/>
        </w:rPr>
        <w:t>אין</w:t>
      </w:r>
      <w:r w:rsidR="00F62D7B">
        <w:rPr>
          <w:rFonts w:ascii="FrankRuehl" w:hAnsi="FrankRuehl" w:cs="FrankRuehl" w:hint="cs"/>
          <w:sz w:val="26"/>
          <w:szCs w:val="26"/>
          <w:rtl/>
        </w:rPr>
        <w:t>.</w:t>
      </w:r>
    </w:p>
    <w:p w14:paraId="42087B01" w14:textId="77777777" w:rsidR="00436E4E" w:rsidRPr="002E1D22" w:rsidRDefault="00436E4E">
      <w:pPr>
        <w:rPr>
          <w:rFonts w:cs="FrankRuehl"/>
          <w:sz w:val="26"/>
          <w:szCs w:val="26"/>
          <w:rtl/>
        </w:rPr>
      </w:pPr>
    </w:p>
    <w:p w14:paraId="5A63B14D" w14:textId="77777777" w:rsidR="00436E4E" w:rsidRPr="002E1D22" w:rsidRDefault="00436E4E">
      <w:pPr>
        <w:tabs>
          <w:tab w:val="center" w:pos="6867"/>
        </w:tabs>
        <w:rPr>
          <w:rFonts w:cs="FrankRuehl"/>
          <w:sz w:val="26"/>
          <w:szCs w:val="26"/>
          <w:rtl/>
        </w:rPr>
      </w:pPr>
    </w:p>
    <w:p w14:paraId="3D95ABF1" w14:textId="77777777" w:rsidR="00436E4E" w:rsidRPr="002E1D22" w:rsidRDefault="00436E4E">
      <w:pPr>
        <w:tabs>
          <w:tab w:val="center" w:pos="6867"/>
        </w:tabs>
        <w:rPr>
          <w:rFonts w:cs="FrankRuehl"/>
          <w:sz w:val="26"/>
          <w:szCs w:val="26"/>
          <w:rtl/>
        </w:rPr>
      </w:pPr>
      <w:r w:rsidRPr="002E1D22">
        <w:rPr>
          <w:rFonts w:cs="FrankRuehl"/>
          <w:sz w:val="26"/>
          <w:szCs w:val="26"/>
          <w:rtl/>
        </w:rPr>
        <w:tab/>
        <w:t>בכבוד רב,</w:t>
      </w:r>
    </w:p>
    <w:p w14:paraId="31F215A4" w14:textId="77777777" w:rsidR="00436E4E" w:rsidRDefault="00C13197">
      <w:pPr>
        <w:tabs>
          <w:tab w:val="center" w:pos="6867"/>
        </w:tabs>
        <w:rPr>
          <w:rFonts w:cs="FrankRuehl"/>
          <w:sz w:val="26"/>
          <w:szCs w:val="26"/>
          <w:rtl/>
        </w:rPr>
      </w:pPr>
      <w:r>
        <w:rPr>
          <w:rFonts w:cs="FrankRuehl"/>
          <w:sz w:val="26"/>
          <w:szCs w:val="26"/>
          <w:rtl/>
        </w:rPr>
        <w:tab/>
      </w:r>
    </w:p>
    <w:p w14:paraId="2F350D4B" w14:textId="77777777" w:rsidR="00C13197" w:rsidRPr="002E1D22" w:rsidRDefault="00C13197">
      <w:pPr>
        <w:tabs>
          <w:tab w:val="center" w:pos="6867"/>
        </w:tabs>
        <w:rPr>
          <w:rFonts w:cs="FrankRuehl"/>
          <w:sz w:val="26"/>
          <w:szCs w:val="26"/>
        </w:rPr>
      </w:pPr>
      <w:r>
        <w:rPr>
          <w:rFonts w:cs="FrankRuehl"/>
          <w:sz w:val="26"/>
          <w:szCs w:val="26"/>
          <w:rtl/>
        </w:rPr>
        <w:tab/>
      </w:r>
      <w:bookmarkStart w:id="9" w:name="Sign_Image"/>
      <w:bookmarkEnd w:id="9"/>
    </w:p>
    <w:p w14:paraId="214BD27C"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74D6A986"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6A3268A5" w14:textId="77777777" w:rsidR="00436E4E" w:rsidRPr="002E1D22" w:rsidRDefault="00436E4E" w:rsidP="00026F4F">
      <w:pPr>
        <w:tabs>
          <w:tab w:val="center" w:pos="6867"/>
        </w:tabs>
        <w:rPr>
          <w:rFonts w:cs="FrankRuehl"/>
          <w:sz w:val="26"/>
          <w:szCs w:val="26"/>
          <w:rtl/>
        </w:rPr>
      </w:pPr>
      <w:r w:rsidRPr="002E1D22">
        <w:rPr>
          <w:rFonts w:cs="FrankRuehl"/>
          <w:sz w:val="26"/>
          <w:szCs w:val="26"/>
          <w:rtl/>
        </w:rPr>
        <w:tab/>
      </w:r>
    </w:p>
    <w:p w14:paraId="2AE58298" w14:textId="77777777" w:rsidR="00436E4E" w:rsidRPr="002E1D22" w:rsidRDefault="00436E4E">
      <w:pPr>
        <w:rPr>
          <w:rFonts w:cs="FrankRuehl"/>
          <w:sz w:val="26"/>
          <w:szCs w:val="26"/>
          <w:rtl/>
        </w:rPr>
      </w:pPr>
      <w:r w:rsidRPr="002E1D22">
        <w:rPr>
          <w:rFonts w:cs="FrankRuehl"/>
          <w:sz w:val="26"/>
          <w:szCs w:val="26"/>
          <w:rtl/>
        </w:rPr>
        <w:lastRenderedPageBreak/>
        <w:t>העתק:</w:t>
      </w:r>
    </w:p>
    <w:p w14:paraId="41CFD656" w14:textId="77777777" w:rsidR="00436E4E" w:rsidRPr="002E1D22" w:rsidRDefault="00436E4E">
      <w:pPr>
        <w:rPr>
          <w:rFonts w:cs="FrankRuehl"/>
          <w:sz w:val="26"/>
          <w:szCs w:val="26"/>
          <w:rtl/>
        </w:rPr>
      </w:pPr>
      <w:r w:rsidRPr="002E1D22">
        <w:rPr>
          <w:rFonts w:cs="FrankRuehl"/>
          <w:sz w:val="26"/>
          <w:szCs w:val="26"/>
          <w:rtl/>
        </w:rPr>
        <w:t>החשב הכללי</w:t>
      </w:r>
    </w:p>
    <w:p w14:paraId="5D5E8844" w14:textId="77777777" w:rsidR="00436E4E" w:rsidRPr="002E1D22" w:rsidRDefault="00436E4E">
      <w:pPr>
        <w:rPr>
          <w:rFonts w:cs="FrankRuehl"/>
          <w:sz w:val="26"/>
          <w:szCs w:val="26"/>
          <w:rtl/>
        </w:rPr>
      </w:pPr>
      <w:r w:rsidRPr="002E1D22">
        <w:rPr>
          <w:rFonts w:cs="FrankRuehl"/>
          <w:sz w:val="26"/>
          <w:szCs w:val="26"/>
          <w:rtl/>
        </w:rPr>
        <w:t>מבקר המדינה (2)</w:t>
      </w:r>
    </w:p>
    <w:p w14:paraId="7DA6C76E" w14:textId="77777777" w:rsidR="004C68B3" w:rsidRDefault="004C68B3">
      <w:pPr>
        <w:rPr>
          <w:rFonts w:cs="FrankRuehl"/>
          <w:sz w:val="26"/>
          <w:szCs w:val="26"/>
          <w:rtl/>
        </w:rPr>
      </w:pPr>
      <w:bookmarkStart w:id="10" w:name="TAKZIV22"/>
      <w:r>
        <w:rPr>
          <w:rFonts w:cs="FrankRuehl"/>
          <w:sz w:val="26"/>
          <w:szCs w:val="26"/>
          <w:rtl/>
        </w:rPr>
        <w:t>חשב משרד החינוך והתרבות</w:t>
      </w:r>
    </w:p>
    <w:p w14:paraId="189B1629" w14:textId="77777777" w:rsidR="004C68B3" w:rsidRDefault="004C68B3">
      <w:pPr>
        <w:rPr>
          <w:rFonts w:cs="FrankRuehl"/>
          <w:sz w:val="26"/>
          <w:szCs w:val="26"/>
          <w:rtl/>
        </w:rPr>
      </w:pPr>
      <w:r>
        <w:rPr>
          <w:rFonts w:cs="FrankRuehl"/>
          <w:sz w:val="26"/>
          <w:szCs w:val="26"/>
          <w:rtl/>
        </w:rPr>
        <w:t>חשב האגף למוסדות דת תורניים</w:t>
      </w:r>
    </w:p>
    <w:p w14:paraId="7A02AC4B" w14:textId="77777777" w:rsidR="004C68B3" w:rsidRDefault="004C68B3">
      <w:pPr>
        <w:rPr>
          <w:rFonts w:cs="FrankRuehl"/>
          <w:sz w:val="26"/>
          <w:szCs w:val="26"/>
          <w:rtl/>
        </w:rPr>
      </w:pPr>
      <w:r>
        <w:rPr>
          <w:rFonts w:cs="FrankRuehl"/>
          <w:sz w:val="26"/>
          <w:szCs w:val="26"/>
          <w:rtl/>
        </w:rPr>
        <w:t>חשב החשב הכללי</w:t>
      </w:r>
    </w:p>
    <w:p w14:paraId="0E9E8F8B" w14:textId="58C0ACE4" w:rsidR="00436E4E" w:rsidRPr="002E1D22" w:rsidRDefault="004C68B3">
      <w:pPr>
        <w:rPr>
          <w:rFonts w:cs="FrankRuehl"/>
          <w:sz w:val="26"/>
          <w:szCs w:val="26"/>
          <w:rtl/>
        </w:rPr>
      </w:pPr>
      <w:r>
        <w:rPr>
          <w:rFonts w:cs="FrankRuehl"/>
          <w:sz w:val="26"/>
          <w:szCs w:val="26"/>
          <w:rtl/>
        </w:rPr>
        <w:t xml:space="preserve">חשב האגף לחינוך </w:t>
      </w:r>
      <w:bookmarkEnd w:id="10"/>
      <w:r w:rsidR="002B519A">
        <w:rPr>
          <w:rFonts w:cs="FrankRuehl" w:hint="cs"/>
          <w:sz w:val="26"/>
          <w:szCs w:val="26"/>
          <w:rtl/>
        </w:rPr>
        <w:t>התיישבות</w:t>
      </w:r>
      <w:r w:rsidR="002B519A">
        <w:rPr>
          <w:rFonts w:cs="FrankRuehl" w:hint="eastAsia"/>
          <w:sz w:val="26"/>
          <w:szCs w:val="26"/>
          <w:rtl/>
        </w:rPr>
        <w:t>י</w:t>
      </w:r>
    </w:p>
    <w:p w14:paraId="73F57E1E" w14:textId="13456998" w:rsidR="00436E4E" w:rsidRPr="002E1D22" w:rsidRDefault="00436E4E">
      <w:pPr>
        <w:rPr>
          <w:rFonts w:cs="FrankRuehl"/>
          <w:sz w:val="26"/>
          <w:szCs w:val="26"/>
          <w:rtl/>
        </w:rPr>
      </w:pPr>
      <w:r w:rsidRPr="002E1D22">
        <w:rPr>
          <w:rFonts w:cs="FrankRuehl"/>
          <w:sz w:val="26"/>
          <w:szCs w:val="26"/>
          <w:rtl/>
        </w:rPr>
        <w:t xml:space="preserve">קצין תקציבים </w:t>
      </w:r>
      <w:bookmarkStart w:id="11" w:name="TAKZIV6_1"/>
      <w:r w:rsidR="004C68B3">
        <w:rPr>
          <w:rFonts w:cs="FrankRuehl"/>
          <w:sz w:val="26"/>
          <w:szCs w:val="26"/>
          <w:rtl/>
        </w:rPr>
        <w:t>משרד החינוך</w:t>
      </w:r>
      <w:bookmarkEnd w:id="11"/>
    </w:p>
    <w:p w14:paraId="2BF42EB3" w14:textId="68F0A23D" w:rsidR="00436E4E" w:rsidRPr="002E1D22" w:rsidRDefault="00436E4E">
      <w:pPr>
        <w:rPr>
          <w:rFonts w:cs="FrankRuehl"/>
          <w:sz w:val="26"/>
          <w:szCs w:val="26"/>
          <w:rtl/>
        </w:rPr>
      </w:pPr>
      <w:r w:rsidRPr="002E1D22">
        <w:rPr>
          <w:rFonts w:cs="FrankRuehl"/>
          <w:sz w:val="26"/>
          <w:szCs w:val="26"/>
          <w:rtl/>
        </w:rPr>
        <w:t xml:space="preserve">רפרנט </w:t>
      </w:r>
      <w:bookmarkStart w:id="12" w:name="TAKZIV6_2"/>
      <w:r w:rsidR="004C68B3">
        <w:rPr>
          <w:rFonts w:cs="FrankRuehl"/>
          <w:sz w:val="26"/>
          <w:szCs w:val="26"/>
          <w:rtl/>
        </w:rPr>
        <w:t>משרד החינוך</w:t>
      </w:r>
      <w:bookmarkEnd w:id="12"/>
    </w:p>
    <w:p w14:paraId="51B04EC9" w14:textId="238E13DB" w:rsidR="00436E4E" w:rsidRPr="002E1D22" w:rsidRDefault="004C68B3">
      <w:pPr>
        <w:rPr>
          <w:rFonts w:cs="FrankRuehl"/>
          <w:sz w:val="26"/>
          <w:szCs w:val="26"/>
          <w:rtl/>
        </w:rPr>
      </w:pPr>
      <w:bookmarkStart w:id="13" w:name="TAKZIV23"/>
      <w:r>
        <w:rPr>
          <w:rFonts w:cs="FrankRuehl"/>
          <w:sz w:val="26"/>
          <w:szCs w:val="26"/>
          <w:rtl/>
        </w:rPr>
        <w:t>נציבות שירות המדינה</w:t>
      </w:r>
      <w:bookmarkEnd w:id="13"/>
    </w:p>
    <w:p w14:paraId="73CB52FA" w14:textId="77777777" w:rsidR="00436E4E" w:rsidRPr="002E1D22" w:rsidRDefault="00436E4E">
      <w:pPr>
        <w:rPr>
          <w:rFonts w:cs="FrankRuehl"/>
          <w:sz w:val="26"/>
          <w:szCs w:val="26"/>
          <w:rtl/>
        </w:rPr>
      </w:pPr>
    </w:p>
    <w:p w14:paraId="6B5D1AA2" w14:textId="77777777" w:rsidR="002B519A" w:rsidRDefault="002B519A" w:rsidP="002B519A">
      <w:pPr>
        <w:tabs>
          <w:tab w:val="center" w:pos="6888"/>
        </w:tabs>
        <w:rPr>
          <w:rFonts w:ascii="FrankRuehl" w:hAnsi="FrankRuehl" w:cs="FrankRuehl" w:hint="cs"/>
          <w:sz w:val="26"/>
          <w:szCs w:val="26"/>
        </w:rPr>
      </w:pPr>
      <w:bookmarkStart w:id="14" w:name="TAKZIV25"/>
      <w:bookmarkEnd w:id="14"/>
    </w:p>
    <w:p w14:paraId="6DD3B202" w14:textId="77777777" w:rsidR="002B519A" w:rsidRDefault="002B519A" w:rsidP="002B519A">
      <w:pPr>
        <w:rPr>
          <w:rFonts w:ascii="FrankRuehl" w:hAnsi="FrankRuehl" w:cs="FrankRuehl" w:hint="cs"/>
          <w:b/>
          <w:bCs/>
          <w:sz w:val="26"/>
          <w:szCs w:val="26"/>
          <w:u w:val="single"/>
          <w:rtl/>
        </w:rPr>
      </w:pPr>
      <w:r>
        <w:rPr>
          <w:rFonts w:ascii="FrankRuehl" w:hAnsi="FrankRuehl" w:cs="FrankRuehl" w:hint="cs"/>
          <w:b/>
          <w:bCs/>
          <w:sz w:val="26"/>
          <w:szCs w:val="26"/>
          <w:u w:val="single"/>
          <w:rtl/>
        </w:rPr>
        <w:t>נספח לדברי ההסבר</w:t>
      </w:r>
    </w:p>
    <w:p w14:paraId="6D60EBFD" w14:textId="77777777" w:rsidR="002B519A" w:rsidRDefault="002B519A" w:rsidP="002B519A">
      <w:pPr>
        <w:rPr>
          <w:rFonts w:ascii="FrankRuehl" w:hAnsi="FrankRuehl" w:cs="FrankRuehl" w:hint="cs"/>
          <w:b/>
          <w:bCs/>
          <w:sz w:val="26"/>
          <w:szCs w:val="26"/>
        </w:rPr>
      </w:pPr>
      <w:r>
        <w:rPr>
          <w:rFonts w:ascii="FrankRuehl" w:hAnsi="FrankRuehl" w:cs="FrankRuehl" w:hint="cs"/>
          <w:b/>
          <w:bCs/>
          <w:sz w:val="26"/>
          <w:szCs w:val="26"/>
          <w:rtl/>
        </w:rPr>
        <w:t>היסטוריה תקציבית של הפנייה</w:t>
      </w:r>
    </w:p>
    <w:tbl>
      <w:tblPr>
        <w:tblW w:w="9920" w:type="dxa"/>
        <w:tblInd w:w="-807" w:type="dxa"/>
        <w:tblLook w:val="04A0" w:firstRow="1" w:lastRow="0" w:firstColumn="1" w:lastColumn="0" w:noHBand="0" w:noVBand="1"/>
      </w:tblPr>
      <w:tblGrid>
        <w:gridCol w:w="864"/>
        <w:gridCol w:w="921"/>
        <w:gridCol w:w="1195"/>
        <w:gridCol w:w="1195"/>
        <w:gridCol w:w="1195"/>
        <w:gridCol w:w="1195"/>
        <w:gridCol w:w="1195"/>
        <w:gridCol w:w="1195"/>
        <w:gridCol w:w="1195"/>
      </w:tblGrid>
      <w:tr w:rsidR="002B519A" w14:paraId="2C72AEBD" w14:textId="77777777" w:rsidTr="00FE3675">
        <w:trPr>
          <w:trHeight w:val="675"/>
        </w:trPr>
        <w:tc>
          <w:tcPr>
            <w:tcW w:w="1140" w:type="dxa"/>
            <w:tcBorders>
              <w:top w:val="single" w:sz="4" w:space="0" w:color="979991"/>
              <w:left w:val="single" w:sz="4" w:space="0" w:color="979991"/>
              <w:bottom w:val="nil"/>
              <w:right w:val="nil"/>
            </w:tcBorders>
            <w:shd w:val="clear" w:color="auto" w:fill="F0F4FA"/>
            <w:vAlign w:val="center"/>
            <w:hideMark/>
          </w:tcPr>
          <w:p w14:paraId="3A4A2D17" w14:textId="77777777" w:rsidR="002B519A" w:rsidRDefault="002B519A" w:rsidP="00FE3675">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קוד תוכנית</w:t>
            </w:r>
          </w:p>
        </w:tc>
        <w:tc>
          <w:tcPr>
            <w:tcW w:w="1418" w:type="dxa"/>
            <w:tcBorders>
              <w:top w:val="single" w:sz="4" w:space="0" w:color="979991"/>
              <w:left w:val="single" w:sz="4" w:space="0" w:color="979991"/>
              <w:bottom w:val="single" w:sz="4" w:space="0" w:color="979991"/>
              <w:right w:val="nil"/>
            </w:tcBorders>
            <w:shd w:val="clear" w:color="auto" w:fill="F0F4FA"/>
            <w:vAlign w:val="center"/>
            <w:hideMark/>
          </w:tcPr>
          <w:p w14:paraId="4AB09FA6" w14:textId="77777777" w:rsidR="002B519A" w:rsidRDefault="002B519A" w:rsidP="00FE3675">
            <w:pPr>
              <w:jc w:val="center"/>
              <w:rPr>
                <w:rFonts w:ascii="FrankRuehl" w:hAnsi="FrankRuehl" w:cs="FrankRuehl" w:hint="cs"/>
                <w:b/>
                <w:bCs/>
                <w:color w:val="000000"/>
                <w:sz w:val="26"/>
                <w:szCs w:val="26"/>
              </w:rPr>
            </w:pPr>
            <w:r>
              <w:rPr>
                <w:rFonts w:ascii="FrankRuehl" w:hAnsi="FrankRuehl" w:cs="FrankRuehl" w:hint="cs"/>
                <w:b/>
                <w:bCs/>
                <w:color w:val="000000"/>
                <w:sz w:val="26"/>
                <w:szCs w:val="26"/>
                <w:rtl/>
              </w:rPr>
              <w:t>השינוי התקציב המוצע בפנייה הוצאות נטו</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74E98A67" w14:textId="77777777" w:rsidR="002B519A" w:rsidRDefault="002B519A" w:rsidP="00FE3675">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2026</w:t>
            </w:r>
          </w:p>
        </w:tc>
        <w:tc>
          <w:tcPr>
            <w:tcW w:w="1139" w:type="dxa"/>
            <w:tcBorders>
              <w:top w:val="single" w:sz="4" w:space="0" w:color="979991"/>
              <w:left w:val="single" w:sz="4" w:space="0" w:color="979991"/>
              <w:bottom w:val="single" w:sz="4" w:space="0" w:color="979991"/>
              <w:right w:val="nil"/>
            </w:tcBorders>
            <w:shd w:val="clear" w:color="auto" w:fill="F0F4FA"/>
            <w:vAlign w:val="center"/>
            <w:hideMark/>
          </w:tcPr>
          <w:p w14:paraId="3E6F8F39" w14:textId="77777777" w:rsidR="002B519A" w:rsidRDefault="002B519A" w:rsidP="00FE3675">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 xml:space="preserve">מאושר 2025 בניכוי עודפים שעברו ב-2025 </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58D656A5" w14:textId="77777777" w:rsidR="002B519A" w:rsidRDefault="002B519A" w:rsidP="00FE3675">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2025</w:t>
            </w:r>
          </w:p>
        </w:tc>
        <w:tc>
          <w:tcPr>
            <w:tcW w:w="1139" w:type="dxa"/>
            <w:tcBorders>
              <w:top w:val="single" w:sz="4" w:space="0" w:color="979991"/>
              <w:left w:val="single" w:sz="4" w:space="0" w:color="979991"/>
              <w:bottom w:val="single" w:sz="4" w:space="0" w:color="979991"/>
              <w:right w:val="nil"/>
            </w:tcBorders>
            <w:shd w:val="clear" w:color="auto" w:fill="F0F4FA"/>
            <w:vAlign w:val="center"/>
            <w:hideMark/>
          </w:tcPr>
          <w:p w14:paraId="31C6E916" w14:textId="77777777" w:rsidR="002B519A" w:rsidRDefault="002B519A" w:rsidP="00FE3675">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מאושר 2024 בניכוי עודפים שעברו ב-2024</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36E8AF1C" w14:textId="77777777" w:rsidR="002B519A" w:rsidRDefault="002B519A" w:rsidP="00FE3675">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2024</w:t>
            </w:r>
          </w:p>
        </w:tc>
        <w:tc>
          <w:tcPr>
            <w:tcW w:w="1139" w:type="dxa"/>
            <w:tcBorders>
              <w:top w:val="single" w:sz="4" w:space="0" w:color="979991"/>
              <w:left w:val="single" w:sz="4" w:space="0" w:color="979991"/>
              <w:bottom w:val="single" w:sz="4" w:space="0" w:color="979991"/>
              <w:right w:val="nil"/>
            </w:tcBorders>
            <w:shd w:val="clear" w:color="auto" w:fill="F0F4FA"/>
            <w:vAlign w:val="center"/>
            <w:hideMark/>
          </w:tcPr>
          <w:p w14:paraId="17928EE7" w14:textId="77777777" w:rsidR="002B519A" w:rsidRDefault="002B519A" w:rsidP="00FE3675">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מאושר 2023 בניכוי עודפים שעברו ב-2023</w:t>
            </w:r>
          </w:p>
        </w:tc>
        <w:tc>
          <w:tcPr>
            <w:tcW w:w="945"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6C810390" w14:textId="77777777" w:rsidR="002B519A" w:rsidRDefault="002B519A" w:rsidP="00FE3675">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2023</w:t>
            </w:r>
          </w:p>
        </w:tc>
      </w:tr>
      <w:tr w:rsidR="002B519A" w14:paraId="7B463C58" w14:textId="77777777" w:rsidTr="00FE3675">
        <w:trPr>
          <w:trHeight w:val="300"/>
        </w:trPr>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46A65337" w14:textId="77777777" w:rsidR="002B519A" w:rsidRDefault="002B519A" w:rsidP="00FE3675">
            <w:pPr>
              <w:bidi w:val="0"/>
              <w:jc w:val="center"/>
              <w:rPr>
                <w:rFonts w:ascii="FrankRuehl" w:hAnsi="FrankRuehl" w:cs="FrankRuehl" w:hint="cs"/>
                <w:color w:val="000000"/>
                <w:sz w:val="26"/>
                <w:szCs w:val="26"/>
                <w:rtl/>
              </w:rPr>
            </w:pPr>
            <w:r>
              <w:rPr>
                <w:rFonts w:ascii="FrankRuehl" w:hAnsi="FrankRuehl" w:cs="FrankRuehl" w:hint="cs"/>
                <w:color w:val="000000"/>
                <w:sz w:val="26"/>
                <w:szCs w:val="26"/>
              </w:rPr>
              <w:t>206001</w:t>
            </w:r>
          </w:p>
        </w:tc>
        <w:tc>
          <w:tcPr>
            <w:tcW w:w="1418" w:type="dxa"/>
            <w:tcBorders>
              <w:top w:val="nil"/>
              <w:left w:val="single" w:sz="4" w:space="0" w:color="979991"/>
              <w:bottom w:val="single" w:sz="4" w:space="0" w:color="979991"/>
              <w:right w:val="nil"/>
            </w:tcBorders>
            <w:shd w:val="clear" w:color="auto" w:fill="FFFFFF"/>
            <w:vAlign w:val="center"/>
            <w:hideMark/>
          </w:tcPr>
          <w:p w14:paraId="75D3348D" w14:textId="77777777" w:rsidR="002B519A" w:rsidRDefault="002B519A" w:rsidP="00FE3675">
            <w:pPr>
              <w:bidi w:val="0"/>
              <w:jc w:val="center"/>
              <w:rPr>
                <w:rFonts w:ascii="FrankRuehl" w:hAnsi="FrankRuehl" w:cs="FrankRuehl" w:hint="cs"/>
                <w:color w:val="000000"/>
                <w:sz w:val="26"/>
                <w:szCs w:val="26"/>
                <w:rtl/>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429401AE"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2,078,455</w:t>
            </w:r>
          </w:p>
        </w:tc>
        <w:tc>
          <w:tcPr>
            <w:tcW w:w="1139" w:type="dxa"/>
            <w:tcBorders>
              <w:top w:val="nil"/>
              <w:left w:val="single" w:sz="4" w:space="0" w:color="979991"/>
              <w:bottom w:val="single" w:sz="4" w:space="0" w:color="979991"/>
              <w:right w:val="nil"/>
            </w:tcBorders>
            <w:shd w:val="clear" w:color="auto" w:fill="FFFFFF"/>
            <w:vAlign w:val="center"/>
            <w:hideMark/>
          </w:tcPr>
          <w:p w14:paraId="43113ED0"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2,265,532</w:t>
            </w:r>
          </w:p>
        </w:tc>
        <w:tc>
          <w:tcPr>
            <w:tcW w:w="1000" w:type="dxa"/>
            <w:tcBorders>
              <w:top w:val="nil"/>
              <w:left w:val="single" w:sz="4" w:space="0" w:color="979991"/>
              <w:bottom w:val="single" w:sz="4" w:space="0" w:color="979991"/>
              <w:right w:val="nil"/>
            </w:tcBorders>
            <w:shd w:val="clear" w:color="auto" w:fill="FFFFFF"/>
            <w:vAlign w:val="center"/>
            <w:hideMark/>
          </w:tcPr>
          <w:p w14:paraId="07A379CC"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2,016,786</w:t>
            </w:r>
          </w:p>
        </w:tc>
        <w:tc>
          <w:tcPr>
            <w:tcW w:w="1139" w:type="dxa"/>
            <w:tcBorders>
              <w:top w:val="nil"/>
              <w:left w:val="single" w:sz="4" w:space="0" w:color="979991"/>
              <w:bottom w:val="single" w:sz="4" w:space="0" w:color="979991"/>
              <w:right w:val="nil"/>
            </w:tcBorders>
            <w:shd w:val="clear" w:color="auto" w:fill="FFFFFF"/>
            <w:vAlign w:val="center"/>
            <w:hideMark/>
          </w:tcPr>
          <w:p w14:paraId="25843E7C"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2,189,400</w:t>
            </w:r>
          </w:p>
        </w:tc>
        <w:tc>
          <w:tcPr>
            <w:tcW w:w="1000" w:type="dxa"/>
            <w:tcBorders>
              <w:top w:val="nil"/>
              <w:left w:val="single" w:sz="4" w:space="0" w:color="979991"/>
              <w:bottom w:val="single" w:sz="4" w:space="0" w:color="979991"/>
              <w:right w:val="nil"/>
            </w:tcBorders>
            <w:shd w:val="clear" w:color="auto" w:fill="FFFFFF"/>
            <w:vAlign w:val="center"/>
            <w:hideMark/>
          </w:tcPr>
          <w:p w14:paraId="5D5DD770"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1,990,024</w:t>
            </w:r>
          </w:p>
        </w:tc>
        <w:tc>
          <w:tcPr>
            <w:tcW w:w="1139" w:type="dxa"/>
            <w:tcBorders>
              <w:top w:val="nil"/>
              <w:left w:val="single" w:sz="4" w:space="0" w:color="979991"/>
              <w:bottom w:val="single" w:sz="4" w:space="0" w:color="979991"/>
              <w:right w:val="nil"/>
            </w:tcBorders>
            <w:shd w:val="clear" w:color="auto" w:fill="FFFFFF"/>
            <w:vAlign w:val="center"/>
            <w:hideMark/>
          </w:tcPr>
          <w:p w14:paraId="741ECCF5"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1,426,531</w:t>
            </w:r>
          </w:p>
        </w:tc>
        <w:tc>
          <w:tcPr>
            <w:tcW w:w="945" w:type="dxa"/>
            <w:tcBorders>
              <w:top w:val="nil"/>
              <w:left w:val="single" w:sz="4" w:space="0" w:color="979991"/>
              <w:bottom w:val="single" w:sz="4" w:space="0" w:color="979991"/>
              <w:right w:val="single" w:sz="4" w:space="0" w:color="979991"/>
            </w:tcBorders>
            <w:shd w:val="clear" w:color="auto" w:fill="FFFFFF"/>
            <w:vAlign w:val="center"/>
            <w:hideMark/>
          </w:tcPr>
          <w:p w14:paraId="5CA9DB12"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1,806,141</w:t>
            </w:r>
          </w:p>
        </w:tc>
      </w:tr>
      <w:tr w:rsidR="002B519A" w14:paraId="21F45EEC" w14:textId="77777777" w:rsidTr="00FE3675">
        <w:trPr>
          <w:trHeight w:val="300"/>
        </w:trPr>
        <w:tc>
          <w:tcPr>
            <w:tcW w:w="1140" w:type="dxa"/>
            <w:tcBorders>
              <w:top w:val="nil"/>
              <w:left w:val="single" w:sz="4" w:space="0" w:color="979991"/>
              <w:bottom w:val="single" w:sz="4" w:space="0" w:color="979991"/>
              <w:right w:val="nil"/>
            </w:tcBorders>
            <w:shd w:val="clear" w:color="auto" w:fill="F0F4FA"/>
            <w:vAlign w:val="center"/>
            <w:hideMark/>
          </w:tcPr>
          <w:p w14:paraId="5085F102"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206101</w:t>
            </w:r>
          </w:p>
        </w:tc>
        <w:tc>
          <w:tcPr>
            <w:tcW w:w="1418" w:type="dxa"/>
            <w:tcBorders>
              <w:top w:val="nil"/>
              <w:left w:val="single" w:sz="4" w:space="0" w:color="979991"/>
              <w:bottom w:val="single" w:sz="4" w:space="0" w:color="979991"/>
              <w:right w:val="nil"/>
            </w:tcBorders>
            <w:shd w:val="clear" w:color="auto" w:fill="FFFFFF"/>
            <w:vAlign w:val="center"/>
            <w:hideMark/>
          </w:tcPr>
          <w:p w14:paraId="3D7BA913"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4C122574"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19,822,642</w:t>
            </w:r>
          </w:p>
        </w:tc>
        <w:tc>
          <w:tcPr>
            <w:tcW w:w="1139" w:type="dxa"/>
            <w:tcBorders>
              <w:top w:val="nil"/>
              <w:left w:val="single" w:sz="4" w:space="0" w:color="979991"/>
              <w:bottom w:val="single" w:sz="4" w:space="0" w:color="979991"/>
              <w:right w:val="nil"/>
            </w:tcBorders>
            <w:shd w:val="clear" w:color="auto" w:fill="FFFFFF"/>
            <w:vAlign w:val="center"/>
            <w:hideMark/>
          </w:tcPr>
          <w:p w14:paraId="6F33AE07"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16,862,755</w:t>
            </w:r>
          </w:p>
        </w:tc>
        <w:tc>
          <w:tcPr>
            <w:tcW w:w="1000" w:type="dxa"/>
            <w:tcBorders>
              <w:top w:val="nil"/>
              <w:left w:val="single" w:sz="4" w:space="0" w:color="979991"/>
              <w:bottom w:val="single" w:sz="4" w:space="0" w:color="979991"/>
              <w:right w:val="nil"/>
            </w:tcBorders>
            <w:shd w:val="clear" w:color="auto" w:fill="FFFFFF"/>
            <w:vAlign w:val="center"/>
            <w:hideMark/>
          </w:tcPr>
          <w:p w14:paraId="2CA8290C"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17,546,862</w:t>
            </w:r>
          </w:p>
        </w:tc>
        <w:tc>
          <w:tcPr>
            <w:tcW w:w="1139" w:type="dxa"/>
            <w:tcBorders>
              <w:top w:val="nil"/>
              <w:left w:val="single" w:sz="4" w:space="0" w:color="979991"/>
              <w:bottom w:val="single" w:sz="4" w:space="0" w:color="979991"/>
              <w:right w:val="nil"/>
            </w:tcBorders>
            <w:shd w:val="clear" w:color="auto" w:fill="FFFFFF"/>
            <w:vAlign w:val="center"/>
            <w:hideMark/>
          </w:tcPr>
          <w:p w14:paraId="4A3B776B"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16,203,798</w:t>
            </w:r>
          </w:p>
        </w:tc>
        <w:tc>
          <w:tcPr>
            <w:tcW w:w="1000" w:type="dxa"/>
            <w:tcBorders>
              <w:top w:val="nil"/>
              <w:left w:val="single" w:sz="4" w:space="0" w:color="979991"/>
              <w:bottom w:val="single" w:sz="4" w:space="0" w:color="979991"/>
              <w:right w:val="nil"/>
            </w:tcBorders>
            <w:shd w:val="clear" w:color="auto" w:fill="FFFFFF"/>
            <w:vAlign w:val="center"/>
            <w:hideMark/>
          </w:tcPr>
          <w:p w14:paraId="66611757"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13,882,639</w:t>
            </w:r>
          </w:p>
        </w:tc>
        <w:tc>
          <w:tcPr>
            <w:tcW w:w="1139" w:type="dxa"/>
            <w:tcBorders>
              <w:top w:val="nil"/>
              <w:left w:val="single" w:sz="4" w:space="0" w:color="979991"/>
              <w:bottom w:val="single" w:sz="4" w:space="0" w:color="979991"/>
              <w:right w:val="nil"/>
            </w:tcBorders>
            <w:shd w:val="clear" w:color="auto" w:fill="FFFFFF"/>
            <w:vAlign w:val="center"/>
            <w:hideMark/>
          </w:tcPr>
          <w:p w14:paraId="35C94BC8"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14,053,459</w:t>
            </w:r>
          </w:p>
        </w:tc>
        <w:tc>
          <w:tcPr>
            <w:tcW w:w="945" w:type="dxa"/>
            <w:tcBorders>
              <w:top w:val="nil"/>
              <w:left w:val="single" w:sz="4" w:space="0" w:color="979991"/>
              <w:bottom w:val="single" w:sz="4" w:space="0" w:color="979991"/>
              <w:right w:val="single" w:sz="4" w:space="0" w:color="979991"/>
            </w:tcBorders>
            <w:shd w:val="clear" w:color="auto" w:fill="FFFFFF"/>
            <w:vAlign w:val="center"/>
            <w:hideMark/>
          </w:tcPr>
          <w:p w14:paraId="066D1612"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12,593,210</w:t>
            </w:r>
          </w:p>
        </w:tc>
      </w:tr>
      <w:tr w:rsidR="002B519A" w14:paraId="1CFEF05C" w14:textId="77777777" w:rsidTr="00FE3675">
        <w:trPr>
          <w:trHeight w:val="300"/>
        </w:trPr>
        <w:tc>
          <w:tcPr>
            <w:tcW w:w="1140" w:type="dxa"/>
            <w:tcBorders>
              <w:top w:val="nil"/>
              <w:left w:val="single" w:sz="4" w:space="0" w:color="979991"/>
              <w:bottom w:val="single" w:sz="4" w:space="0" w:color="979991"/>
              <w:right w:val="nil"/>
            </w:tcBorders>
            <w:shd w:val="clear" w:color="auto" w:fill="F0F4FA"/>
            <w:vAlign w:val="center"/>
            <w:hideMark/>
          </w:tcPr>
          <w:p w14:paraId="36EA47EC"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206201</w:t>
            </w:r>
          </w:p>
        </w:tc>
        <w:tc>
          <w:tcPr>
            <w:tcW w:w="1418" w:type="dxa"/>
            <w:tcBorders>
              <w:top w:val="nil"/>
              <w:left w:val="single" w:sz="4" w:space="0" w:color="979991"/>
              <w:bottom w:val="single" w:sz="4" w:space="0" w:color="979991"/>
              <w:right w:val="nil"/>
            </w:tcBorders>
            <w:shd w:val="clear" w:color="auto" w:fill="FFFFFF"/>
            <w:vAlign w:val="center"/>
            <w:hideMark/>
          </w:tcPr>
          <w:p w14:paraId="54D5E773"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54,000</w:t>
            </w:r>
          </w:p>
        </w:tc>
        <w:tc>
          <w:tcPr>
            <w:tcW w:w="1000" w:type="dxa"/>
            <w:tcBorders>
              <w:top w:val="nil"/>
              <w:left w:val="single" w:sz="4" w:space="0" w:color="979991"/>
              <w:bottom w:val="single" w:sz="4" w:space="0" w:color="979991"/>
              <w:right w:val="nil"/>
            </w:tcBorders>
            <w:shd w:val="clear" w:color="auto" w:fill="FFFFFF"/>
            <w:vAlign w:val="center"/>
            <w:hideMark/>
          </w:tcPr>
          <w:p w14:paraId="2D1D01E4"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9,243,282</w:t>
            </w:r>
          </w:p>
        </w:tc>
        <w:tc>
          <w:tcPr>
            <w:tcW w:w="1139" w:type="dxa"/>
            <w:tcBorders>
              <w:top w:val="nil"/>
              <w:left w:val="single" w:sz="4" w:space="0" w:color="979991"/>
              <w:bottom w:val="single" w:sz="4" w:space="0" w:color="979991"/>
              <w:right w:val="nil"/>
            </w:tcBorders>
            <w:shd w:val="clear" w:color="auto" w:fill="FFFFFF"/>
            <w:vAlign w:val="center"/>
            <w:hideMark/>
          </w:tcPr>
          <w:p w14:paraId="4CDE5CDF"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9,350,719</w:t>
            </w:r>
          </w:p>
        </w:tc>
        <w:tc>
          <w:tcPr>
            <w:tcW w:w="1000" w:type="dxa"/>
            <w:tcBorders>
              <w:top w:val="nil"/>
              <w:left w:val="single" w:sz="4" w:space="0" w:color="979991"/>
              <w:bottom w:val="single" w:sz="4" w:space="0" w:color="979991"/>
              <w:right w:val="nil"/>
            </w:tcBorders>
            <w:shd w:val="clear" w:color="auto" w:fill="FFFFFF"/>
            <w:vAlign w:val="center"/>
            <w:hideMark/>
          </w:tcPr>
          <w:p w14:paraId="099DB713"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8,944,241</w:t>
            </w:r>
          </w:p>
        </w:tc>
        <w:tc>
          <w:tcPr>
            <w:tcW w:w="1139" w:type="dxa"/>
            <w:tcBorders>
              <w:top w:val="nil"/>
              <w:left w:val="single" w:sz="4" w:space="0" w:color="979991"/>
              <w:bottom w:val="single" w:sz="4" w:space="0" w:color="979991"/>
              <w:right w:val="nil"/>
            </w:tcBorders>
            <w:shd w:val="clear" w:color="auto" w:fill="FFFFFF"/>
            <w:vAlign w:val="center"/>
            <w:hideMark/>
          </w:tcPr>
          <w:p w14:paraId="02850223"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9,537,951</w:t>
            </w:r>
          </w:p>
        </w:tc>
        <w:tc>
          <w:tcPr>
            <w:tcW w:w="1000" w:type="dxa"/>
            <w:tcBorders>
              <w:top w:val="nil"/>
              <w:left w:val="single" w:sz="4" w:space="0" w:color="979991"/>
              <w:bottom w:val="single" w:sz="4" w:space="0" w:color="979991"/>
              <w:right w:val="nil"/>
            </w:tcBorders>
            <w:shd w:val="clear" w:color="auto" w:fill="FFFFFF"/>
            <w:vAlign w:val="center"/>
            <w:hideMark/>
          </w:tcPr>
          <w:p w14:paraId="43AFAEF7"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8,608,128</w:t>
            </w:r>
          </w:p>
        </w:tc>
        <w:tc>
          <w:tcPr>
            <w:tcW w:w="1139" w:type="dxa"/>
            <w:tcBorders>
              <w:top w:val="nil"/>
              <w:left w:val="single" w:sz="4" w:space="0" w:color="979991"/>
              <w:bottom w:val="single" w:sz="4" w:space="0" w:color="979991"/>
              <w:right w:val="nil"/>
            </w:tcBorders>
            <w:shd w:val="clear" w:color="auto" w:fill="FFFFFF"/>
            <w:vAlign w:val="center"/>
            <w:hideMark/>
          </w:tcPr>
          <w:p w14:paraId="45D800B1"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9,610,077</w:t>
            </w:r>
          </w:p>
        </w:tc>
        <w:tc>
          <w:tcPr>
            <w:tcW w:w="945" w:type="dxa"/>
            <w:tcBorders>
              <w:top w:val="nil"/>
              <w:left w:val="single" w:sz="4" w:space="0" w:color="979991"/>
              <w:bottom w:val="single" w:sz="4" w:space="0" w:color="979991"/>
              <w:right w:val="single" w:sz="4" w:space="0" w:color="979991"/>
            </w:tcBorders>
            <w:shd w:val="clear" w:color="auto" w:fill="FFFFFF"/>
            <w:vAlign w:val="center"/>
            <w:hideMark/>
          </w:tcPr>
          <w:p w14:paraId="0A9F514F"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7,960,820</w:t>
            </w:r>
          </w:p>
        </w:tc>
      </w:tr>
      <w:tr w:rsidR="002B519A" w14:paraId="74BA57F3" w14:textId="77777777" w:rsidTr="00FE3675">
        <w:trPr>
          <w:trHeight w:val="300"/>
        </w:trPr>
        <w:tc>
          <w:tcPr>
            <w:tcW w:w="1140" w:type="dxa"/>
            <w:tcBorders>
              <w:top w:val="nil"/>
              <w:left w:val="single" w:sz="4" w:space="0" w:color="979991"/>
              <w:bottom w:val="single" w:sz="4" w:space="0" w:color="979991"/>
              <w:right w:val="nil"/>
            </w:tcBorders>
            <w:shd w:val="clear" w:color="auto" w:fill="F0F4FA"/>
            <w:vAlign w:val="center"/>
            <w:hideMark/>
          </w:tcPr>
          <w:p w14:paraId="7B57B6C9"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206302</w:t>
            </w:r>
          </w:p>
        </w:tc>
        <w:tc>
          <w:tcPr>
            <w:tcW w:w="1418" w:type="dxa"/>
            <w:tcBorders>
              <w:top w:val="nil"/>
              <w:left w:val="single" w:sz="4" w:space="0" w:color="979991"/>
              <w:bottom w:val="single" w:sz="4" w:space="0" w:color="979991"/>
              <w:right w:val="nil"/>
            </w:tcBorders>
            <w:shd w:val="clear" w:color="auto" w:fill="FFFFFF"/>
            <w:vAlign w:val="center"/>
            <w:hideMark/>
          </w:tcPr>
          <w:p w14:paraId="6F0C3427"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-30,306</w:t>
            </w:r>
          </w:p>
        </w:tc>
        <w:tc>
          <w:tcPr>
            <w:tcW w:w="1000" w:type="dxa"/>
            <w:tcBorders>
              <w:top w:val="nil"/>
              <w:left w:val="single" w:sz="4" w:space="0" w:color="979991"/>
              <w:bottom w:val="single" w:sz="4" w:space="0" w:color="979991"/>
              <w:right w:val="nil"/>
            </w:tcBorders>
            <w:shd w:val="clear" w:color="auto" w:fill="FFFFFF"/>
            <w:vAlign w:val="center"/>
            <w:hideMark/>
          </w:tcPr>
          <w:p w14:paraId="4239B52D"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2,101,027</w:t>
            </w:r>
          </w:p>
        </w:tc>
        <w:tc>
          <w:tcPr>
            <w:tcW w:w="1139" w:type="dxa"/>
            <w:tcBorders>
              <w:top w:val="nil"/>
              <w:left w:val="single" w:sz="4" w:space="0" w:color="979991"/>
              <w:bottom w:val="single" w:sz="4" w:space="0" w:color="979991"/>
              <w:right w:val="nil"/>
            </w:tcBorders>
            <w:shd w:val="clear" w:color="auto" w:fill="FFFFFF"/>
            <w:vAlign w:val="center"/>
            <w:hideMark/>
          </w:tcPr>
          <w:p w14:paraId="3AE866AD"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2,088,529</w:t>
            </w:r>
          </w:p>
        </w:tc>
        <w:tc>
          <w:tcPr>
            <w:tcW w:w="1000" w:type="dxa"/>
            <w:tcBorders>
              <w:top w:val="nil"/>
              <w:left w:val="single" w:sz="4" w:space="0" w:color="979991"/>
              <w:bottom w:val="single" w:sz="4" w:space="0" w:color="979991"/>
              <w:right w:val="nil"/>
            </w:tcBorders>
            <w:shd w:val="clear" w:color="auto" w:fill="FFFFFF"/>
            <w:vAlign w:val="center"/>
            <w:hideMark/>
          </w:tcPr>
          <w:p w14:paraId="00B7C0D6"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1,641,678</w:t>
            </w:r>
          </w:p>
        </w:tc>
        <w:tc>
          <w:tcPr>
            <w:tcW w:w="1139" w:type="dxa"/>
            <w:tcBorders>
              <w:top w:val="nil"/>
              <w:left w:val="single" w:sz="4" w:space="0" w:color="979991"/>
              <w:bottom w:val="single" w:sz="4" w:space="0" w:color="979991"/>
              <w:right w:val="nil"/>
            </w:tcBorders>
            <w:shd w:val="clear" w:color="auto" w:fill="FFFFFF"/>
            <w:vAlign w:val="center"/>
            <w:hideMark/>
          </w:tcPr>
          <w:p w14:paraId="246D77E2"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2,006,558</w:t>
            </w:r>
          </w:p>
        </w:tc>
        <w:tc>
          <w:tcPr>
            <w:tcW w:w="1000" w:type="dxa"/>
            <w:tcBorders>
              <w:top w:val="nil"/>
              <w:left w:val="single" w:sz="4" w:space="0" w:color="979991"/>
              <w:bottom w:val="single" w:sz="4" w:space="0" w:color="979991"/>
              <w:right w:val="nil"/>
            </w:tcBorders>
            <w:shd w:val="clear" w:color="auto" w:fill="FFFFFF"/>
            <w:vAlign w:val="center"/>
            <w:hideMark/>
          </w:tcPr>
          <w:p w14:paraId="169CDE0A"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1,825,885</w:t>
            </w:r>
          </w:p>
        </w:tc>
        <w:tc>
          <w:tcPr>
            <w:tcW w:w="1139" w:type="dxa"/>
            <w:tcBorders>
              <w:top w:val="nil"/>
              <w:left w:val="single" w:sz="4" w:space="0" w:color="979991"/>
              <w:bottom w:val="single" w:sz="4" w:space="0" w:color="979991"/>
              <w:right w:val="nil"/>
            </w:tcBorders>
            <w:shd w:val="clear" w:color="auto" w:fill="FFFFFF"/>
            <w:vAlign w:val="center"/>
            <w:hideMark/>
          </w:tcPr>
          <w:p w14:paraId="1AFEE8CF"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1,966,659</w:t>
            </w:r>
          </w:p>
        </w:tc>
        <w:tc>
          <w:tcPr>
            <w:tcW w:w="945" w:type="dxa"/>
            <w:tcBorders>
              <w:top w:val="nil"/>
              <w:left w:val="single" w:sz="4" w:space="0" w:color="979991"/>
              <w:bottom w:val="single" w:sz="4" w:space="0" w:color="979991"/>
              <w:right w:val="single" w:sz="4" w:space="0" w:color="979991"/>
            </w:tcBorders>
            <w:shd w:val="clear" w:color="auto" w:fill="FFFFFF"/>
            <w:vAlign w:val="center"/>
            <w:hideMark/>
          </w:tcPr>
          <w:p w14:paraId="40360DC0"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1,802,063</w:t>
            </w:r>
          </w:p>
        </w:tc>
      </w:tr>
      <w:tr w:rsidR="002B519A" w14:paraId="3547A673" w14:textId="77777777" w:rsidTr="00FE3675">
        <w:trPr>
          <w:trHeight w:val="300"/>
        </w:trPr>
        <w:tc>
          <w:tcPr>
            <w:tcW w:w="1140" w:type="dxa"/>
            <w:tcBorders>
              <w:top w:val="nil"/>
              <w:left w:val="single" w:sz="4" w:space="0" w:color="979991"/>
              <w:bottom w:val="single" w:sz="4" w:space="0" w:color="979991"/>
              <w:right w:val="nil"/>
            </w:tcBorders>
            <w:shd w:val="clear" w:color="auto" w:fill="F0F4FA"/>
            <w:vAlign w:val="center"/>
            <w:hideMark/>
          </w:tcPr>
          <w:p w14:paraId="2BCCFBAA"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206303</w:t>
            </w:r>
          </w:p>
        </w:tc>
        <w:tc>
          <w:tcPr>
            <w:tcW w:w="1418" w:type="dxa"/>
            <w:tcBorders>
              <w:top w:val="nil"/>
              <w:left w:val="single" w:sz="4" w:space="0" w:color="979991"/>
              <w:bottom w:val="single" w:sz="4" w:space="0" w:color="979991"/>
              <w:right w:val="nil"/>
            </w:tcBorders>
            <w:shd w:val="clear" w:color="auto" w:fill="FFFFFF"/>
            <w:vAlign w:val="center"/>
            <w:hideMark/>
          </w:tcPr>
          <w:p w14:paraId="71DF824B"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-38,700</w:t>
            </w:r>
          </w:p>
        </w:tc>
        <w:tc>
          <w:tcPr>
            <w:tcW w:w="1000" w:type="dxa"/>
            <w:tcBorders>
              <w:top w:val="nil"/>
              <w:left w:val="single" w:sz="4" w:space="0" w:color="979991"/>
              <w:bottom w:val="single" w:sz="4" w:space="0" w:color="979991"/>
              <w:right w:val="nil"/>
            </w:tcBorders>
            <w:shd w:val="clear" w:color="auto" w:fill="FFFFFF"/>
            <w:vAlign w:val="center"/>
            <w:hideMark/>
          </w:tcPr>
          <w:p w14:paraId="269679C6"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1,234,201</w:t>
            </w:r>
          </w:p>
        </w:tc>
        <w:tc>
          <w:tcPr>
            <w:tcW w:w="1139" w:type="dxa"/>
            <w:tcBorders>
              <w:top w:val="nil"/>
              <w:left w:val="single" w:sz="4" w:space="0" w:color="979991"/>
              <w:bottom w:val="single" w:sz="4" w:space="0" w:color="979991"/>
              <w:right w:val="nil"/>
            </w:tcBorders>
            <w:shd w:val="clear" w:color="auto" w:fill="FFFFFF"/>
            <w:vAlign w:val="center"/>
            <w:hideMark/>
          </w:tcPr>
          <w:p w14:paraId="75CA6496"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1,239,248</w:t>
            </w:r>
          </w:p>
        </w:tc>
        <w:tc>
          <w:tcPr>
            <w:tcW w:w="1000" w:type="dxa"/>
            <w:tcBorders>
              <w:top w:val="nil"/>
              <w:left w:val="single" w:sz="4" w:space="0" w:color="979991"/>
              <w:bottom w:val="single" w:sz="4" w:space="0" w:color="979991"/>
              <w:right w:val="nil"/>
            </w:tcBorders>
            <w:shd w:val="clear" w:color="auto" w:fill="FFFFFF"/>
            <w:vAlign w:val="center"/>
            <w:hideMark/>
          </w:tcPr>
          <w:p w14:paraId="7081CF84"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863,147</w:t>
            </w:r>
          </w:p>
        </w:tc>
        <w:tc>
          <w:tcPr>
            <w:tcW w:w="1139" w:type="dxa"/>
            <w:tcBorders>
              <w:top w:val="nil"/>
              <w:left w:val="single" w:sz="4" w:space="0" w:color="979991"/>
              <w:bottom w:val="single" w:sz="4" w:space="0" w:color="979991"/>
              <w:right w:val="nil"/>
            </w:tcBorders>
            <w:shd w:val="clear" w:color="auto" w:fill="FFFFFF"/>
            <w:vAlign w:val="center"/>
            <w:hideMark/>
          </w:tcPr>
          <w:p w14:paraId="3F02F310"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1,119,241</w:t>
            </w:r>
          </w:p>
        </w:tc>
        <w:tc>
          <w:tcPr>
            <w:tcW w:w="1000" w:type="dxa"/>
            <w:tcBorders>
              <w:top w:val="nil"/>
              <w:left w:val="single" w:sz="4" w:space="0" w:color="979991"/>
              <w:bottom w:val="single" w:sz="4" w:space="0" w:color="979991"/>
              <w:right w:val="nil"/>
            </w:tcBorders>
            <w:shd w:val="clear" w:color="auto" w:fill="FFFFFF"/>
            <w:vAlign w:val="center"/>
            <w:hideMark/>
          </w:tcPr>
          <w:p w14:paraId="6F338D3E"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999,372</w:t>
            </w:r>
          </w:p>
        </w:tc>
        <w:tc>
          <w:tcPr>
            <w:tcW w:w="1139" w:type="dxa"/>
            <w:tcBorders>
              <w:top w:val="nil"/>
              <w:left w:val="single" w:sz="4" w:space="0" w:color="979991"/>
              <w:bottom w:val="single" w:sz="4" w:space="0" w:color="979991"/>
              <w:right w:val="nil"/>
            </w:tcBorders>
            <w:shd w:val="clear" w:color="auto" w:fill="FFFFFF"/>
            <w:vAlign w:val="center"/>
            <w:hideMark/>
          </w:tcPr>
          <w:p w14:paraId="27BE7AF6"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1,183,080</w:t>
            </w:r>
          </w:p>
        </w:tc>
        <w:tc>
          <w:tcPr>
            <w:tcW w:w="945" w:type="dxa"/>
            <w:tcBorders>
              <w:top w:val="nil"/>
              <w:left w:val="single" w:sz="4" w:space="0" w:color="979991"/>
              <w:bottom w:val="single" w:sz="4" w:space="0" w:color="979991"/>
              <w:right w:val="single" w:sz="4" w:space="0" w:color="979991"/>
            </w:tcBorders>
            <w:shd w:val="clear" w:color="auto" w:fill="FFFFFF"/>
            <w:vAlign w:val="center"/>
            <w:hideMark/>
          </w:tcPr>
          <w:p w14:paraId="517FF786"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980,112</w:t>
            </w:r>
          </w:p>
        </w:tc>
      </w:tr>
      <w:tr w:rsidR="002B519A" w14:paraId="2AC4904B" w14:textId="77777777" w:rsidTr="00FE3675">
        <w:trPr>
          <w:trHeight w:val="300"/>
        </w:trPr>
        <w:tc>
          <w:tcPr>
            <w:tcW w:w="1140" w:type="dxa"/>
            <w:tcBorders>
              <w:top w:val="nil"/>
              <w:left w:val="single" w:sz="4" w:space="0" w:color="979991"/>
              <w:bottom w:val="single" w:sz="4" w:space="0" w:color="979991"/>
              <w:right w:val="nil"/>
            </w:tcBorders>
            <w:shd w:val="clear" w:color="auto" w:fill="F0F4FA"/>
            <w:vAlign w:val="center"/>
            <w:hideMark/>
          </w:tcPr>
          <w:p w14:paraId="18C94A4B"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206305</w:t>
            </w:r>
          </w:p>
        </w:tc>
        <w:tc>
          <w:tcPr>
            <w:tcW w:w="1418" w:type="dxa"/>
            <w:tcBorders>
              <w:top w:val="nil"/>
              <w:left w:val="single" w:sz="4" w:space="0" w:color="979991"/>
              <w:bottom w:val="single" w:sz="4" w:space="0" w:color="979991"/>
              <w:right w:val="nil"/>
            </w:tcBorders>
            <w:shd w:val="clear" w:color="auto" w:fill="FFFFFF"/>
            <w:vAlign w:val="center"/>
            <w:hideMark/>
          </w:tcPr>
          <w:p w14:paraId="7D33E1C7"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4A699AE2"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321,418</w:t>
            </w:r>
          </w:p>
        </w:tc>
        <w:tc>
          <w:tcPr>
            <w:tcW w:w="1139" w:type="dxa"/>
            <w:tcBorders>
              <w:top w:val="nil"/>
              <w:left w:val="single" w:sz="4" w:space="0" w:color="979991"/>
              <w:bottom w:val="single" w:sz="4" w:space="0" w:color="979991"/>
              <w:right w:val="nil"/>
            </w:tcBorders>
            <w:shd w:val="clear" w:color="auto" w:fill="FFFFFF"/>
            <w:vAlign w:val="center"/>
            <w:hideMark/>
          </w:tcPr>
          <w:p w14:paraId="5067B93A"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439,576</w:t>
            </w:r>
          </w:p>
        </w:tc>
        <w:tc>
          <w:tcPr>
            <w:tcW w:w="1000" w:type="dxa"/>
            <w:tcBorders>
              <w:top w:val="nil"/>
              <w:left w:val="single" w:sz="4" w:space="0" w:color="979991"/>
              <w:bottom w:val="single" w:sz="4" w:space="0" w:color="979991"/>
              <w:right w:val="nil"/>
            </w:tcBorders>
            <w:shd w:val="clear" w:color="auto" w:fill="FFFFFF"/>
            <w:vAlign w:val="center"/>
            <w:hideMark/>
          </w:tcPr>
          <w:p w14:paraId="3639B9D7"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294,042</w:t>
            </w:r>
          </w:p>
        </w:tc>
        <w:tc>
          <w:tcPr>
            <w:tcW w:w="1139" w:type="dxa"/>
            <w:tcBorders>
              <w:top w:val="nil"/>
              <w:left w:val="single" w:sz="4" w:space="0" w:color="979991"/>
              <w:bottom w:val="single" w:sz="4" w:space="0" w:color="979991"/>
              <w:right w:val="nil"/>
            </w:tcBorders>
            <w:shd w:val="clear" w:color="auto" w:fill="FFFFFF"/>
            <w:vAlign w:val="center"/>
            <w:hideMark/>
          </w:tcPr>
          <w:p w14:paraId="5F9B49CA"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401,354</w:t>
            </w:r>
          </w:p>
        </w:tc>
        <w:tc>
          <w:tcPr>
            <w:tcW w:w="1000" w:type="dxa"/>
            <w:tcBorders>
              <w:top w:val="nil"/>
              <w:left w:val="single" w:sz="4" w:space="0" w:color="979991"/>
              <w:bottom w:val="single" w:sz="4" w:space="0" w:color="979991"/>
              <w:right w:val="nil"/>
            </w:tcBorders>
            <w:shd w:val="clear" w:color="auto" w:fill="FFFFFF"/>
            <w:vAlign w:val="center"/>
            <w:hideMark/>
          </w:tcPr>
          <w:p w14:paraId="636ABEAB"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292,954</w:t>
            </w:r>
          </w:p>
        </w:tc>
        <w:tc>
          <w:tcPr>
            <w:tcW w:w="1139" w:type="dxa"/>
            <w:tcBorders>
              <w:top w:val="nil"/>
              <w:left w:val="single" w:sz="4" w:space="0" w:color="979991"/>
              <w:bottom w:val="single" w:sz="4" w:space="0" w:color="979991"/>
              <w:right w:val="nil"/>
            </w:tcBorders>
            <w:shd w:val="clear" w:color="auto" w:fill="FFFFFF"/>
            <w:vAlign w:val="center"/>
            <w:hideMark/>
          </w:tcPr>
          <w:p w14:paraId="1121A2BB"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308,621</w:t>
            </w:r>
          </w:p>
        </w:tc>
        <w:tc>
          <w:tcPr>
            <w:tcW w:w="945" w:type="dxa"/>
            <w:tcBorders>
              <w:top w:val="nil"/>
              <w:left w:val="single" w:sz="4" w:space="0" w:color="979991"/>
              <w:bottom w:val="single" w:sz="4" w:space="0" w:color="979991"/>
              <w:right w:val="single" w:sz="4" w:space="0" w:color="979991"/>
            </w:tcBorders>
            <w:shd w:val="clear" w:color="auto" w:fill="FFFFFF"/>
            <w:vAlign w:val="center"/>
            <w:hideMark/>
          </w:tcPr>
          <w:p w14:paraId="526C9608"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276,103</w:t>
            </w:r>
          </w:p>
        </w:tc>
      </w:tr>
      <w:tr w:rsidR="002B519A" w14:paraId="7E997D89" w14:textId="77777777" w:rsidTr="00FE3675">
        <w:trPr>
          <w:trHeight w:val="300"/>
        </w:trPr>
        <w:tc>
          <w:tcPr>
            <w:tcW w:w="1140" w:type="dxa"/>
            <w:tcBorders>
              <w:top w:val="nil"/>
              <w:left w:val="single" w:sz="4" w:space="0" w:color="979991"/>
              <w:bottom w:val="single" w:sz="4" w:space="0" w:color="979991"/>
              <w:right w:val="nil"/>
            </w:tcBorders>
            <w:shd w:val="clear" w:color="auto" w:fill="F0F4FA"/>
            <w:vAlign w:val="center"/>
            <w:hideMark/>
          </w:tcPr>
          <w:p w14:paraId="51E0497D"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206401</w:t>
            </w:r>
          </w:p>
        </w:tc>
        <w:tc>
          <w:tcPr>
            <w:tcW w:w="1418" w:type="dxa"/>
            <w:tcBorders>
              <w:top w:val="nil"/>
              <w:left w:val="single" w:sz="4" w:space="0" w:color="979991"/>
              <w:bottom w:val="single" w:sz="4" w:space="0" w:color="979991"/>
              <w:right w:val="nil"/>
            </w:tcBorders>
            <w:shd w:val="clear" w:color="auto" w:fill="FFFFFF"/>
            <w:vAlign w:val="center"/>
            <w:hideMark/>
          </w:tcPr>
          <w:p w14:paraId="24701BC0"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7BE55855"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15,311,852</w:t>
            </w:r>
          </w:p>
        </w:tc>
        <w:tc>
          <w:tcPr>
            <w:tcW w:w="1139" w:type="dxa"/>
            <w:tcBorders>
              <w:top w:val="nil"/>
              <w:left w:val="single" w:sz="4" w:space="0" w:color="979991"/>
              <w:bottom w:val="single" w:sz="4" w:space="0" w:color="979991"/>
              <w:right w:val="nil"/>
            </w:tcBorders>
            <w:shd w:val="clear" w:color="auto" w:fill="FFFFFF"/>
            <w:vAlign w:val="center"/>
            <w:hideMark/>
          </w:tcPr>
          <w:p w14:paraId="287AAEF0"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15,044,573</w:t>
            </w:r>
          </w:p>
        </w:tc>
        <w:tc>
          <w:tcPr>
            <w:tcW w:w="1000" w:type="dxa"/>
            <w:tcBorders>
              <w:top w:val="nil"/>
              <w:left w:val="single" w:sz="4" w:space="0" w:color="979991"/>
              <w:bottom w:val="single" w:sz="4" w:space="0" w:color="979991"/>
              <w:right w:val="nil"/>
            </w:tcBorders>
            <w:shd w:val="clear" w:color="auto" w:fill="FFFFFF"/>
            <w:vAlign w:val="center"/>
            <w:hideMark/>
          </w:tcPr>
          <w:p w14:paraId="059602FC"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14,660,340</w:t>
            </w:r>
          </w:p>
        </w:tc>
        <w:tc>
          <w:tcPr>
            <w:tcW w:w="1139" w:type="dxa"/>
            <w:tcBorders>
              <w:top w:val="nil"/>
              <w:left w:val="single" w:sz="4" w:space="0" w:color="979991"/>
              <w:bottom w:val="single" w:sz="4" w:space="0" w:color="979991"/>
              <w:right w:val="nil"/>
            </w:tcBorders>
            <w:shd w:val="clear" w:color="auto" w:fill="FFFFFF"/>
            <w:vAlign w:val="center"/>
            <w:hideMark/>
          </w:tcPr>
          <w:p w14:paraId="66FD3032"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13,804,681</w:t>
            </w:r>
          </w:p>
        </w:tc>
        <w:tc>
          <w:tcPr>
            <w:tcW w:w="1000" w:type="dxa"/>
            <w:tcBorders>
              <w:top w:val="nil"/>
              <w:left w:val="single" w:sz="4" w:space="0" w:color="979991"/>
              <w:bottom w:val="single" w:sz="4" w:space="0" w:color="979991"/>
              <w:right w:val="nil"/>
            </w:tcBorders>
            <w:shd w:val="clear" w:color="auto" w:fill="FFFFFF"/>
            <w:vAlign w:val="center"/>
            <w:hideMark/>
          </w:tcPr>
          <w:p w14:paraId="1A2EE647"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13,311,138</w:t>
            </w:r>
          </w:p>
        </w:tc>
        <w:tc>
          <w:tcPr>
            <w:tcW w:w="1139" w:type="dxa"/>
            <w:tcBorders>
              <w:top w:val="nil"/>
              <w:left w:val="single" w:sz="4" w:space="0" w:color="979991"/>
              <w:bottom w:val="single" w:sz="4" w:space="0" w:color="979991"/>
              <w:right w:val="nil"/>
            </w:tcBorders>
            <w:shd w:val="clear" w:color="auto" w:fill="FFFFFF"/>
            <w:vAlign w:val="center"/>
            <w:hideMark/>
          </w:tcPr>
          <w:p w14:paraId="1444EBCA"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12,565,501</w:t>
            </w:r>
          </w:p>
        </w:tc>
        <w:tc>
          <w:tcPr>
            <w:tcW w:w="945" w:type="dxa"/>
            <w:tcBorders>
              <w:top w:val="nil"/>
              <w:left w:val="single" w:sz="4" w:space="0" w:color="979991"/>
              <w:bottom w:val="single" w:sz="4" w:space="0" w:color="979991"/>
              <w:right w:val="single" w:sz="4" w:space="0" w:color="979991"/>
            </w:tcBorders>
            <w:shd w:val="clear" w:color="auto" w:fill="FFFFFF"/>
            <w:vAlign w:val="center"/>
            <w:hideMark/>
          </w:tcPr>
          <w:p w14:paraId="33166E7D"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12,385,822</w:t>
            </w:r>
          </w:p>
        </w:tc>
      </w:tr>
      <w:tr w:rsidR="002B519A" w14:paraId="0CBFBDF7" w14:textId="77777777" w:rsidTr="00FE3675">
        <w:trPr>
          <w:trHeight w:val="300"/>
        </w:trPr>
        <w:tc>
          <w:tcPr>
            <w:tcW w:w="1140" w:type="dxa"/>
            <w:tcBorders>
              <w:top w:val="nil"/>
              <w:left w:val="single" w:sz="4" w:space="0" w:color="979991"/>
              <w:bottom w:val="single" w:sz="4" w:space="0" w:color="979991"/>
              <w:right w:val="nil"/>
            </w:tcBorders>
            <w:shd w:val="clear" w:color="auto" w:fill="F0F4FA"/>
            <w:vAlign w:val="center"/>
            <w:hideMark/>
          </w:tcPr>
          <w:p w14:paraId="6171DF96"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206501</w:t>
            </w:r>
          </w:p>
        </w:tc>
        <w:tc>
          <w:tcPr>
            <w:tcW w:w="1418" w:type="dxa"/>
            <w:tcBorders>
              <w:top w:val="nil"/>
              <w:left w:val="single" w:sz="4" w:space="0" w:color="979991"/>
              <w:bottom w:val="single" w:sz="4" w:space="0" w:color="979991"/>
              <w:right w:val="nil"/>
            </w:tcBorders>
            <w:shd w:val="clear" w:color="auto" w:fill="FFFFFF"/>
            <w:vAlign w:val="center"/>
            <w:hideMark/>
          </w:tcPr>
          <w:p w14:paraId="689B7035"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69,006</w:t>
            </w:r>
          </w:p>
        </w:tc>
        <w:tc>
          <w:tcPr>
            <w:tcW w:w="1000" w:type="dxa"/>
            <w:tcBorders>
              <w:top w:val="nil"/>
              <w:left w:val="single" w:sz="4" w:space="0" w:color="979991"/>
              <w:bottom w:val="single" w:sz="4" w:space="0" w:color="979991"/>
              <w:right w:val="nil"/>
            </w:tcBorders>
            <w:shd w:val="clear" w:color="auto" w:fill="FFFFFF"/>
            <w:vAlign w:val="center"/>
            <w:hideMark/>
          </w:tcPr>
          <w:p w14:paraId="2E2C7E9E"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4,955,017</w:t>
            </w:r>
          </w:p>
        </w:tc>
        <w:tc>
          <w:tcPr>
            <w:tcW w:w="1139" w:type="dxa"/>
            <w:tcBorders>
              <w:top w:val="nil"/>
              <w:left w:val="single" w:sz="4" w:space="0" w:color="979991"/>
              <w:bottom w:val="single" w:sz="4" w:space="0" w:color="979991"/>
              <w:right w:val="nil"/>
            </w:tcBorders>
            <w:shd w:val="clear" w:color="auto" w:fill="FFFFFF"/>
            <w:vAlign w:val="center"/>
            <w:hideMark/>
          </w:tcPr>
          <w:p w14:paraId="7C02334F"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5,004,043</w:t>
            </w:r>
          </w:p>
        </w:tc>
        <w:tc>
          <w:tcPr>
            <w:tcW w:w="1000" w:type="dxa"/>
            <w:tcBorders>
              <w:top w:val="nil"/>
              <w:left w:val="single" w:sz="4" w:space="0" w:color="979991"/>
              <w:bottom w:val="single" w:sz="4" w:space="0" w:color="979991"/>
              <w:right w:val="nil"/>
            </w:tcBorders>
            <w:shd w:val="clear" w:color="auto" w:fill="FFFFFF"/>
            <w:vAlign w:val="center"/>
            <w:hideMark/>
          </w:tcPr>
          <w:p w14:paraId="7B775B93"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4,490,593</w:t>
            </w:r>
          </w:p>
        </w:tc>
        <w:tc>
          <w:tcPr>
            <w:tcW w:w="1139" w:type="dxa"/>
            <w:tcBorders>
              <w:top w:val="nil"/>
              <w:left w:val="single" w:sz="4" w:space="0" w:color="979991"/>
              <w:bottom w:val="single" w:sz="4" w:space="0" w:color="979991"/>
              <w:right w:val="nil"/>
            </w:tcBorders>
            <w:shd w:val="clear" w:color="auto" w:fill="FFFFFF"/>
            <w:vAlign w:val="center"/>
            <w:hideMark/>
          </w:tcPr>
          <w:p w14:paraId="2D011C9A"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4,539,390</w:t>
            </w:r>
          </w:p>
        </w:tc>
        <w:tc>
          <w:tcPr>
            <w:tcW w:w="1000" w:type="dxa"/>
            <w:tcBorders>
              <w:top w:val="nil"/>
              <w:left w:val="single" w:sz="4" w:space="0" w:color="979991"/>
              <w:bottom w:val="single" w:sz="4" w:space="0" w:color="979991"/>
              <w:right w:val="nil"/>
            </w:tcBorders>
            <w:shd w:val="clear" w:color="auto" w:fill="FFFFFF"/>
            <w:vAlign w:val="center"/>
            <w:hideMark/>
          </w:tcPr>
          <w:p w14:paraId="1EB2FFB6"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4,194,076</w:t>
            </w:r>
          </w:p>
        </w:tc>
        <w:tc>
          <w:tcPr>
            <w:tcW w:w="1139" w:type="dxa"/>
            <w:tcBorders>
              <w:top w:val="nil"/>
              <w:left w:val="single" w:sz="4" w:space="0" w:color="979991"/>
              <w:bottom w:val="single" w:sz="4" w:space="0" w:color="979991"/>
              <w:right w:val="nil"/>
            </w:tcBorders>
            <w:shd w:val="clear" w:color="auto" w:fill="FFFFFF"/>
            <w:vAlign w:val="center"/>
            <w:hideMark/>
          </w:tcPr>
          <w:p w14:paraId="5408B2B2"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4,234,924</w:t>
            </w:r>
          </w:p>
        </w:tc>
        <w:tc>
          <w:tcPr>
            <w:tcW w:w="945" w:type="dxa"/>
            <w:tcBorders>
              <w:top w:val="nil"/>
              <w:left w:val="single" w:sz="4" w:space="0" w:color="979991"/>
              <w:bottom w:val="single" w:sz="4" w:space="0" w:color="979991"/>
              <w:right w:val="single" w:sz="4" w:space="0" w:color="979991"/>
            </w:tcBorders>
            <w:shd w:val="clear" w:color="auto" w:fill="FFFFFF"/>
            <w:vAlign w:val="center"/>
            <w:hideMark/>
          </w:tcPr>
          <w:p w14:paraId="6CBC3EBD"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4,149,620</w:t>
            </w:r>
          </w:p>
        </w:tc>
      </w:tr>
      <w:tr w:rsidR="002B519A" w14:paraId="3ADE3656" w14:textId="77777777" w:rsidTr="00FE3675">
        <w:trPr>
          <w:trHeight w:val="300"/>
        </w:trPr>
        <w:tc>
          <w:tcPr>
            <w:tcW w:w="1140" w:type="dxa"/>
            <w:tcBorders>
              <w:top w:val="nil"/>
              <w:left w:val="single" w:sz="4" w:space="0" w:color="979991"/>
              <w:bottom w:val="single" w:sz="4" w:space="0" w:color="979991"/>
              <w:right w:val="nil"/>
            </w:tcBorders>
            <w:shd w:val="clear" w:color="auto" w:fill="F0F4FA"/>
            <w:vAlign w:val="center"/>
            <w:hideMark/>
          </w:tcPr>
          <w:p w14:paraId="32E77663"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206601</w:t>
            </w:r>
          </w:p>
        </w:tc>
        <w:tc>
          <w:tcPr>
            <w:tcW w:w="1418" w:type="dxa"/>
            <w:tcBorders>
              <w:top w:val="nil"/>
              <w:left w:val="single" w:sz="4" w:space="0" w:color="979991"/>
              <w:bottom w:val="single" w:sz="4" w:space="0" w:color="979991"/>
              <w:right w:val="nil"/>
            </w:tcBorders>
            <w:shd w:val="clear" w:color="auto" w:fill="FFFFFF"/>
            <w:vAlign w:val="center"/>
            <w:hideMark/>
          </w:tcPr>
          <w:p w14:paraId="74B57CA4"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-32,000</w:t>
            </w:r>
          </w:p>
        </w:tc>
        <w:tc>
          <w:tcPr>
            <w:tcW w:w="1000" w:type="dxa"/>
            <w:tcBorders>
              <w:top w:val="nil"/>
              <w:left w:val="single" w:sz="4" w:space="0" w:color="979991"/>
              <w:bottom w:val="single" w:sz="4" w:space="0" w:color="979991"/>
              <w:right w:val="nil"/>
            </w:tcBorders>
            <w:shd w:val="clear" w:color="auto" w:fill="FFFFFF"/>
            <w:vAlign w:val="center"/>
            <w:hideMark/>
          </w:tcPr>
          <w:p w14:paraId="717BA71F"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5,534,625</w:t>
            </w:r>
          </w:p>
        </w:tc>
        <w:tc>
          <w:tcPr>
            <w:tcW w:w="1139" w:type="dxa"/>
            <w:tcBorders>
              <w:top w:val="nil"/>
              <w:left w:val="single" w:sz="4" w:space="0" w:color="979991"/>
              <w:bottom w:val="single" w:sz="4" w:space="0" w:color="979991"/>
              <w:right w:val="nil"/>
            </w:tcBorders>
            <w:shd w:val="clear" w:color="auto" w:fill="FFFFFF"/>
            <w:vAlign w:val="center"/>
            <w:hideMark/>
          </w:tcPr>
          <w:p w14:paraId="2FC740BB"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5,320,678</w:t>
            </w:r>
          </w:p>
        </w:tc>
        <w:tc>
          <w:tcPr>
            <w:tcW w:w="1000" w:type="dxa"/>
            <w:tcBorders>
              <w:top w:val="nil"/>
              <w:left w:val="single" w:sz="4" w:space="0" w:color="979991"/>
              <w:bottom w:val="single" w:sz="4" w:space="0" w:color="979991"/>
              <w:right w:val="nil"/>
            </w:tcBorders>
            <w:shd w:val="clear" w:color="auto" w:fill="FFFFFF"/>
            <w:vAlign w:val="center"/>
            <w:hideMark/>
          </w:tcPr>
          <w:p w14:paraId="0A0B1224"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5,046,629</w:t>
            </w:r>
          </w:p>
        </w:tc>
        <w:tc>
          <w:tcPr>
            <w:tcW w:w="1139" w:type="dxa"/>
            <w:tcBorders>
              <w:top w:val="nil"/>
              <w:left w:val="single" w:sz="4" w:space="0" w:color="979991"/>
              <w:bottom w:val="single" w:sz="4" w:space="0" w:color="979991"/>
              <w:right w:val="nil"/>
            </w:tcBorders>
            <w:shd w:val="clear" w:color="auto" w:fill="FFFFFF"/>
            <w:vAlign w:val="center"/>
            <w:hideMark/>
          </w:tcPr>
          <w:p w14:paraId="65C39823"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5,145,649</w:t>
            </w:r>
          </w:p>
        </w:tc>
        <w:tc>
          <w:tcPr>
            <w:tcW w:w="1000" w:type="dxa"/>
            <w:tcBorders>
              <w:top w:val="nil"/>
              <w:left w:val="single" w:sz="4" w:space="0" w:color="979991"/>
              <w:bottom w:val="single" w:sz="4" w:space="0" w:color="979991"/>
              <w:right w:val="nil"/>
            </w:tcBorders>
            <w:shd w:val="clear" w:color="auto" w:fill="FFFFFF"/>
            <w:vAlign w:val="center"/>
            <w:hideMark/>
          </w:tcPr>
          <w:p w14:paraId="1BB0653D"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4,648,710</w:t>
            </w:r>
          </w:p>
        </w:tc>
        <w:tc>
          <w:tcPr>
            <w:tcW w:w="1139" w:type="dxa"/>
            <w:tcBorders>
              <w:top w:val="nil"/>
              <w:left w:val="single" w:sz="4" w:space="0" w:color="979991"/>
              <w:bottom w:val="single" w:sz="4" w:space="0" w:color="979991"/>
              <w:right w:val="nil"/>
            </w:tcBorders>
            <w:shd w:val="clear" w:color="auto" w:fill="FFFFFF"/>
            <w:vAlign w:val="center"/>
            <w:hideMark/>
          </w:tcPr>
          <w:p w14:paraId="59288590"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4,822,787</w:t>
            </w:r>
          </w:p>
        </w:tc>
        <w:tc>
          <w:tcPr>
            <w:tcW w:w="945" w:type="dxa"/>
            <w:tcBorders>
              <w:top w:val="nil"/>
              <w:left w:val="single" w:sz="4" w:space="0" w:color="979991"/>
              <w:bottom w:val="single" w:sz="4" w:space="0" w:color="979991"/>
              <w:right w:val="single" w:sz="4" w:space="0" w:color="979991"/>
            </w:tcBorders>
            <w:shd w:val="clear" w:color="auto" w:fill="FFFFFF"/>
            <w:vAlign w:val="center"/>
            <w:hideMark/>
          </w:tcPr>
          <w:p w14:paraId="0298CC31"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4,407,573</w:t>
            </w:r>
          </w:p>
        </w:tc>
      </w:tr>
      <w:tr w:rsidR="002B519A" w14:paraId="464BCB9A" w14:textId="77777777" w:rsidTr="00FE3675">
        <w:trPr>
          <w:trHeight w:val="300"/>
        </w:trPr>
        <w:tc>
          <w:tcPr>
            <w:tcW w:w="1140" w:type="dxa"/>
            <w:tcBorders>
              <w:top w:val="nil"/>
              <w:left w:val="single" w:sz="4" w:space="0" w:color="979991"/>
              <w:bottom w:val="single" w:sz="4" w:space="0" w:color="979991"/>
              <w:right w:val="nil"/>
            </w:tcBorders>
            <w:shd w:val="clear" w:color="auto" w:fill="F0F4FA"/>
            <w:vAlign w:val="center"/>
            <w:hideMark/>
          </w:tcPr>
          <w:p w14:paraId="79D76678"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206701</w:t>
            </w:r>
          </w:p>
        </w:tc>
        <w:tc>
          <w:tcPr>
            <w:tcW w:w="1418" w:type="dxa"/>
            <w:tcBorders>
              <w:top w:val="nil"/>
              <w:left w:val="single" w:sz="4" w:space="0" w:color="979991"/>
              <w:bottom w:val="single" w:sz="4" w:space="0" w:color="979991"/>
              <w:right w:val="nil"/>
            </w:tcBorders>
            <w:shd w:val="clear" w:color="auto" w:fill="FFFFFF"/>
            <w:vAlign w:val="center"/>
            <w:hideMark/>
          </w:tcPr>
          <w:p w14:paraId="578309A5"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119,310</w:t>
            </w:r>
          </w:p>
        </w:tc>
        <w:tc>
          <w:tcPr>
            <w:tcW w:w="1000" w:type="dxa"/>
            <w:tcBorders>
              <w:top w:val="nil"/>
              <w:left w:val="single" w:sz="4" w:space="0" w:color="979991"/>
              <w:bottom w:val="single" w:sz="4" w:space="0" w:color="979991"/>
              <w:right w:val="nil"/>
            </w:tcBorders>
            <w:shd w:val="clear" w:color="auto" w:fill="FFFFFF"/>
            <w:vAlign w:val="center"/>
            <w:hideMark/>
          </w:tcPr>
          <w:p w14:paraId="5915E91D"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4,067,951</w:t>
            </w:r>
          </w:p>
        </w:tc>
        <w:tc>
          <w:tcPr>
            <w:tcW w:w="1139" w:type="dxa"/>
            <w:tcBorders>
              <w:top w:val="nil"/>
              <w:left w:val="single" w:sz="4" w:space="0" w:color="979991"/>
              <w:bottom w:val="single" w:sz="4" w:space="0" w:color="979991"/>
              <w:right w:val="nil"/>
            </w:tcBorders>
            <w:shd w:val="clear" w:color="auto" w:fill="FFFFFF"/>
            <w:vAlign w:val="center"/>
            <w:hideMark/>
          </w:tcPr>
          <w:p w14:paraId="389CE623"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4,788,466</w:t>
            </w:r>
          </w:p>
        </w:tc>
        <w:tc>
          <w:tcPr>
            <w:tcW w:w="1000" w:type="dxa"/>
            <w:tcBorders>
              <w:top w:val="nil"/>
              <w:left w:val="single" w:sz="4" w:space="0" w:color="979991"/>
              <w:bottom w:val="single" w:sz="4" w:space="0" w:color="979991"/>
              <w:right w:val="nil"/>
            </w:tcBorders>
            <w:shd w:val="clear" w:color="auto" w:fill="FFFFFF"/>
            <w:vAlign w:val="center"/>
            <w:hideMark/>
          </w:tcPr>
          <w:p w14:paraId="76359611"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3,332,255</w:t>
            </w:r>
          </w:p>
        </w:tc>
        <w:tc>
          <w:tcPr>
            <w:tcW w:w="1139" w:type="dxa"/>
            <w:tcBorders>
              <w:top w:val="nil"/>
              <w:left w:val="single" w:sz="4" w:space="0" w:color="979991"/>
              <w:bottom w:val="single" w:sz="4" w:space="0" w:color="979991"/>
              <w:right w:val="nil"/>
            </w:tcBorders>
            <w:shd w:val="clear" w:color="auto" w:fill="FFFFFF"/>
            <w:vAlign w:val="center"/>
            <w:hideMark/>
          </w:tcPr>
          <w:p w14:paraId="00CB03B7"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4,087,270</w:t>
            </w:r>
          </w:p>
        </w:tc>
        <w:tc>
          <w:tcPr>
            <w:tcW w:w="1000" w:type="dxa"/>
            <w:tcBorders>
              <w:top w:val="nil"/>
              <w:left w:val="single" w:sz="4" w:space="0" w:color="979991"/>
              <w:bottom w:val="single" w:sz="4" w:space="0" w:color="979991"/>
              <w:right w:val="nil"/>
            </w:tcBorders>
            <w:shd w:val="clear" w:color="auto" w:fill="FFFFFF"/>
            <w:vAlign w:val="center"/>
            <w:hideMark/>
          </w:tcPr>
          <w:p w14:paraId="075A2893"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3,691,164</w:t>
            </w:r>
          </w:p>
        </w:tc>
        <w:tc>
          <w:tcPr>
            <w:tcW w:w="1139" w:type="dxa"/>
            <w:tcBorders>
              <w:top w:val="nil"/>
              <w:left w:val="single" w:sz="4" w:space="0" w:color="979991"/>
              <w:bottom w:val="single" w:sz="4" w:space="0" w:color="979991"/>
              <w:right w:val="nil"/>
            </w:tcBorders>
            <w:shd w:val="clear" w:color="auto" w:fill="FFFFFF"/>
            <w:vAlign w:val="center"/>
            <w:hideMark/>
          </w:tcPr>
          <w:p w14:paraId="28D33F82"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3,320,154</w:t>
            </w:r>
          </w:p>
        </w:tc>
        <w:tc>
          <w:tcPr>
            <w:tcW w:w="945" w:type="dxa"/>
            <w:tcBorders>
              <w:top w:val="nil"/>
              <w:left w:val="single" w:sz="4" w:space="0" w:color="979991"/>
              <w:bottom w:val="single" w:sz="4" w:space="0" w:color="979991"/>
              <w:right w:val="single" w:sz="4" w:space="0" w:color="979991"/>
            </w:tcBorders>
            <w:shd w:val="clear" w:color="auto" w:fill="FFFFFF"/>
            <w:vAlign w:val="center"/>
            <w:hideMark/>
          </w:tcPr>
          <w:p w14:paraId="4B3834BB"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2,675,779</w:t>
            </w:r>
          </w:p>
        </w:tc>
      </w:tr>
      <w:tr w:rsidR="002B519A" w14:paraId="5B09BADB" w14:textId="77777777" w:rsidTr="00FE3675">
        <w:trPr>
          <w:trHeight w:val="300"/>
        </w:trPr>
        <w:tc>
          <w:tcPr>
            <w:tcW w:w="1140" w:type="dxa"/>
            <w:tcBorders>
              <w:top w:val="nil"/>
              <w:left w:val="single" w:sz="4" w:space="0" w:color="979991"/>
              <w:bottom w:val="single" w:sz="4" w:space="0" w:color="979991"/>
              <w:right w:val="nil"/>
            </w:tcBorders>
            <w:shd w:val="clear" w:color="auto" w:fill="F0F4FA"/>
            <w:vAlign w:val="center"/>
            <w:hideMark/>
          </w:tcPr>
          <w:p w14:paraId="64CEB70C"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206702</w:t>
            </w:r>
          </w:p>
        </w:tc>
        <w:tc>
          <w:tcPr>
            <w:tcW w:w="1418" w:type="dxa"/>
            <w:tcBorders>
              <w:top w:val="nil"/>
              <w:left w:val="single" w:sz="4" w:space="0" w:color="979991"/>
              <w:bottom w:val="single" w:sz="4" w:space="0" w:color="979991"/>
              <w:right w:val="nil"/>
            </w:tcBorders>
            <w:shd w:val="clear" w:color="auto" w:fill="FFFFFF"/>
            <w:vAlign w:val="center"/>
            <w:hideMark/>
          </w:tcPr>
          <w:p w14:paraId="69513AF9"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16,167</w:t>
            </w:r>
          </w:p>
        </w:tc>
        <w:tc>
          <w:tcPr>
            <w:tcW w:w="1000" w:type="dxa"/>
            <w:tcBorders>
              <w:top w:val="nil"/>
              <w:left w:val="single" w:sz="4" w:space="0" w:color="979991"/>
              <w:bottom w:val="single" w:sz="4" w:space="0" w:color="979991"/>
              <w:right w:val="nil"/>
            </w:tcBorders>
            <w:shd w:val="clear" w:color="auto" w:fill="FFFFFF"/>
            <w:vAlign w:val="center"/>
            <w:hideMark/>
          </w:tcPr>
          <w:p w14:paraId="6C5046B5"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1,740,346</w:t>
            </w:r>
          </w:p>
        </w:tc>
        <w:tc>
          <w:tcPr>
            <w:tcW w:w="1139" w:type="dxa"/>
            <w:tcBorders>
              <w:top w:val="nil"/>
              <w:left w:val="single" w:sz="4" w:space="0" w:color="979991"/>
              <w:bottom w:val="single" w:sz="4" w:space="0" w:color="979991"/>
              <w:right w:val="nil"/>
            </w:tcBorders>
            <w:shd w:val="clear" w:color="auto" w:fill="FFFFFF"/>
            <w:vAlign w:val="center"/>
            <w:hideMark/>
          </w:tcPr>
          <w:p w14:paraId="5EB58F4E"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1,943,582</w:t>
            </w:r>
          </w:p>
        </w:tc>
        <w:tc>
          <w:tcPr>
            <w:tcW w:w="1000" w:type="dxa"/>
            <w:tcBorders>
              <w:top w:val="nil"/>
              <w:left w:val="single" w:sz="4" w:space="0" w:color="979991"/>
              <w:bottom w:val="single" w:sz="4" w:space="0" w:color="979991"/>
              <w:right w:val="nil"/>
            </w:tcBorders>
            <w:shd w:val="clear" w:color="auto" w:fill="FFFFFF"/>
            <w:vAlign w:val="center"/>
            <w:hideMark/>
          </w:tcPr>
          <w:p w14:paraId="76477F6B"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1,799,539</w:t>
            </w:r>
          </w:p>
        </w:tc>
        <w:tc>
          <w:tcPr>
            <w:tcW w:w="1139" w:type="dxa"/>
            <w:tcBorders>
              <w:top w:val="nil"/>
              <w:left w:val="single" w:sz="4" w:space="0" w:color="979991"/>
              <w:bottom w:val="single" w:sz="4" w:space="0" w:color="979991"/>
              <w:right w:val="nil"/>
            </w:tcBorders>
            <w:shd w:val="clear" w:color="auto" w:fill="FFFFFF"/>
            <w:vAlign w:val="center"/>
            <w:hideMark/>
          </w:tcPr>
          <w:p w14:paraId="2FF03524"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2,215,078</w:t>
            </w:r>
          </w:p>
        </w:tc>
        <w:tc>
          <w:tcPr>
            <w:tcW w:w="1000" w:type="dxa"/>
            <w:tcBorders>
              <w:top w:val="nil"/>
              <w:left w:val="single" w:sz="4" w:space="0" w:color="979991"/>
              <w:bottom w:val="single" w:sz="4" w:space="0" w:color="979991"/>
              <w:right w:val="nil"/>
            </w:tcBorders>
            <w:shd w:val="clear" w:color="auto" w:fill="FFFFFF"/>
            <w:vAlign w:val="center"/>
            <w:hideMark/>
          </w:tcPr>
          <w:p w14:paraId="2D3376ED"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1,789,762</w:t>
            </w:r>
          </w:p>
        </w:tc>
        <w:tc>
          <w:tcPr>
            <w:tcW w:w="1139" w:type="dxa"/>
            <w:tcBorders>
              <w:top w:val="nil"/>
              <w:left w:val="single" w:sz="4" w:space="0" w:color="979991"/>
              <w:bottom w:val="single" w:sz="4" w:space="0" w:color="979991"/>
              <w:right w:val="nil"/>
            </w:tcBorders>
            <w:shd w:val="clear" w:color="auto" w:fill="FFFFFF"/>
            <w:vAlign w:val="center"/>
            <w:hideMark/>
          </w:tcPr>
          <w:p w14:paraId="2A663B90"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1,839,063</w:t>
            </w:r>
          </w:p>
        </w:tc>
        <w:tc>
          <w:tcPr>
            <w:tcW w:w="945" w:type="dxa"/>
            <w:tcBorders>
              <w:top w:val="nil"/>
              <w:left w:val="single" w:sz="4" w:space="0" w:color="979991"/>
              <w:bottom w:val="single" w:sz="4" w:space="0" w:color="979991"/>
              <w:right w:val="single" w:sz="4" w:space="0" w:color="979991"/>
            </w:tcBorders>
            <w:shd w:val="clear" w:color="auto" w:fill="FFFFFF"/>
            <w:vAlign w:val="center"/>
            <w:hideMark/>
          </w:tcPr>
          <w:p w14:paraId="2F07D882"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1,807,962</w:t>
            </w:r>
          </w:p>
        </w:tc>
      </w:tr>
      <w:tr w:rsidR="002B519A" w14:paraId="34AA0D51" w14:textId="77777777" w:rsidTr="00FE3675">
        <w:trPr>
          <w:trHeight w:val="300"/>
        </w:trPr>
        <w:tc>
          <w:tcPr>
            <w:tcW w:w="1140" w:type="dxa"/>
            <w:tcBorders>
              <w:top w:val="nil"/>
              <w:left w:val="single" w:sz="4" w:space="0" w:color="979991"/>
              <w:bottom w:val="single" w:sz="4" w:space="0" w:color="979991"/>
              <w:right w:val="nil"/>
            </w:tcBorders>
            <w:shd w:val="clear" w:color="auto" w:fill="F0F4FA"/>
            <w:vAlign w:val="center"/>
            <w:hideMark/>
          </w:tcPr>
          <w:p w14:paraId="1F525647"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206703</w:t>
            </w:r>
          </w:p>
        </w:tc>
        <w:tc>
          <w:tcPr>
            <w:tcW w:w="1418" w:type="dxa"/>
            <w:tcBorders>
              <w:top w:val="nil"/>
              <w:left w:val="single" w:sz="4" w:space="0" w:color="979991"/>
              <w:bottom w:val="single" w:sz="4" w:space="0" w:color="979991"/>
              <w:right w:val="nil"/>
            </w:tcBorders>
            <w:shd w:val="clear" w:color="auto" w:fill="FFFFFF"/>
            <w:vAlign w:val="center"/>
            <w:hideMark/>
          </w:tcPr>
          <w:p w14:paraId="34C498CB"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30,366</w:t>
            </w:r>
          </w:p>
        </w:tc>
        <w:tc>
          <w:tcPr>
            <w:tcW w:w="1000" w:type="dxa"/>
            <w:tcBorders>
              <w:top w:val="nil"/>
              <w:left w:val="single" w:sz="4" w:space="0" w:color="979991"/>
              <w:bottom w:val="single" w:sz="4" w:space="0" w:color="979991"/>
              <w:right w:val="nil"/>
            </w:tcBorders>
            <w:shd w:val="clear" w:color="auto" w:fill="FFFFFF"/>
            <w:vAlign w:val="center"/>
            <w:hideMark/>
          </w:tcPr>
          <w:p w14:paraId="752663A8"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130,112</w:t>
            </w:r>
          </w:p>
        </w:tc>
        <w:tc>
          <w:tcPr>
            <w:tcW w:w="1139" w:type="dxa"/>
            <w:tcBorders>
              <w:top w:val="nil"/>
              <w:left w:val="single" w:sz="4" w:space="0" w:color="979991"/>
              <w:bottom w:val="single" w:sz="4" w:space="0" w:color="979991"/>
              <w:right w:val="nil"/>
            </w:tcBorders>
            <w:shd w:val="clear" w:color="auto" w:fill="FFFFFF"/>
            <w:vAlign w:val="center"/>
            <w:hideMark/>
          </w:tcPr>
          <w:p w14:paraId="5CCA21E9"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123,290</w:t>
            </w:r>
          </w:p>
        </w:tc>
        <w:tc>
          <w:tcPr>
            <w:tcW w:w="1000" w:type="dxa"/>
            <w:tcBorders>
              <w:top w:val="nil"/>
              <w:left w:val="single" w:sz="4" w:space="0" w:color="979991"/>
              <w:bottom w:val="single" w:sz="4" w:space="0" w:color="979991"/>
              <w:right w:val="nil"/>
            </w:tcBorders>
            <w:shd w:val="clear" w:color="auto" w:fill="FFFFFF"/>
            <w:vAlign w:val="center"/>
            <w:hideMark/>
          </w:tcPr>
          <w:p w14:paraId="5183C77A"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137,685</w:t>
            </w:r>
          </w:p>
        </w:tc>
        <w:tc>
          <w:tcPr>
            <w:tcW w:w="1139" w:type="dxa"/>
            <w:tcBorders>
              <w:top w:val="nil"/>
              <w:left w:val="single" w:sz="4" w:space="0" w:color="979991"/>
              <w:bottom w:val="single" w:sz="4" w:space="0" w:color="979991"/>
              <w:right w:val="nil"/>
            </w:tcBorders>
            <w:shd w:val="clear" w:color="auto" w:fill="FFFFFF"/>
            <w:vAlign w:val="center"/>
            <w:hideMark/>
          </w:tcPr>
          <w:p w14:paraId="4788795F"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131,485</w:t>
            </w:r>
          </w:p>
        </w:tc>
        <w:tc>
          <w:tcPr>
            <w:tcW w:w="1000" w:type="dxa"/>
            <w:tcBorders>
              <w:top w:val="nil"/>
              <w:left w:val="single" w:sz="4" w:space="0" w:color="979991"/>
              <w:bottom w:val="single" w:sz="4" w:space="0" w:color="979991"/>
              <w:right w:val="nil"/>
            </w:tcBorders>
            <w:shd w:val="clear" w:color="auto" w:fill="FFFFFF"/>
            <w:vAlign w:val="center"/>
            <w:hideMark/>
          </w:tcPr>
          <w:p w14:paraId="59A51A7C"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142,057</w:t>
            </w:r>
          </w:p>
        </w:tc>
        <w:tc>
          <w:tcPr>
            <w:tcW w:w="1139" w:type="dxa"/>
            <w:tcBorders>
              <w:top w:val="nil"/>
              <w:left w:val="single" w:sz="4" w:space="0" w:color="979991"/>
              <w:bottom w:val="single" w:sz="4" w:space="0" w:color="979991"/>
              <w:right w:val="nil"/>
            </w:tcBorders>
            <w:shd w:val="clear" w:color="auto" w:fill="FFFFFF"/>
            <w:vAlign w:val="center"/>
            <w:hideMark/>
          </w:tcPr>
          <w:p w14:paraId="2DF5F33F"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171,209</w:t>
            </w:r>
          </w:p>
        </w:tc>
        <w:tc>
          <w:tcPr>
            <w:tcW w:w="945" w:type="dxa"/>
            <w:tcBorders>
              <w:top w:val="nil"/>
              <w:left w:val="single" w:sz="4" w:space="0" w:color="979991"/>
              <w:bottom w:val="single" w:sz="4" w:space="0" w:color="979991"/>
              <w:right w:val="single" w:sz="4" w:space="0" w:color="979991"/>
            </w:tcBorders>
            <w:shd w:val="clear" w:color="auto" w:fill="FFFFFF"/>
            <w:vAlign w:val="center"/>
            <w:hideMark/>
          </w:tcPr>
          <w:p w14:paraId="4F817674"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168,372</w:t>
            </w:r>
          </w:p>
        </w:tc>
      </w:tr>
      <w:tr w:rsidR="002B519A" w14:paraId="6CD4491D" w14:textId="77777777" w:rsidTr="00FE3675">
        <w:trPr>
          <w:trHeight w:val="300"/>
        </w:trPr>
        <w:tc>
          <w:tcPr>
            <w:tcW w:w="1140" w:type="dxa"/>
            <w:tcBorders>
              <w:top w:val="nil"/>
              <w:left w:val="single" w:sz="4" w:space="0" w:color="979991"/>
              <w:bottom w:val="single" w:sz="4" w:space="0" w:color="979991"/>
              <w:right w:val="nil"/>
            </w:tcBorders>
            <w:shd w:val="clear" w:color="auto" w:fill="F0F4FA"/>
            <w:vAlign w:val="center"/>
            <w:hideMark/>
          </w:tcPr>
          <w:p w14:paraId="7ACDB9B5"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206801</w:t>
            </w:r>
          </w:p>
        </w:tc>
        <w:tc>
          <w:tcPr>
            <w:tcW w:w="1418" w:type="dxa"/>
            <w:tcBorders>
              <w:top w:val="nil"/>
              <w:left w:val="single" w:sz="4" w:space="0" w:color="979991"/>
              <w:bottom w:val="single" w:sz="4" w:space="0" w:color="979991"/>
              <w:right w:val="nil"/>
            </w:tcBorders>
            <w:shd w:val="clear" w:color="auto" w:fill="FFFFFF"/>
            <w:vAlign w:val="center"/>
            <w:hideMark/>
          </w:tcPr>
          <w:p w14:paraId="415A5A6D"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234,327</w:t>
            </w:r>
          </w:p>
        </w:tc>
        <w:tc>
          <w:tcPr>
            <w:tcW w:w="1000" w:type="dxa"/>
            <w:tcBorders>
              <w:top w:val="nil"/>
              <w:left w:val="single" w:sz="4" w:space="0" w:color="979991"/>
              <w:bottom w:val="single" w:sz="4" w:space="0" w:color="979991"/>
              <w:right w:val="nil"/>
            </w:tcBorders>
            <w:shd w:val="clear" w:color="auto" w:fill="FFFFFF"/>
            <w:vAlign w:val="center"/>
            <w:hideMark/>
          </w:tcPr>
          <w:p w14:paraId="424BE33C"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1,837,651</w:t>
            </w:r>
          </w:p>
        </w:tc>
        <w:tc>
          <w:tcPr>
            <w:tcW w:w="1139" w:type="dxa"/>
            <w:tcBorders>
              <w:top w:val="nil"/>
              <w:left w:val="single" w:sz="4" w:space="0" w:color="979991"/>
              <w:bottom w:val="single" w:sz="4" w:space="0" w:color="979991"/>
              <w:right w:val="nil"/>
            </w:tcBorders>
            <w:shd w:val="clear" w:color="auto" w:fill="FFFFFF"/>
            <w:vAlign w:val="center"/>
            <w:hideMark/>
          </w:tcPr>
          <w:p w14:paraId="74595441"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2,110,222</w:t>
            </w:r>
          </w:p>
        </w:tc>
        <w:tc>
          <w:tcPr>
            <w:tcW w:w="1000" w:type="dxa"/>
            <w:tcBorders>
              <w:top w:val="nil"/>
              <w:left w:val="single" w:sz="4" w:space="0" w:color="979991"/>
              <w:bottom w:val="single" w:sz="4" w:space="0" w:color="979991"/>
              <w:right w:val="nil"/>
            </w:tcBorders>
            <w:shd w:val="clear" w:color="auto" w:fill="FFFFFF"/>
            <w:vAlign w:val="center"/>
            <w:hideMark/>
          </w:tcPr>
          <w:p w14:paraId="22022B30"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1,850,322</w:t>
            </w:r>
          </w:p>
        </w:tc>
        <w:tc>
          <w:tcPr>
            <w:tcW w:w="1139" w:type="dxa"/>
            <w:tcBorders>
              <w:top w:val="nil"/>
              <w:left w:val="single" w:sz="4" w:space="0" w:color="979991"/>
              <w:bottom w:val="single" w:sz="4" w:space="0" w:color="979991"/>
              <w:right w:val="nil"/>
            </w:tcBorders>
            <w:shd w:val="clear" w:color="auto" w:fill="FFFFFF"/>
            <w:vAlign w:val="center"/>
            <w:hideMark/>
          </w:tcPr>
          <w:p w14:paraId="483FA7BB"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2,146,413</w:t>
            </w:r>
          </w:p>
        </w:tc>
        <w:tc>
          <w:tcPr>
            <w:tcW w:w="1000" w:type="dxa"/>
            <w:tcBorders>
              <w:top w:val="nil"/>
              <w:left w:val="single" w:sz="4" w:space="0" w:color="979991"/>
              <w:bottom w:val="single" w:sz="4" w:space="0" w:color="979991"/>
              <w:right w:val="nil"/>
            </w:tcBorders>
            <w:shd w:val="clear" w:color="auto" w:fill="FFFFFF"/>
            <w:vAlign w:val="center"/>
            <w:hideMark/>
          </w:tcPr>
          <w:p w14:paraId="4D127BDD"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1,743,055</w:t>
            </w:r>
          </w:p>
        </w:tc>
        <w:tc>
          <w:tcPr>
            <w:tcW w:w="1139" w:type="dxa"/>
            <w:tcBorders>
              <w:top w:val="nil"/>
              <w:left w:val="single" w:sz="4" w:space="0" w:color="979991"/>
              <w:bottom w:val="single" w:sz="4" w:space="0" w:color="979991"/>
              <w:right w:val="nil"/>
            </w:tcBorders>
            <w:shd w:val="clear" w:color="auto" w:fill="FFFFFF"/>
            <w:vAlign w:val="center"/>
            <w:hideMark/>
          </w:tcPr>
          <w:p w14:paraId="59269956"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1,631,191</w:t>
            </w:r>
          </w:p>
        </w:tc>
        <w:tc>
          <w:tcPr>
            <w:tcW w:w="945" w:type="dxa"/>
            <w:tcBorders>
              <w:top w:val="nil"/>
              <w:left w:val="single" w:sz="4" w:space="0" w:color="979991"/>
              <w:bottom w:val="single" w:sz="4" w:space="0" w:color="979991"/>
              <w:right w:val="single" w:sz="4" w:space="0" w:color="979991"/>
            </w:tcBorders>
            <w:shd w:val="clear" w:color="auto" w:fill="FFFFFF"/>
            <w:vAlign w:val="center"/>
            <w:hideMark/>
          </w:tcPr>
          <w:p w14:paraId="38D56018"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1,762,511</w:t>
            </w:r>
          </w:p>
        </w:tc>
      </w:tr>
      <w:tr w:rsidR="002B519A" w14:paraId="4525185D" w14:textId="77777777" w:rsidTr="00FE3675">
        <w:trPr>
          <w:trHeight w:val="300"/>
        </w:trPr>
        <w:tc>
          <w:tcPr>
            <w:tcW w:w="1140" w:type="dxa"/>
            <w:tcBorders>
              <w:top w:val="nil"/>
              <w:left w:val="single" w:sz="4" w:space="0" w:color="979991"/>
              <w:bottom w:val="single" w:sz="4" w:space="0" w:color="979991"/>
              <w:right w:val="nil"/>
            </w:tcBorders>
            <w:shd w:val="clear" w:color="auto" w:fill="F0F4FA"/>
            <w:vAlign w:val="center"/>
            <w:hideMark/>
          </w:tcPr>
          <w:p w14:paraId="2705D9EB"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206901</w:t>
            </w:r>
          </w:p>
        </w:tc>
        <w:tc>
          <w:tcPr>
            <w:tcW w:w="1418" w:type="dxa"/>
            <w:tcBorders>
              <w:top w:val="nil"/>
              <w:left w:val="single" w:sz="4" w:space="0" w:color="979991"/>
              <w:bottom w:val="single" w:sz="4" w:space="0" w:color="979991"/>
              <w:right w:val="nil"/>
            </w:tcBorders>
            <w:shd w:val="clear" w:color="auto" w:fill="FFFFFF"/>
            <w:vAlign w:val="center"/>
            <w:hideMark/>
          </w:tcPr>
          <w:p w14:paraId="2685D3EE"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12,540</w:t>
            </w:r>
          </w:p>
        </w:tc>
        <w:tc>
          <w:tcPr>
            <w:tcW w:w="1000" w:type="dxa"/>
            <w:tcBorders>
              <w:top w:val="nil"/>
              <w:left w:val="single" w:sz="4" w:space="0" w:color="979991"/>
              <w:bottom w:val="single" w:sz="4" w:space="0" w:color="979991"/>
              <w:right w:val="nil"/>
            </w:tcBorders>
            <w:shd w:val="clear" w:color="auto" w:fill="FFFFFF"/>
            <w:vAlign w:val="center"/>
            <w:hideMark/>
          </w:tcPr>
          <w:p w14:paraId="772016D7"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67,552</w:t>
            </w:r>
          </w:p>
        </w:tc>
        <w:tc>
          <w:tcPr>
            <w:tcW w:w="1139" w:type="dxa"/>
            <w:tcBorders>
              <w:top w:val="nil"/>
              <w:left w:val="single" w:sz="4" w:space="0" w:color="979991"/>
              <w:bottom w:val="single" w:sz="4" w:space="0" w:color="979991"/>
              <w:right w:val="nil"/>
            </w:tcBorders>
            <w:shd w:val="clear" w:color="auto" w:fill="FFFFFF"/>
            <w:vAlign w:val="center"/>
            <w:hideMark/>
          </w:tcPr>
          <w:p w14:paraId="25193DF4"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75,033</w:t>
            </w:r>
          </w:p>
        </w:tc>
        <w:tc>
          <w:tcPr>
            <w:tcW w:w="1000" w:type="dxa"/>
            <w:tcBorders>
              <w:top w:val="nil"/>
              <w:left w:val="single" w:sz="4" w:space="0" w:color="979991"/>
              <w:bottom w:val="single" w:sz="4" w:space="0" w:color="979991"/>
              <w:right w:val="nil"/>
            </w:tcBorders>
            <w:shd w:val="clear" w:color="auto" w:fill="FFFFFF"/>
            <w:vAlign w:val="center"/>
            <w:hideMark/>
          </w:tcPr>
          <w:p w14:paraId="546A7941"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75,980</w:t>
            </w:r>
          </w:p>
        </w:tc>
        <w:tc>
          <w:tcPr>
            <w:tcW w:w="1139" w:type="dxa"/>
            <w:tcBorders>
              <w:top w:val="nil"/>
              <w:left w:val="single" w:sz="4" w:space="0" w:color="979991"/>
              <w:bottom w:val="single" w:sz="4" w:space="0" w:color="979991"/>
              <w:right w:val="nil"/>
            </w:tcBorders>
            <w:shd w:val="clear" w:color="auto" w:fill="FFFFFF"/>
            <w:vAlign w:val="center"/>
            <w:hideMark/>
          </w:tcPr>
          <w:p w14:paraId="13BA949F"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177,159</w:t>
            </w:r>
          </w:p>
        </w:tc>
        <w:tc>
          <w:tcPr>
            <w:tcW w:w="1000" w:type="dxa"/>
            <w:tcBorders>
              <w:top w:val="nil"/>
              <w:left w:val="single" w:sz="4" w:space="0" w:color="979991"/>
              <w:bottom w:val="single" w:sz="4" w:space="0" w:color="979991"/>
              <w:right w:val="nil"/>
            </w:tcBorders>
            <w:shd w:val="clear" w:color="auto" w:fill="FFFFFF"/>
            <w:vAlign w:val="center"/>
            <w:hideMark/>
          </w:tcPr>
          <w:p w14:paraId="77E461B6"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149,995</w:t>
            </w:r>
          </w:p>
        </w:tc>
        <w:tc>
          <w:tcPr>
            <w:tcW w:w="1139" w:type="dxa"/>
            <w:tcBorders>
              <w:top w:val="nil"/>
              <w:left w:val="single" w:sz="4" w:space="0" w:color="979991"/>
              <w:bottom w:val="single" w:sz="4" w:space="0" w:color="979991"/>
              <w:right w:val="nil"/>
            </w:tcBorders>
            <w:shd w:val="clear" w:color="auto" w:fill="FFFFFF"/>
            <w:vAlign w:val="center"/>
            <w:hideMark/>
          </w:tcPr>
          <w:p w14:paraId="0F858E0A"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188,099</w:t>
            </w:r>
          </w:p>
        </w:tc>
        <w:tc>
          <w:tcPr>
            <w:tcW w:w="945" w:type="dxa"/>
            <w:tcBorders>
              <w:top w:val="nil"/>
              <w:left w:val="single" w:sz="4" w:space="0" w:color="979991"/>
              <w:bottom w:val="single" w:sz="4" w:space="0" w:color="979991"/>
              <w:right w:val="single" w:sz="4" w:space="0" w:color="979991"/>
            </w:tcBorders>
            <w:shd w:val="clear" w:color="auto" w:fill="FFFFFF"/>
            <w:vAlign w:val="center"/>
            <w:hideMark/>
          </w:tcPr>
          <w:p w14:paraId="11A6C01F"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19,432</w:t>
            </w:r>
          </w:p>
        </w:tc>
      </w:tr>
      <w:tr w:rsidR="002B519A" w14:paraId="07A0530A" w14:textId="77777777" w:rsidTr="00FE3675">
        <w:trPr>
          <w:trHeight w:val="300"/>
        </w:trPr>
        <w:tc>
          <w:tcPr>
            <w:tcW w:w="1140" w:type="dxa"/>
            <w:tcBorders>
              <w:top w:val="nil"/>
              <w:left w:val="single" w:sz="4" w:space="0" w:color="979991"/>
              <w:bottom w:val="single" w:sz="4" w:space="0" w:color="979991"/>
              <w:right w:val="nil"/>
            </w:tcBorders>
            <w:shd w:val="clear" w:color="auto" w:fill="F0F4FA"/>
            <w:vAlign w:val="center"/>
            <w:hideMark/>
          </w:tcPr>
          <w:p w14:paraId="3B247CFB"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206902</w:t>
            </w:r>
          </w:p>
        </w:tc>
        <w:tc>
          <w:tcPr>
            <w:tcW w:w="1418" w:type="dxa"/>
            <w:tcBorders>
              <w:top w:val="nil"/>
              <w:left w:val="single" w:sz="4" w:space="0" w:color="979991"/>
              <w:bottom w:val="single" w:sz="4" w:space="0" w:color="979991"/>
              <w:right w:val="nil"/>
            </w:tcBorders>
            <w:shd w:val="clear" w:color="auto" w:fill="FFFFFF"/>
            <w:vAlign w:val="center"/>
            <w:hideMark/>
          </w:tcPr>
          <w:p w14:paraId="01DB70D2"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32,121</w:t>
            </w:r>
          </w:p>
        </w:tc>
        <w:tc>
          <w:tcPr>
            <w:tcW w:w="1000" w:type="dxa"/>
            <w:tcBorders>
              <w:top w:val="nil"/>
              <w:left w:val="single" w:sz="4" w:space="0" w:color="979991"/>
              <w:bottom w:val="single" w:sz="4" w:space="0" w:color="979991"/>
              <w:right w:val="nil"/>
            </w:tcBorders>
            <w:shd w:val="clear" w:color="auto" w:fill="FFFFFF"/>
            <w:vAlign w:val="center"/>
            <w:hideMark/>
          </w:tcPr>
          <w:p w14:paraId="5A83CE47"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1,299,424</w:t>
            </w:r>
          </w:p>
        </w:tc>
        <w:tc>
          <w:tcPr>
            <w:tcW w:w="1139" w:type="dxa"/>
            <w:tcBorders>
              <w:top w:val="nil"/>
              <w:left w:val="single" w:sz="4" w:space="0" w:color="979991"/>
              <w:bottom w:val="single" w:sz="4" w:space="0" w:color="979991"/>
              <w:right w:val="nil"/>
            </w:tcBorders>
            <w:shd w:val="clear" w:color="auto" w:fill="FFFFFF"/>
            <w:vAlign w:val="center"/>
            <w:hideMark/>
          </w:tcPr>
          <w:p w14:paraId="0D8D5729"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1,132,572</w:t>
            </w:r>
          </w:p>
        </w:tc>
        <w:tc>
          <w:tcPr>
            <w:tcW w:w="1000" w:type="dxa"/>
            <w:tcBorders>
              <w:top w:val="nil"/>
              <w:left w:val="single" w:sz="4" w:space="0" w:color="979991"/>
              <w:bottom w:val="single" w:sz="4" w:space="0" w:color="979991"/>
              <w:right w:val="nil"/>
            </w:tcBorders>
            <w:shd w:val="clear" w:color="auto" w:fill="FFFFFF"/>
            <w:vAlign w:val="center"/>
            <w:hideMark/>
          </w:tcPr>
          <w:p w14:paraId="02557074"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1,102,317</w:t>
            </w:r>
          </w:p>
        </w:tc>
        <w:tc>
          <w:tcPr>
            <w:tcW w:w="1139" w:type="dxa"/>
            <w:tcBorders>
              <w:top w:val="nil"/>
              <w:left w:val="single" w:sz="4" w:space="0" w:color="979991"/>
              <w:bottom w:val="single" w:sz="4" w:space="0" w:color="979991"/>
              <w:right w:val="nil"/>
            </w:tcBorders>
            <w:shd w:val="clear" w:color="auto" w:fill="FFFFFF"/>
            <w:vAlign w:val="center"/>
            <w:hideMark/>
          </w:tcPr>
          <w:p w14:paraId="22C7BA3B"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1,711,139</w:t>
            </w:r>
          </w:p>
        </w:tc>
        <w:tc>
          <w:tcPr>
            <w:tcW w:w="1000" w:type="dxa"/>
            <w:tcBorders>
              <w:top w:val="nil"/>
              <w:left w:val="single" w:sz="4" w:space="0" w:color="979991"/>
              <w:bottom w:val="single" w:sz="4" w:space="0" w:color="979991"/>
              <w:right w:val="nil"/>
            </w:tcBorders>
            <w:shd w:val="clear" w:color="auto" w:fill="FFFFFF"/>
            <w:vAlign w:val="center"/>
            <w:hideMark/>
          </w:tcPr>
          <w:p w14:paraId="634023BA"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1,713,633</w:t>
            </w:r>
          </w:p>
        </w:tc>
        <w:tc>
          <w:tcPr>
            <w:tcW w:w="1139" w:type="dxa"/>
            <w:tcBorders>
              <w:top w:val="nil"/>
              <w:left w:val="single" w:sz="4" w:space="0" w:color="979991"/>
              <w:bottom w:val="single" w:sz="4" w:space="0" w:color="979991"/>
              <w:right w:val="nil"/>
            </w:tcBorders>
            <w:shd w:val="clear" w:color="auto" w:fill="FFFFFF"/>
            <w:vAlign w:val="center"/>
            <w:hideMark/>
          </w:tcPr>
          <w:p w14:paraId="2EA7938D"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1,712,610</w:t>
            </w:r>
          </w:p>
        </w:tc>
        <w:tc>
          <w:tcPr>
            <w:tcW w:w="945" w:type="dxa"/>
            <w:tcBorders>
              <w:top w:val="nil"/>
              <w:left w:val="single" w:sz="4" w:space="0" w:color="979991"/>
              <w:bottom w:val="single" w:sz="4" w:space="0" w:color="979991"/>
              <w:right w:val="single" w:sz="4" w:space="0" w:color="979991"/>
            </w:tcBorders>
            <w:shd w:val="clear" w:color="auto" w:fill="FFFFFF"/>
            <w:vAlign w:val="center"/>
            <w:hideMark/>
          </w:tcPr>
          <w:p w14:paraId="6DD46129"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1,554,134</w:t>
            </w:r>
          </w:p>
        </w:tc>
      </w:tr>
      <w:tr w:rsidR="002B519A" w14:paraId="5F609936" w14:textId="77777777" w:rsidTr="00FE3675">
        <w:trPr>
          <w:trHeight w:val="300"/>
        </w:trPr>
        <w:tc>
          <w:tcPr>
            <w:tcW w:w="1140" w:type="dxa"/>
            <w:tcBorders>
              <w:top w:val="nil"/>
              <w:left w:val="single" w:sz="4" w:space="0" w:color="979991"/>
              <w:bottom w:val="single" w:sz="4" w:space="0" w:color="979991"/>
              <w:right w:val="nil"/>
            </w:tcBorders>
            <w:shd w:val="clear" w:color="auto" w:fill="F0F4FA"/>
            <w:vAlign w:val="center"/>
            <w:hideMark/>
          </w:tcPr>
          <w:p w14:paraId="2C9E64E6"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207001</w:t>
            </w:r>
          </w:p>
        </w:tc>
        <w:tc>
          <w:tcPr>
            <w:tcW w:w="1418" w:type="dxa"/>
            <w:tcBorders>
              <w:top w:val="nil"/>
              <w:left w:val="single" w:sz="4" w:space="0" w:color="979991"/>
              <w:bottom w:val="single" w:sz="4" w:space="0" w:color="979991"/>
              <w:right w:val="nil"/>
            </w:tcBorders>
            <w:shd w:val="clear" w:color="auto" w:fill="FFFFFF"/>
            <w:vAlign w:val="center"/>
            <w:hideMark/>
          </w:tcPr>
          <w:p w14:paraId="5391A338"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-145,000</w:t>
            </w:r>
          </w:p>
        </w:tc>
        <w:tc>
          <w:tcPr>
            <w:tcW w:w="1000" w:type="dxa"/>
            <w:tcBorders>
              <w:top w:val="nil"/>
              <w:left w:val="single" w:sz="4" w:space="0" w:color="979991"/>
              <w:bottom w:val="single" w:sz="4" w:space="0" w:color="979991"/>
              <w:right w:val="nil"/>
            </w:tcBorders>
            <w:shd w:val="clear" w:color="auto" w:fill="FFFFFF"/>
            <w:vAlign w:val="center"/>
            <w:hideMark/>
          </w:tcPr>
          <w:p w14:paraId="152F891E"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3,795,523</w:t>
            </w:r>
          </w:p>
        </w:tc>
        <w:tc>
          <w:tcPr>
            <w:tcW w:w="1139" w:type="dxa"/>
            <w:tcBorders>
              <w:top w:val="nil"/>
              <w:left w:val="single" w:sz="4" w:space="0" w:color="979991"/>
              <w:bottom w:val="single" w:sz="4" w:space="0" w:color="979991"/>
              <w:right w:val="nil"/>
            </w:tcBorders>
            <w:shd w:val="clear" w:color="auto" w:fill="FFFFFF"/>
            <w:vAlign w:val="center"/>
            <w:hideMark/>
          </w:tcPr>
          <w:p w14:paraId="5BABFB58"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-1,016,415</w:t>
            </w:r>
          </w:p>
        </w:tc>
        <w:tc>
          <w:tcPr>
            <w:tcW w:w="1000" w:type="dxa"/>
            <w:tcBorders>
              <w:top w:val="nil"/>
              <w:left w:val="single" w:sz="4" w:space="0" w:color="979991"/>
              <w:bottom w:val="single" w:sz="4" w:space="0" w:color="979991"/>
              <w:right w:val="nil"/>
            </w:tcBorders>
            <w:shd w:val="clear" w:color="auto" w:fill="FFFFFF"/>
            <w:vAlign w:val="center"/>
            <w:hideMark/>
          </w:tcPr>
          <w:p w14:paraId="6FD648B1"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3,922,535</w:t>
            </w:r>
          </w:p>
        </w:tc>
        <w:tc>
          <w:tcPr>
            <w:tcW w:w="1139" w:type="dxa"/>
            <w:tcBorders>
              <w:top w:val="nil"/>
              <w:left w:val="single" w:sz="4" w:space="0" w:color="979991"/>
              <w:bottom w:val="single" w:sz="4" w:space="0" w:color="979991"/>
              <w:right w:val="nil"/>
            </w:tcBorders>
            <w:shd w:val="clear" w:color="auto" w:fill="FFFFFF"/>
            <w:vAlign w:val="center"/>
            <w:hideMark/>
          </w:tcPr>
          <w:p w14:paraId="0AAF9375"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-603,512</w:t>
            </w:r>
          </w:p>
        </w:tc>
        <w:tc>
          <w:tcPr>
            <w:tcW w:w="1000" w:type="dxa"/>
            <w:tcBorders>
              <w:top w:val="nil"/>
              <w:left w:val="single" w:sz="4" w:space="0" w:color="979991"/>
              <w:bottom w:val="single" w:sz="4" w:space="0" w:color="979991"/>
              <w:right w:val="nil"/>
            </w:tcBorders>
            <w:shd w:val="clear" w:color="auto" w:fill="FFFFFF"/>
            <w:vAlign w:val="center"/>
            <w:hideMark/>
          </w:tcPr>
          <w:p w14:paraId="0CB8AB60"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3,673,068</w:t>
            </w:r>
          </w:p>
        </w:tc>
        <w:tc>
          <w:tcPr>
            <w:tcW w:w="1139" w:type="dxa"/>
            <w:tcBorders>
              <w:top w:val="nil"/>
              <w:left w:val="single" w:sz="4" w:space="0" w:color="979991"/>
              <w:bottom w:val="single" w:sz="4" w:space="0" w:color="979991"/>
              <w:right w:val="nil"/>
            </w:tcBorders>
            <w:shd w:val="clear" w:color="auto" w:fill="FFFFFF"/>
            <w:vAlign w:val="center"/>
            <w:hideMark/>
          </w:tcPr>
          <w:p w14:paraId="23933A5F"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945" w:type="dxa"/>
            <w:tcBorders>
              <w:top w:val="nil"/>
              <w:left w:val="single" w:sz="4" w:space="0" w:color="979991"/>
              <w:bottom w:val="single" w:sz="4" w:space="0" w:color="979991"/>
              <w:right w:val="single" w:sz="4" w:space="0" w:color="979991"/>
            </w:tcBorders>
            <w:shd w:val="clear" w:color="auto" w:fill="FFFFFF"/>
            <w:vAlign w:val="center"/>
            <w:hideMark/>
          </w:tcPr>
          <w:p w14:paraId="623326B3"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3,686,094</w:t>
            </w:r>
          </w:p>
        </w:tc>
      </w:tr>
      <w:tr w:rsidR="002B519A" w14:paraId="407AD9DC" w14:textId="77777777" w:rsidTr="00FE3675">
        <w:trPr>
          <w:trHeight w:val="300"/>
        </w:trPr>
        <w:tc>
          <w:tcPr>
            <w:tcW w:w="1140" w:type="dxa"/>
            <w:tcBorders>
              <w:top w:val="nil"/>
              <w:left w:val="single" w:sz="4" w:space="0" w:color="979991"/>
              <w:bottom w:val="single" w:sz="4" w:space="0" w:color="979991"/>
              <w:right w:val="nil"/>
            </w:tcBorders>
            <w:shd w:val="clear" w:color="auto" w:fill="F0F4FA"/>
            <w:vAlign w:val="center"/>
            <w:hideMark/>
          </w:tcPr>
          <w:p w14:paraId="17E293F2"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207002</w:t>
            </w:r>
          </w:p>
        </w:tc>
        <w:tc>
          <w:tcPr>
            <w:tcW w:w="1418" w:type="dxa"/>
            <w:tcBorders>
              <w:top w:val="nil"/>
              <w:left w:val="single" w:sz="4" w:space="0" w:color="979991"/>
              <w:bottom w:val="single" w:sz="4" w:space="0" w:color="979991"/>
              <w:right w:val="nil"/>
            </w:tcBorders>
            <w:shd w:val="clear" w:color="auto" w:fill="FFFFFF"/>
            <w:vAlign w:val="center"/>
            <w:hideMark/>
          </w:tcPr>
          <w:p w14:paraId="6A5270E5"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-236,673</w:t>
            </w:r>
          </w:p>
        </w:tc>
        <w:tc>
          <w:tcPr>
            <w:tcW w:w="1000" w:type="dxa"/>
            <w:tcBorders>
              <w:top w:val="nil"/>
              <w:left w:val="single" w:sz="4" w:space="0" w:color="979991"/>
              <w:bottom w:val="single" w:sz="4" w:space="0" w:color="979991"/>
              <w:right w:val="nil"/>
            </w:tcBorders>
            <w:shd w:val="clear" w:color="auto" w:fill="FFFFFF"/>
            <w:vAlign w:val="center"/>
            <w:hideMark/>
          </w:tcPr>
          <w:p w14:paraId="77C1F40E"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338,669</w:t>
            </w:r>
          </w:p>
        </w:tc>
        <w:tc>
          <w:tcPr>
            <w:tcW w:w="1139" w:type="dxa"/>
            <w:tcBorders>
              <w:top w:val="nil"/>
              <w:left w:val="single" w:sz="4" w:space="0" w:color="979991"/>
              <w:bottom w:val="single" w:sz="4" w:space="0" w:color="979991"/>
              <w:right w:val="nil"/>
            </w:tcBorders>
            <w:shd w:val="clear" w:color="auto" w:fill="FFFFFF"/>
            <w:vAlign w:val="center"/>
            <w:hideMark/>
          </w:tcPr>
          <w:p w14:paraId="66BCA862"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527,884</w:t>
            </w:r>
          </w:p>
        </w:tc>
        <w:tc>
          <w:tcPr>
            <w:tcW w:w="1000" w:type="dxa"/>
            <w:tcBorders>
              <w:top w:val="nil"/>
              <w:left w:val="single" w:sz="4" w:space="0" w:color="979991"/>
              <w:bottom w:val="single" w:sz="4" w:space="0" w:color="979991"/>
              <w:right w:val="nil"/>
            </w:tcBorders>
            <w:shd w:val="clear" w:color="auto" w:fill="FFFFFF"/>
            <w:vAlign w:val="center"/>
            <w:hideMark/>
          </w:tcPr>
          <w:p w14:paraId="6E9495A2"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987,319</w:t>
            </w:r>
          </w:p>
        </w:tc>
        <w:tc>
          <w:tcPr>
            <w:tcW w:w="1139" w:type="dxa"/>
            <w:tcBorders>
              <w:top w:val="nil"/>
              <w:left w:val="single" w:sz="4" w:space="0" w:color="979991"/>
              <w:bottom w:val="single" w:sz="4" w:space="0" w:color="979991"/>
              <w:right w:val="nil"/>
            </w:tcBorders>
            <w:shd w:val="clear" w:color="auto" w:fill="FFFFFF"/>
            <w:vAlign w:val="center"/>
            <w:hideMark/>
          </w:tcPr>
          <w:p w14:paraId="553D667B"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4,039</w:t>
            </w:r>
          </w:p>
        </w:tc>
        <w:tc>
          <w:tcPr>
            <w:tcW w:w="1000" w:type="dxa"/>
            <w:tcBorders>
              <w:top w:val="nil"/>
              <w:left w:val="single" w:sz="4" w:space="0" w:color="979991"/>
              <w:bottom w:val="single" w:sz="4" w:space="0" w:color="979991"/>
              <w:right w:val="nil"/>
            </w:tcBorders>
            <w:shd w:val="clear" w:color="auto" w:fill="FFFFFF"/>
            <w:vAlign w:val="center"/>
            <w:hideMark/>
          </w:tcPr>
          <w:p w14:paraId="2F9155A0"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1,175,412</w:t>
            </w:r>
          </w:p>
        </w:tc>
        <w:tc>
          <w:tcPr>
            <w:tcW w:w="1139" w:type="dxa"/>
            <w:tcBorders>
              <w:top w:val="nil"/>
              <w:left w:val="single" w:sz="4" w:space="0" w:color="979991"/>
              <w:bottom w:val="single" w:sz="4" w:space="0" w:color="979991"/>
              <w:right w:val="nil"/>
            </w:tcBorders>
            <w:shd w:val="clear" w:color="auto" w:fill="FFFFFF"/>
            <w:vAlign w:val="center"/>
            <w:hideMark/>
          </w:tcPr>
          <w:p w14:paraId="758EA5E7"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945" w:type="dxa"/>
            <w:tcBorders>
              <w:top w:val="nil"/>
              <w:left w:val="single" w:sz="4" w:space="0" w:color="979991"/>
              <w:bottom w:val="single" w:sz="4" w:space="0" w:color="979991"/>
              <w:right w:val="single" w:sz="4" w:space="0" w:color="979991"/>
            </w:tcBorders>
            <w:shd w:val="clear" w:color="auto" w:fill="FFFFFF"/>
            <w:vAlign w:val="center"/>
            <w:hideMark/>
          </w:tcPr>
          <w:p w14:paraId="7C7F7365" w14:textId="77777777" w:rsidR="002B519A" w:rsidRDefault="002B519A" w:rsidP="00FE3675">
            <w:pPr>
              <w:bidi w:val="0"/>
              <w:jc w:val="center"/>
              <w:rPr>
                <w:rFonts w:ascii="FrankRuehl" w:hAnsi="FrankRuehl" w:cs="FrankRuehl" w:hint="cs"/>
                <w:color w:val="000000"/>
                <w:sz w:val="26"/>
                <w:szCs w:val="26"/>
              </w:rPr>
            </w:pPr>
            <w:r>
              <w:rPr>
                <w:rFonts w:ascii="FrankRuehl" w:hAnsi="FrankRuehl" w:cs="FrankRuehl" w:hint="cs"/>
                <w:color w:val="000000"/>
                <w:sz w:val="26"/>
                <w:szCs w:val="26"/>
              </w:rPr>
              <w:t>1,051,762</w:t>
            </w:r>
          </w:p>
        </w:tc>
      </w:tr>
    </w:tbl>
    <w:p w14:paraId="4404A39D" w14:textId="77777777" w:rsidR="002B519A" w:rsidRDefault="002B519A" w:rsidP="002B519A">
      <w:pPr>
        <w:rPr>
          <w:rFonts w:ascii="FrankRuehl" w:eastAsia="Calibri" w:hAnsi="FrankRuehl" w:cs="FrankRuehl" w:hint="cs"/>
          <w:color w:val="9CC2E5"/>
          <w:sz w:val="26"/>
          <w:szCs w:val="26"/>
        </w:rPr>
      </w:pPr>
    </w:p>
    <w:p w14:paraId="5A3B387B" w14:textId="77777777" w:rsidR="00436E4E" w:rsidRPr="002E1D22" w:rsidRDefault="00436E4E">
      <w:pPr>
        <w:rPr>
          <w:rFonts w:cs="FrankRuehl"/>
          <w:sz w:val="26"/>
          <w:szCs w:val="26"/>
          <w:rtl/>
        </w:rPr>
      </w:pPr>
    </w:p>
    <w:sectPr w:rsidR="00436E4E" w:rsidRPr="002E1D22" w:rsidSect="004374A5">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B3984" w14:textId="77777777" w:rsidR="00AD3875" w:rsidRDefault="00AD3875" w:rsidP="004374A5">
      <w:r>
        <w:separator/>
      </w:r>
    </w:p>
  </w:endnote>
  <w:endnote w:type="continuationSeparator" w:id="0">
    <w:p w14:paraId="060681A1" w14:textId="77777777" w:rsidR="00AD3875" w:rsidRDefault="00AD3875" w:rsidP="0043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B0E65" w14:textId="77777777" w:rsidR="00EF0529" w:rsidRDefault="00EF052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75767" w14:textId="77777777" w:rsidR="00EF0529" w:rsidRDefault="00EF052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61A9E" w14:textId="77777777" w:rsidR="00EF0529" w:rsidRDefault="00EF052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3E8C5" w14:textId="77777777" w:rsidR="00AD3875" w:rsidRDefault="00AD3875" w:rsidP="004374A5">
      <w:r>
        <w:separator/>
      </w:r>
    </w:p>
  </w:footnote>
  <w:footnote w:type="continuationSeparator" w:id="0">
    <w:p w14:paraId="2502E9F0" w14:textId="77777777" w:rsidR="00AD3875" w:rsidRDefault="00AD3875" w:rsidP="0043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32901" w14:textId="77777777" w:rsidR="00EF0529" w:rsidRDefault="00EF052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65237" w14:textId="77777777" w:rsidR="004374A5" w:rsidRDefault="00AD3875">
    <w:pPr>
      <w:pStyle w:val="a4"/>
    </w:pPr>
    <w:r>
      <w:rPr>
        <w:noProof/>
      </w:rPr>
      <w:pict w14:anchorId="3F0AE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71.25pt;width:594pt;height:71.35pt;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2A3CF" w14:textId="77777777" w:rsidR="00EF0529" w:rsidRDefault="00EF052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5242"/>
    <w:rsid w:val="00026F4F"/>
    <w:rsid w:val="00147D0B"/>
    <w:rsid w:val="00165B0E"/>
    <w:rsid w:val="00235242"/>
    <w:rsid w:val="002634E4"/>
    <w:rsid w:val="002B519A"/>
    <w:rsid w:val="002E1D22"/>
    <w:rsid w:val="00436E4E"/>
    <w:rsid w:val="004374A5"/>
    <w:rsid w:val="004C68B3"/>
    <w:rsid w:val="0076556B"/>
    <w:rsid w:val="007847C9"/>
    <w:rsid w:val="007C275A"/>
    <w:rsid w:val="00AC2EE6"/>
    <w:rsid w:val="00AD3875"/>
    <w:rsid w:val="00B0145B"/>
    <w:rsid w:val="00B42666"/>
    <w:rsid w:val="00B61EA5"/>
    <w:rsid w:val="00BB3BA1"/>
    <w:rsid w:val="00C13197"/>
    <w:rsid w:val="00EF0529"/>
    <w:rsid w:val="00F62D7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34E93B0A"/>
  <w15:chartTrackingRefBased/>
  <w15:docId w15:val="{8ED006CE-2284-472C-AE49-678D45C1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4374A5"/>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4374A5"/>
    <w:rPr>
      <w:rFonts w:cs="Narkisim"/>
      <w:szCs w:val="24"/>
      <w:lang w:eastAsia="he-IL"/>
    </w:rPr>
  </w:style>
  <w:style w:type="paragraph" w:styleId="a8">
    <w:name w:val="footer"/>
    <w:basedOn w:val="a"/>
    <w:link w:val="a9"/>
    <w:uiPriority w:val="99"/>
    <w:unhideWhenUsed/>
    <w:rsid w:val="004374A5"/>
    <w:pPr>
      <w:tabs>
        <w:tab w:val="center" w:pos="4153"/>
        <w:tab w:val="right" w:pos="8306"/>
      </w:tabs>
    </w:pPr>
  </w:style>
  <w:style w:type="character" w:customStyle="1" w:styleId="a9">
    <w:name w:val="כותרת תחתונה תו"/>
    <w:link w:val="a8"/>
    <w:uiPriority w:val="99"/>
    <w:rsid w:val="004374A5"/>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635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1374</Words>
  <Characters>6873</Characters>
  <Application>Microsoft Office Word</Application>
  <DocSecurity>0</DocSecurity>
  <Lines>57</Lines>
  <Paragraphs>16</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6</cp:revision>
  <cp:lastPrinted>1899-12-31T22:00:00Z</cp:lastPrinted>
  <dcterms:created xsi:type="dcterms:W3CDTF">2026-07-27T08:39:00Z</dcterms:created>
  <dcterms:modified xsi:type="dcterms:W3CDTF">2026-07-27T08:43:00Z</dcterms:modified>
</cp:coreProperties>
</file>