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150B" w14:textId="77777777" w:rsidR="00B910C3" w:rsidRDefault="00B910C3">
      <w:pPr>
        <w:pStyle w:val="a6"/>
        <w:rPr>
          <w:rtl/>
        </w:rPr>
      </w:pPr>
    </w:p>
    <w:p w14:paraId="3B2B3225" w14:textId="77777777" w:rsidR="00B910C3" w:rsidRDefault="00B910C3">
      <w:pPr>
        <w:pStyle w:val="a6"/>
        <w:rPr>
          <w:rtl/>
        </w:rPr>
      </w:pPr>
      <w:r>
        <w:rPr>
          <w:rtl/>
        </w:rPr>
        <w:t>מדינת ישראל</w:t>
      </w:r>
    </w:p>
    <w:p w14:paraId="032F85B2" w14:textId="77777777" w:rsidR="00B910C3" w:rsidRPr="00806779" w:rsidRDefault="00B910C3">
      <w:pPr>
        <w:pStyle w:val="a6"/>
        <w:rPr>
          <w:rFonts w:cs="FrankRuehl"/>
          <w:sz w:val="26"/>
          <w:szCs w:val="26"/>
          <w:rtl/>
        </w:rPr>
      </w:pPr>
      <w:r>
        <w:rPr>
          <w:rtl/>
        </w:rPr>
        <w:t xml:space="preserve">האוצר </w:t>
      </w:r>
      <w:r w:rsidRPr="00806779">
        <w:rPr>
          <w:rFonts w:cs="FrankRuehl"/>
          <w:sz w:val="26"/>
          <w:szCs w:val="26"/>
          <w:rtl/>
        </w:rPr>
        <w:t>- אגף התקציבים</w:t>
      </w:r>
    </w:p>
    <w:p w14:paraId="51289F62" w14:textId="77777777" w:rsidR="00B910C3" w:rsidRPr="00806779" w:rsidRDefault="00B910C3">
      <w:pPr>
        <w:rPr>
          <w:rFonts w:cs="FrankRuehl"/>
          <w:sz w:val="26"/>
          <w:szCs w:val="26"/>
          <w:rtl/>
        </w:rPr>
      </w:pPr>
    </w:p>
    <w:p w14:paraId="1E774268" w14:textId="77777777" w:rsidR="00B910C3" w:rsidRPr="00806779" w:rsidRDefault="00B910C3">
      <w:pPr>
        <w:tabs>
          <w:tab w:val="left" w:pos="6441"/>
        </w:tabs>
        <w:rPr>
          <w:rFonts w:cs="FrankRuehl"/>
          <w:sz w:val="26"/>
          <w:szCs w:val="26"/>
          <w:rtl/>
        </w:rPr>
      </w:pPr>
    </w:p>
    <w:p w14:paraId="603B450E" w14:textId="18BD4429" w:rsidR="00B910C3" w:rsidRPr="00806779" w:rsidRDefault="00B910C3">
      <w:pPr>
        <w:tabs>
          <w:tab w:val="left" w:pos="6158"/>
        </w:tabs>
        <w:rPr>
          <w:rFonts w:cs="FrankRuehl"/>
          <w:sz w:val="26"/>
          <w:szCs w:val="26"/>
          <w:rtl/>
        </w:rPr>
      </w:pPr>
      <w:r w:rsidRPr="00806779">
        <w:rPr>
          <w:rFonts w:cs="FrankRuehl"/>
          <w:sz w:val="26"/>
          <w:szCs w:val="26"/>
          <w:rtl/>
        </w:rPr>
        <w:tab/>
      </w:r>
      <w:bookmarkStart w:id="0" w:name="TAKZIV8"/>
      <w:r w:rsidR="00F74CDD">
        <w:rPr>
          <w:rFonts w:cs="FrankRuehl"/>
          <w:sz w:val="26"/>
          <w:szCs w:val="26"/>
          <w:rtl/>
        </w:rPr>
        <w:t>תקציב רגיל</w:t>
      </w:r>
      <w:bookmarkEnd w:id="0"/>
    </w:p>
    <w:p w14:paraId="5CD5098B"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73DC0311" w14:textId="77777777" w:rsidR="00B910C3" w:rsidRPr="00806779" w:rsidRDefault="00B910C3">
      <w:pPr>
        <w:tabs>
          <w:tab w:val="left" w:pos="6158"/>
        </w:tabs>
        <w:rPr>
          <w:rFonts w:cs="FrankRuehl"/>
          <w:sz w:val="26"/>
          <w:szCs w:val="26"/>
          <w:rtl/>
        </w:rPr>
      </w:pPr>
      <w:r w:rsidRPr="00806779">
        <w:rPr>
          <w:rFonts w:cs="FrankRuehl"/>
          <w:sz w:val="26"/>
          <w:szCs w:val="26"/>
          <w:rtl/>
        </w:rPr>
        <w:tab/>
        <w:t xml:space="preserve">ירושלים, </w:t>
      </w:r>
      <w:bookmarkStart w:id="1" w:name="TAKZIV9"/>
      <w:bookmarkEnd w:id="1"/>
    </w:p>
    <w:p w14:paraId="5A6EA0C1" w14:textId="707FA34E" w:rsidR="00B910C3" w:rsidRPr="00806779" w:rsidRDefault="00B910C3">
      <w:pPr>
        <w:tabs>
          <w:tab w:val="left" w:pos="6158"/>
        </w:tabs>
        <w:rPr>
          <w:rFonts w:cs="FrankRuehl"/>
          <w:sz w:val="26"/>
          <w:szCs w:val="26"/>
          <w:rtl/>
        </w:rPr>
      </w:pPr>
      <w:r w:rsidRPr="00806779">
        <w:rPr>
          <w:rFonts w:cs="FrankRuehl"/>
          <w:sz w:val="26"/>
          <w:szCs w:val="26"/>
          <w:rtl/>
        </w:rPr>
        <w:tab/>
        <w:t xml:space="preserve">בקשה מספר: </w:t>
      </w:r>
      <w:bookmarkStart w:id="2" w:name="TAKZIV4"/>
      <w:r w:rsidR="00F74CDD">
        <w:rPr>
          <w:rFonts w:cs="FrankRuehl"/>
          <w:sz w:val="26"/>
          <w:szCs w:val="26"/>
          <w:rtl/>
        </w:rPr>
        <w:t>207</w:t>
      </w:r>
      <w:bookmarkEnd w:id="2"/>
      <w:r w:rsidRPr="00806779">
        <w:rPr>
          <w:rFonts w:cs="FrankRuehl"/>
          <w:sz w:val="26"/>
          <w:szCs w:val="26"/>
          <w:rtl/>
        </w:rPr>
        <w:t xml:space="preserve"> - </w:t>
      </w:r>
      <w:bookmarkStart w:id="3" w:name="TAKZIV3"/>
      <w:r w:rsidR="00F74CDD">
        <w:rPr>
          <w:rFonts w:cs="FrankRuehl"/>
          <w:sz w:val="26"/>
          <w:szCs w:val="26"/>
          <w:rtl/>
        </w:rPr>
        <w:t>17</w:t>
      </w:r>
      <w:bookmarkEnd w:id="3"/>
      <w:r w:rsidRPr="00806779">
        <w:rPr>
          <w:rFonts w:cs="FrankRuehl"/>
          <w:sz w:val="26"/>
          <w:szCs w:val="26"/>
          <w:rtl/>
        </w:rPr>
        <w:t xml:space="preserve">     </w:t>
      </w:r>
    </w:p>
    <w:p w14:paraId="6119F66F" w14:textId="1A55EFDD" w:rsidR="00B910C3" w:rsidRPr="00806779" w:rsidRDefault="00B910C3">
      <w:pPr>
        <w:tabs>
          <w:tab w:val="left" w:pos="6158"/>
        </w:tabs>
        <w:rPr>
          <w:rFonts w:cs="FrankRuehl"/>
          <w:sz w:val="26"/>
          <w:szCs w:val="26"/>
          <w:rtl/>
        </w:rPr>
      </w:pPr>
      <w:r w:rsidRPr="00806779">
        <w:rPr>
          <w:rFonts w:cs="FrankRuehl"/>
          <w:sz w:val="26"/>
          <w:szCs w:val="26"/>
          <w:rtl/>
        </w:rPr>
        <w:tab/>
        <w:t xml:space="preserve">מספר פניה </w:t>
      </w:r>
      <w:r w:rsidR="001E3712" w:rsidRPr="00806779">
        <w:rPr>
          <w:rFonts w:cs="FrankRuehl" w:hint="cs"/>
          <w:sz w:val="26"/>
          <w:szCs w:val="26"/>
          <w:rtl/>
        </w:rPr>
        <w:t>לוועד</w:t>
      </w:r>
      <w:r w:rsidR="001E3712" w:rsidRPr="00806779">
        <w:rPr>
          <w:rFonts w:cs="FrankRuehl" w:hint="eastAsia"/>
          <w:sz w:val="26"/>
          <w:szCs w:val="26"/>
          <w:rtl/>
        </w:rPr>
        <w:t>ה</w:t>
      </w:r>
      <w:r w:rsidRPr="00806779">
        <w:rPr>
          <w:rFonts w:cs="FrankRuehl"/>
          <w:sz w:val="26"/>
          <w:szCs w:val="26"/>
          <w:rtl/>
        </w:rPr>
        <w:t xml:space="preserve">: </w:t>
      </w:r>
      <w:bookmarkStart w:id="4" w:name="TAKZIV11"/>
      <w:r w:rsidR="00F74CDD">
        <w:rPr>
          <w:rFonts w:cs="FrankRuehl"/>
          <w:sz w:val="26"/>
          <w:szCs w:val="26"/>
          <w:rtl/>
        </w:rPr>
        <w:t>123</w:t>
      </w:r>
      <w:bookmarkEnd w:id="4"/>
    </w:p>
    <w:p w14:paraId="3C0FF6DD"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4B7E3D66" w14:textId="77777777" w:rsidR="00B910C3" w:rsidRPr="00806779" w:rsidRDefault="00B910C3">
      <w:pPr>
        <w:tabs>
          <w:tab w:val="left" w:pos="6441"/>
        </w:tabs>
        <w:rPr>
          <w:rFonts w:cs="FrankRuehl"/>
          <w:sz w:val="26"/>
          <w:szCs w:val="26"/>
          <w:rtl/>
        </w:rPr>
      </w:pPr>
      <w:r w:rsidRPr="00806779">
        <w:rPr>
          <w:rFonts w:cs="FrankRuehl"/>
          <w:sz w:val="26"/>
          <w:szCs w:val="26"/>
          <w:rtl/>
        </w:rPr>
        <w:t>לכבוד,</w:t>
      </w:r>
    </w:p>
    <w:p w14:paraId="450645F9" w14:textId="77777777" w:rsidR="00B910C3" w:rsidRPr="00806779" w:rsidRDefault="00B910C3">
      <w:pPr>
        <w:rPr>
          <w:rFonts w:cs="FrankRuehl"/>
          <w:sz w:val="26"/>
          <w:szCs w:val="26"/>
          <w:rtl/>
        </w:rPr>
      </w:pPr>
      <w:r w:rsidRPr="00806779">
        <w:rPr>
          <w:rFonts w:cs="FrankRuehl"/>
          <w:sz w:val="26"/>
          <w:szCs w:val="26"/>
          <w:rtl/>
        </w:rPr>
        <w:t>יו"ר ועדת הכספים</w:t>
      </w:r>
    </w:p>
    <w:p w14:paraId="1CB74C15" w14:textId="77777777" w:rsidR="00B910C3" w:rsidRPr="00806779" w:rsidRDefault="00B910C3">
      <w:pPr>
        <w:rPr>
          <w:rFonts w:cs="FrankRuehl"/>
          <w:sz w:val="26"/>
          <w:szCs w:val="26"/>
          <w:rtl/>
        </w:rPr>
      </w:pPr>
      <w:r w:rsidRPr="00806779">
        <w:rPr>
          <w:rFonts w:cs="FrankRuehl"/>
          <w:sz w:val="26"/>
          <w:szCs w:val="26"/>
          <w:rtl/>
        </w:rPr>
        <w:t>של הכנסת</w:t>
      </w:r>
    </w:p>
    <w:p w14:paraId="3EEE8750" w14:textId="77777777" w:rsidR="00B910C3" w:rsidRPr="00806779" w:rsidRDefault="00B910C3">
      <w:pPr>
        <w:rPr>
          <w:rFonts w:cs="FrankRuehl"/>
          <w:sz w:val="26"/>
          <w:szCs w:val="26"/>
          <w:rtl/>
        </w:rPr>
      </w:pPr>
    </w:p>
    <w:p w14:paraId="5FC9DF0D" w14:textId="77777777" w:rsidR="00B910C3" w:rsidRPr="00806779" w:rsidRDefault="00B910C3">
      <w:pPr>
        <w:rPr>
          <w:rFonts w:cs="FrankRuehl"/>
          <w:sz w:val="26"/>
          <w:szCs w:val="26"/>
          <w:rtl/>
        </w:rPr>
      </w:pPr>
      <w:r w:rsidRPr="00806779">
        <w:rPr>
          <w:rFonts w:cs="FrankRuehl"/>
          <w:sz w:val="26"/>
          <w:szCs w:val="26"/>
          <w:rtl/>
        </w:rPr>
        <w:t>א.נ.,</w:t>
      </w:r>
    </w:p>
    <w:p w14:paraId="5E7EF181" w14:textId="77777777" w:rsidR="00B910C3" w:rsidRPr="00806779" w:rsidRDefault="00B910C3">
      <w:pPr>
        <w:rPr>
          <w:rFonts w:cs="FrankRuehl"/>
          <w:sz w:val="26"/>
          <w:szCs w:val="26"/>
          <w:rtl/>
        </w:rPr>
      </w:pPr>
    </w:p>
    <w:p w14:paraId="4703BE66" w14:textId="77777777" w:rsidR="00B910C3" w:rsidRPr="00806779" w:rsidRDefault="00B910C3">
      <w:pPr>
        <w:pStyle w:val="a7"/>
        <w:rPr>
          <w:rFonts w:cs="FrankRuehl"/>
          <w:sz w:val="26"/>
          <w:rtl/>
        </w:rPr>
      </w:pPr>
      <w:r w:rsidRPr="00806779">
        <w:rPr>
          <w:rFonts w:cs="FrankRuehl"/>
          <w:bCs w:val="0"/>
          <w:sz w:val="26"/>
          <w:u w:val="none"/>
          <w:rtl/>
        </w:rPr>
        <w:t xml:space="preserve">הנדון: </w:t>
      </w:r>
      <w:r w:rsidRPr="00806779">
        <w:rPr>
          <w:rFonts w:cs="FrankRuehl"/>
          <w:bCs w:val="0"/>
          <w:sz w:val="26"/>
          <w:rtl/>
        </w:rPr>
        <w:t>שינויים בתקציב לשנת</w:t>
      </w:r>
      <w:r w:rsidRPr="00806779">
        <w:rPr>
          <w:rFonts w:cs="FrankRuehl"/>
          <w:sz w:val="26"/>
          <w:rtl/>
        </w:rPr>
        <w:t xml:space="preserve"> </w:t>
      </w:r>
      <w:bookmarkStart w:id="5" w:name="TAKZIV1"/>
      <w:r w:rsidR="00F74CDD">
        <w:rPr>
          <w:rFonts w:cs="FrankRuehl"/>
          <w:sz w:val="26"/>
          <w:rtl/>
        </w:rPr>
        <w:t>2026</w:t>
      </w:r>
      <w:bookmarkEnd w:id="5"/>
      <w:r w:rsidRPr="00806779">
        <w:rPr>
          <w:rFonts w:cs="FrankRuehl"/>
          <w:sz w:val="26"/>
          <w:rtl/>
        </w:rPr>
        <w:t xml:space="preserve">    </w:t>
      </w:r>
    </w:p>
    <w:p w14:paraId="75AC3567" w14:textId="77777777" w:rsidR="00B910C3" w:rsidRPr="00806779" w:rsidRDefault="00B910C3">
      <w:pPr>
        <w:rPr>
          <w:rFonts w:cs="FrankRuehl"/>
          <w:sz w:val="26"/>
          <w:szCs w:val="26"/>
          <w:rtl/>
        </w:rPr>
      </w:pPr>
    </w:p>
    <w:p w14:paraId="3FFBCD7E" w14:textId="24D6590A" w:rsidR="00B910C3" w:rsidRPr="00806779" w:rsidRDefault="00B910C3" w:rsidP="001E3712">
      <w:pPr>
        <w:rPr>
          <w:rFonts w:cs="FrankRuehl"/>
          <w:sz w:val="26"/>
          <w:szCs w:val="26"/>
          <w:rtl/>
        </w:rPr>
      </w:pPr>
      <w:r w:rsidRPr="00806779">
        <w:rPr>
          <w:rFonts w:cs="FrankRuehl"/>
          <w:sz w:val="26"/>
          <w:szCs w:val="26"/>
          <w:rtl/>
        </w:rPr>
        <w:t xml:space="preserve">שר </w:t>
      </w:r>
      <w:r w:rsidR="001D3732">
        <w:rPr>
          <w:rFonts w:cs="FrankRuehl" w:hint="cs"/>
          <w:sz w:val="26"/>
          <w:szCs w:val="26"/>
          <w:rtl/>
        </w:rPr>
        <w:t>הביטחון</w:t>
      </w:r>
      <w:r w:rsidRPr="00806779">
        <w:rPr>
          <w:rFonts w:cs="FrankRuehl"/>
          <w:sz w:val="26"/>
          <w:szCs w:val="26"/>
          <w:rtl/>
        </w:rPr>
        <w:t xml:space="preserve"> מציע שינויים בתקציב משרדו, ושר האוצר מבקש אישורה של ועדת הכספים של הכנסת על כך, בהתאם לסעיף 11 לחוק יסודות התקציב התשמ"ה - 1985,</w:t>
      </w:r>
      <w:r w:rsidR="001E3712">
        <w:rPr>
          <w:rFonts w:cs="FrankRuehl" w:hint="cs"/>
          <w:sz w:val="26"/>
          <w:szCs w:val="26"/>
          <w:rtl/>
        </w:rPr>
        <w:t xml:space="preserve"> </w:t>
      </w:r>
      <w:r w:rsidRPr="00806779">
        <w:rPr>
          <w:rFonts w:cs="FrankRuehl"/>
          <w:sz w:val="26"/>
          <w:szCs w:val="26"/>
          <w:rtl/>
        </w:rPr>
        <w:t>כמפורט בתדפיס המצורף בזה.</w:t>
      </w:r>
    </w:p>
    <w:p w14:paraId="3A0721CE" w14:textId="77777777" w:rsidR="00B910C3" w:rsidRPr="00806779" w:rsidRDefault="00B910C3">
      <w:pPr>
        <w:rPr>
          <w:rFonts w:cs="FrankRuehl"/>
          <w:sz w:val="26"/>
          <w:szCs w:val="26"/>
          <w:rtl/>
        </w:rPr>
      </w:pPr>
    </w:p>
    <w:p w14:paraId="138BE14A" w14:textId="77777777" w:rsidR="001E3712" w:rsidRDefault="001E3712" w:rsidP="00F63CC8">
      <w:pPr>
        <w:contextualSpacing/>
        <w:jc w:val="both"/>
        <w:rPr>
          <w:rFonts w:cs="FrankRuehl"/>
          <w:sz w:val="26"/>
          <w:szCs w:val="26"/>
        </w:rPr>
      </w:pPr>
      <w:r>
        <w:rPr>
          <w:rFonts w:cs="FrankRuehl" w:hint="cs"/>
          <w:b/>
          <w:bCs/>
          <w:sz w:val="26"/>
          <w:szCs w:val="26"/>
          <w:rtl/>
        </w:rPr>
        <w:t xml:space="preserve">הבקשה דנה בסעיף תקציבי: </w:t>
      </w:r>
      <w:r>
        <w:rPr>
          <w:rFonts w:cs="FrankRuehl" w:hint="cs"/>
          <w:sz w:val="26"/>
          <w:szCs w:val="26"/>
          <w:rtl/>
        </w:rPr>
        <w:t xml:space="preserve">17 – </w:t>
      </w:r>
      <w:bookmarkStart w:id="6" w:name="_Hlk207698301"/>
      <w:r>
        <w:rPr>
          <w:rFonts w:cs="FrankRuehl" w:hint="cs"/>
          <w:sz w:val="26"/>
          <w:szCs w:val="26"/>
          <w:rtl/>
        </w:rPr>
        <w:t>תאום הפעולות בשטחים</w:t>
      </w:r>
      <w:bookmarkEnd w:id="6"/>
    </w:p>
    <w:p w14:paraId="784E8FAC" w14:textId="77777777" w:rsidR="001E3712" w:rsidRDefault="001E3712" w:rsidP="00F63CC8">
      <w:pPr>
        <w:contextualSpacing/>
        <w:jc w:val="both"/>
        <w:rPr>
          <w:rFonts w:cs="FrankRuehl"/>
          <w:sz w:val="26"/>
          <w:szCs w:val="26"/>
        </w:rPr>
      </w:pPr>
    </w:p>
    <w:p w14:paraId="78EAB7BC" w14:textId="77777777" w:rsidR="001E3712" w:rsidRDefault="001E3712" w:rsidP="00F63CC8">
      <w:pPr>
        <w:contextualSpacing/>
        <w:jc w:val="both"/>
        <w:rPr>
          <w:rFonts w:cs="FrankRuehl"/>
          <w:sz w:val="26"/>
          <w:szCs w:val="26"/>
          <w:rtl/>
        </w:rPr>
      </w:pPr>
      <w:r>
        <w:rPr>
          <w:rFonts w:cs="FrankRuehl" w:hint="cs"/>
          <w:b/>
          <w:bCs/>
          <w:sz w:val="26"/>
          <w:szCs w:val="26"/>
          <w:rtl/>
        </w:rPr>
        <w:t>עיקריי הפנייה</w:t>
      </w:r>
      <w:r>
        <w:rPr>
          <w:rFonts w:cs="FrankRuehl" w:hint="cs"/>
          <w:sz w:val="26"/>
          <w:szCs w:val="26"/>
          <w:rtl/>
        </w:rPr>
        <w:t>:</w:t>
      </w:r>
    </w:p>
    <w:p w14:paraId="5F97AA0C" w14:textId="77777777" w:rsidR="001E3712" w:rsidRDefault="001E3712" w:rsidP="00F63CC8">
      <w:pPr>
        <w:contextualSpacing/>
        <w:jc w:val="both"/>
        <w:rPr>
          <w:rFonts w:cs="FrankRuehl"/>
          <w:sz w:val="26"/>
          <w:szCs w:val="26"/>
          <w:rtl/>
        </w:rPr>
      </w:pPr>
      <w:r>
        <w:rPr>
          <w:rFonts w:cs="FrankRuehl" w:hint="cs"/>
          <w:sz w:val="26"/>
          <w:szCs w:val="26"/>
          <w:rtl/>
        </w:rPr>
        <w:t>הפנייה התקציבית נועדה לתקצוב סך של 38,600 אלפי ש"ח בהוצאה מותנית בהכנסה בתקציב מתאם פעולות הממשלה בשטחים.</w:t>
      </w:r>
    </w:p>
    <w:p w14:paraId="586366D9" w14:textId="77777777" w:rsidR="001E3712" w:rsidRDefault="001E3712" w:rsidP="00F63CC8">
      <w:pPr>
        <w:contextualSpacing/>
        <w:jc w:val="both"/>
        <w:rPr>
          <w:rFonts w:cs="FrankRuehl"/>
          <w:sz w:val="26"/>
          <w:szCs w:val="26"/>
          <w:rtl/>
        </w:rPr>
      </w:pPr>
    </w:p>
    <w:p w14:paraId="786D8086" w14:textId="77777777" w:rsidR="001E3712" w:rsidRDefault="001E3712" w:rsidP="00F63CC8">
      <w:pPr>
        <w:contextualSpacing/>
        <w:jc w:val="both"/>
        <w:rPr>
          <w:rFonts w:cs="FrankRuehl"/>
          <w:sz w:val="26"/>
          <w:szCs w:val="26"/>
          <w:rtl/>
        </w:rPr>
      </w:pPr>
      <w:r>
        <w:rPr>
          <w:rFonts w:cs="FrankRuehl" w:hint="cs"/>
          <w:sz w:val="26"/>
          <w:szCs w:val="26"/>
          <w:rtl/>
        </w:rPr>
        <w:t>עיקרי הפנייה התקציבית בחלוקה לתוכניות מובאים להלן:</w:t>
      </w:r>
    </w:p>
    <w:p w14:paraId="1BE891E3" w14:textId="77777777" w:rsidR="001E3712" w:rsidRDefault="001E3712" w:rsidP="00F63CC8">
      <w:pPr>
        <w:contextualSpacing/>
        <w:jc w:val="both"/>
        <w:rPr>
          <w:rFonts w:cs="FrankRuehl"/>
          <w:b/>
          <w:bCs/>
          <w:sz w:val="26"/>
          <w:szCs w:val="26"/>
          <w:rtl/>
        </w:rPr>
      </w:pPr>
      <w:r>
        <w:rPr>
          <w:rFonts w:cs="FrankRuehl" w:hint="cs"/>
          <w:b/>
          <w:bCs/>
          <w:sz w:val="26"/>
          <w:szCs w:val="26"/>
          <w:rtl/>
        </w:rPr>
        <w:t>17-31-03: מטה אזרחי – 25,600 אלפי ש"ח בהוצאה מותנית בהכנסה</w:t>
      </w:r>
    </w:p>
    <w:p w14:paraId="44317905" w14:textId="77777777" w:rsidR="001E3712" w:rsidRDefault="001E3712" w:rsidP="00F63CC8">
      <w:pPr>
        <w:contextualSpacing/>
        <w:jc w:val="both"/>
        <w:rPr>
          <w:rFonts w:ascii="FrankRuehl" w:hAnsi="FrankRuehl" w:cs="FrankRuehl"/>
          <w:sz w:val="26"/>
          <w:szCs w:val="26"/>
          <w:rtl/>
        </w:rPr>
      </w:pPr>
      <w:r>
        <w:rPr>
          <w:rFonts w:cs="FrankRuehl" w:hint="cs"/>
          <w:b/>
          <w:bCs/>
          <w:sz w:val="26"/>
          <w:szCs w:val="26"/>
          <w:rtl/>
        </w:rPr>
        <w:t>תיאור התוכנית</w:t>
      </w:r>
      <w:r>
        <w:rPr>
          <w:rFonts w:ascii="FrankRuehl" w:hAnsi="Calibri" w:cs="FrankRuehl" w:hint="cs"/>
          <w:b/>
          <w:bCs/>
          <w:sz w:val="26"/>
          <w:szCs w:val="26"/>
          <w:rtl/>
        </w:rPr>
        <w:t>:</w:t>
      </w:r>
      <w:r>
        <w:rPr>
          <w:rFonts w:ascii="FrankRuehl" w:hAnsi="Calibri" w:cs="FrankRuehl" w:hint="cs"/>
          <w:sz w:val="26"/>
          <w:szCs w:val="26"/>
          <w:rtl/>
        </w:rPr>
        <w:t xml:space="preserve"> תכנית זו נועדה למימון התפעול השוטף של משרדי הממשלה האזרחיים וכן עבור פעילות המטה האזרחי במנהל האזרחי בין הפעולות: ביקורות פנים, שכירת יועצים חיצוניים, פרסומים, מערכות תקשורת, ביטוחים, ציוד כללי, הסעות, תחזוקת משרדים, רישום ראשון, מערכת אביב, פיצויי קרקע </w:t>
      </w:r>
      <w:r>
        <w:rPr>
          <w:rFonts w:ascii="FrankRuehl" w:hAnsi="FrankRuehl" w:cs="FrankRuehl" w:hint="cs"/>
          <w:sz w:val="26"/>
          <w:szCs w:val="26"/>
          <w:rtl/>
        </w:rPr>
        <w:t>ואיכות הסביבה</w:t>
      </w:r>
    </w:p>
    <w:p w14:paraId="38FCA090" w14:textId="77777777" w:rsidR="001E3712" w:rsidRDefault="001E3712" w:rsidP="00F63CC8">
      <w:pPr>
        <w:contextualSpacing/>
        <w:jc w:val="both"/>
        <w:rPr>
          <w:rFonts w:ascii="FrankRuehl" w:hAnsi="FrankRuehl" w:cs="FrankRuehl"/>
          <w:sz w:val="26"/>
          <w:szCs w:val="26"/>
        </w:rPr>
      </w:pPr>
      <w:r>
        <w:rPr>
          <w:rFonts w:ascii="Narkisim" w:hAnsi="Narkisim" w:cs="FrankRuehl" w:hint="cs"/>
          <w:b/>
          <w:bCs/>
          <w:sz w:val="26"/>
          <w:szCs w:val="26"/>
          <w:rtl/>
        </w:rPr>
        <w:t>מטרת השינוי:</w:t>
      </w:r>
    </w:p>
    <w:p w14:paraId="4EA895CB" w14:textId="77777777" w:rsidR="001E3712" w:rsidRDefault="001E3712" w:rsidP="00F63CC8">
      <w:pPr>
        <w:contextualSpacing/>
        <w:jc w:val="both"/>
        <w:rPr>
          <w:rFonts w:ascii="FrankRuehl" w:hAnsi="FrankRuehl" w:cs="FrankRuehl"/>
          <w:sz w:val="26"/>
          <w:szCs w:val="26"/>
          <w:rtl/>
        </w:rPr>
      </w:pPr>
      <w:r>
        <w:rPr>
          <w:rFonts w:ascii="FrankRuehl" w:hAnsi="FrankRuehl" w:cs="FrankRuehl" w:hint="cs"/>
          <w:sz w:val="26"/>
          <w:szCs w:val="26"/>
          <w:rtl/>
        </w:rPr>
        <w:t>תוספת עבור פעילות יחידת איכות הסביבה לטיפול במפגעי שרפות באזור.</w:t>
      </w:r>
    </w:p>
    <w:p w14:paraId="348772A6" w14:textId="77777777" w:rsidR="001E3712" w:rsidRDefault="001E3712" w:rsidP="00F63CC8">
      <w:pPr>
        <w:contextualSpacing/>
        <w:jc w:val="both"/>
        <w:rPr>
          <w:rFonts w:ascii="FrankRuehl" w:hAnsi="FrankRuehl" w:cs="FrankRuehl"/>
          <w:sz w:val="26"/>
          <w:szCs w:val="26"/>
          <w:rtl/>
        </w:rPr>
      </w:pPr>
    </w:p>
    <w:p w14:paraId="4B462558" w14:textId="77777777" w:rsidR="001E3712" w:rsidRDefault="001E3712" w:rsidP="00F63CC8">
      <w:pPr>
        <w:contextualSpacing/>
        <w:jc w:val="both"/>
        <w:rPr>
          <w:rFonts w:ascii="FrankRuehl" w:hAnsi="FrankRuehl" w:cs="FrankRuehl"/>
          <w:b/>
          <w:bCs/>
          <w:sz w:val="26"/>
          <w:szCs w:val="26"/>
          <w:rtl/>
        </w:rPr>
      </w:pPr>
      <w:r>
        <w:rPr>
          <w:rFonts w:ascii="FrankRuehl" w:hAnsi="FrankRuehl" w:cs="FrankRuehl" w:hint="cs"/>
          <w:b/>
          <w:bCs/>
          <w:sz w:val="26"/>
          <w:szCs w:val="26"/>
          <w:rtl/>
        </w:rPr>
        <w:t>17-31-08: יחידת הפיקוח –  2,000 אלפי ש"ח בהוצאה</w:t>
      </w:r>
    </w:p>
    <w:p w14:paraId="5D136F0B" w14:textId="77777777" w:rsidR="001E3712" w:rsidRDefault="001E3712" w:rsidP="00F63CC8">
      <w:pPr>
        <w:contextualSpacing/>
        <w:jc w:val="both"/>
        <w:rPr>
          <w:rFonts w:ascii="FrankRuehl" w:hAnsi="FrankRuehl" w:cs="FrankRuehl"/>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התוכנית מתקצבת את יחידת הפיקוח במנהל האזרחי, היחידה עוסקת בפיקוח על קרקעות באחריות ישראלית ובכלל זה הריסות של בנייה בלתי חוקית, פיקוח על אתרי כרייה וחציבה, גניבות מים, פיקוח על שמורות טבע ושמירה על אתרים ארכיאולוגיים.</w:t>
      </w:r>
    </w:p>
    <w:p w14:paraId="4D97DD2D" w14:textId="77777777" w:rsidR="001E3712" w:rsidRDefault="001E3712" w:rsidP="00F63CC8">
      <w:pPr>
        <w:contextualSpacing/>
        <w:jc w:val="both"/>
        <w:rPr>
          <w:rFonts w:ascii="FrankRuehl" w:hAnsi="FrankRuehl" w:cs="FrankRuehl"/>
          <w:sz w:val="26"/>
          <w:szCs w:val="26"/>
          <w:rtl/>
        </w:rPr>
      </w:pPr>
      <w:r>
        <w:rPr>
          <w:rFonts w:ascii="FrankRuehl" w:hAnsi="FrankRuehl" w:cs="FrankRuehl" w:hint="cs"/>
          <w:b/>
          <w:bCs/>
          <w:sz w:val="26"/>
          <w:szCs w:val="26"/>
          <w:rtl/>
        </w:rPr>
        <w:t>מטרת השינוי:</w:t>
      </w:r>
    </w:p>
    <w:p w14:paraId="560CDB91" w14:textId="77777777" w:rsidR="001E3712" w:rsidRDefault="001E3712" w:rsidP="00F63CC8">
      <w:pPr>
        <w:contextualSpacing/>
        <w:jc w:val="both"/>
        <w:rPr>
          <w:rFonts w:ascii="FrankRuehl" w:hAnsi="FrankRuehl" w:cs="FrankRuehl"/>
          <w:sz w:val="26"/>
          <w:szCs w:val="26"/>
          <w:rtl/>
        </w:rPr>
      </w:pPr>
      <w:r>
        <w:rPr>
          <w:rFonts w:ascii="FrankRuehl" w:hAnsi="FrankRuehl" w:cs="FrankRuehl" w:hint="cs"/>
          <w:sz w:val="26"/>
          <w:szCs w:val="26"/>
          <w:rtl/>
        </w:rPr>
        <w:t>תוספת תקציבית בהתאם לצורך בפועל ולקצב ההתקדמות בפעילות היחידה המבוצעת בכפוף להחלטות בית המשפט בנושא.</w:t>
      </w:r>
    </w:p>
    <w:p w14:paraId="465029CF" w14:textId="77777777" w:rsidR="001E3712" w:rsidRDefault="001E3712" w:rsidP="00F63CC8">
      <w:pPr>
        <w:contextualSpacing/>
        <w:jc w:val="both"/>
        <w:rPr>
          <w:rFonts w:ascii="FrankRuehl" w:hAnsi="FrankRuehl" w:cs="FrankRuehl"/>
          <w:sz w:val="26"/>
          <w:szCs w:val="26"/>
          <w:rtl/>
        </w:rPr>
      </w:pPr>
    </w:p>
    <w:p w14:paraId="0C60C5C4" w14:textId="77777777" w:rsidR="001E3712" w:rsidRDefault="001E3712" w:rsidP="00F63CC8">
      <w:pPr>
        <w:contextualSpacing/>
        <w:jc w:val="both"/>
        <w:rPr>
          <w:rFonts w:ascii="FrankRuehl" w:hAnsi="FrankRuehl" w:cs="FrankRuehl"/>
          <w:sz w:val="26"/>
          <w:szCs w:val="26"/>
          <w:rtl/>
        </w:rPr>
      </w:pPr>
    </w:p>
    <w:p w14:paraId="778FA254" w14:textId="77777777" w:rsidR="001E3712" w:rsidRDefault="001E3712" w:rsidP="00F63CC8">
      <w:pPr>
        <w:contextualSpacing/>
        <w:jc w:val="both"/>
        <w:rPr>
          <w:rFonts w:ascii="FrankRuehl" w:hAnsi="Calibri" w:cs="FrankRuehl"/>
          <w:b/>
          <w:bCs/>
          <w:sz w:val="26"/>
          <w:szCs w:val="26"/>
          <w:rtl/>
        </w:rPr>
      </w:pPr>
      <w:r>
        <w:rPr>
          <w:rFonts w:ascii="FrankRuehl" w:hAnsi="Calibri" w:cs="FrankRuehl" w:hint="cs"/>
          <w:b/>
          <w:bCs/>
          <w:sz w:val="26"/>
          <w:szCs w:val="26"/>
          <w:rtl/>
        </w:rPr>
        <w:t xml:space="preserve">תוכנית </w:t>
      </w:r>
      <w:r>
        <w:rPr>
          <w:rFonts w:ascii="FrankRuehl" w:hAnsi="Calibri" w:cs="FrankRuehl" w:hint="cs"/>
          <w:b/>
          <w:bCs/>
          <w:sz w:val="26"/>
          <w:szCs w:val="26"/>
        </w:rPr>
        <w:t>:17-31-09</w:t>
      </w:r>
      <w:r>
        <w:rPr>
          <w:rFonts w:ascii="FrankRuehl" w:hAnsi="Calibri" w:cs="FrankRuehl" w:hint="cs"/>
          <w:b/>
          <w:bCs/>
          <w:sz w:val="26"/>
          <w:szCs w:val="26"/>
          <w:rtl/>
        </w:rPr>
        <w:t xml:space="preserve"> פיתוח</w:t>
      </w:r>
      <w:r>
        <w:rPr>
          <w:rFonts w:ascii="FrankRuehl" w:hAnsi="Calibri" w:cs="FrankRuehl" w:hint="cs"/>
          <w:b/>
          <w:bCs/>
          <w:sz w:val="26"/>
          <w:szCs w:val="26"/>
        </w:rPr>
        <w:t xml:space="preserve"> </w:t>
      </w:r>
      <w:r>
        <w:rPr>
          <w:rFonts w:ascii="FrankRuehl" w:hAnsi="Calibri" w:cs="FrankRuehl" w:hint="cs"/>
          <w:b/>
          <w:bCs/>
          <w:sz w:val="26"/>
          <w:szCs w:val="26"/>
          <w:rtl/>
        </w:rPr>
        <w:t>האזור – 13,000 אלפי</w:t>
      </w:r>
      <w:r>
        <w:rPr>
          <w:rFonts w:ascii="FrankRuehl" w:hAnsi="Calibri" w:cs="FrankRuehl" w:hint="cs"/>
          <w:b/>
          <w:bCs/>
          <w:sz w:val="26"/>
          <w:szCs w:val="26"/>
        </w:rPr>
        <w:t xml:space="preserve"> </w:t>
      </w:r>
      <w:r>
        <w:rPr>
          <w:rFonts w:ascii="FrankRuehl" w:hAnsi="Calibri" w:cs="FrankRuehl" w:hint="cs"/>
          <w:b/>
          <w:bCs/>
          <w:sz w:val="26"/>
          <w:szCs w:val="26"/>
          <w:rtl/>
        </w:rPr>
        <w:t>ש</w:t>
      </w:r>
      <w:r>
        <w:rPr>
          <w:rFonts w:ascii="FrankRuehl" w:hAnsi="Calibri" w:cs="FrankRuehl" w:hint="cs"/>
          <w:b/>
          <w:bCs/>
          <w:sz w:val="26"/>
          <w:szCs w:val="26"/>
        </w:rPr>
        <w:t>"</w:t>
      </w:r>
      <w:r>
        <w:rPr>
          <w:rFonts w:ascii="FrankRuehl" w:hAnsi="Calibri" w:cs="FrankRuehl" w:hint="cs"/>
          <w:b/>
          <w:bCs/>
          <w:sz w:val="26"/>
          <w:szCs w:val="26"/>
          <w:rtl/>
        </w:rPr>
        <w:t xml:space="preserve">ח </w:t>
      </w:r>
      <w:r>
        <w:rPr>
          <w:rFonts w:cs="FrankRuehl" w:hint="cs"/>
          <w:b/>
          <w:bCs/>
          <w:sz w:val="26"/>
          <w:szCs w:val="26"/>
          <w:rtl/>
        </w:rPr>
        <w:t>בהוצאה מותנית בהכנסה</w:t>
      </w:r>
    </w:p>
    <w:p w14:paraId="5C535E36" w14:textId="77777777" w:rsidR="001E3712" w:rsidRDefault="001E3712" w:rsidP="00F63CC8">
      <w:pPr>
        <w:contextualSpacing/>
        <w:jc w:val="both"/>
        <w:rPr>
          <w:rFonts w:ascii="Calibri" w:hAnsi="Calibri" w:cs="FrankRuehl"/>
          <w:sz w:val="26"/>
          <w:szCs w:val="26"/>
        </w:rPr>
      </w:pPr>
      <w:r>
        <w:rPr>
          <w:rFonts w:ascii="FrankRuehl" w:hAnsi="Calibri" w:cs="FrankRuehl" w:hint="cs"/>
          <w:b/>
          <w:bCs/>
          <w:sz w:val="26"/>
          <w:szCs w:val="26"/>
          <w:rtl/>
        </w:rPr>
        <w:t>תיאור התכנית:</w:t>
      </w:r>
      <w:r>
        <w:rPr>
          <w:rFonts w:ascii="FrankRuehl" w:hAnsi="Calibri" w:cs="FrankRuehl" w:hint="cs"/>
          <w:sz w:val="26"/>
          <w:szCs w:val="26"/>
          <w:rtl/>
        </w:rPr>
        <w:t xml:space="preserve"> בתוכנית מתוקצבים פרויקטים לפיתוח האזור בתחומים</w:t>
      </w:r>
      <w:r>
        <w:rPr>
          <w:rFonts w:ascii="FrankRuehl" w:hAnsi="Calibri" w:cs="FrankRuehl" w:hint="cs"/>
          <w:sz w:val="26"/>
          <w:szCs w:val="26"/>
        </w:rPr>
        <w:t xml:space="preserve"> </w:t>
      </w:r>
      <w:r>
        <w:rPr>
          <w:rFonts w:ascii="FrankRuehl" w:hAnsi="Calibri" w:cs="FrankRuehl" w:hint="cs"/>
          <w:sz w:val="26"/>
          <w:szCs w:val="26"/>
          <w:rtl/>
        </w:rPr>
        <w:t>שונים</w:t>
      </w:r>
      <w:r>
        <w:rPr>
          <w:rFonts w:ascii="Calibri" w:hAnsi="Calibri" w:cs="FrankRuehl" w:hint="cs"/>
          <w:sz w:val="26"/>
          <w:szCs w:val="26"/>
          <w:rtl/>
        </w:rPr>
        <w:t xml:space="preserve"> ביניהם</w:t>
      </w:r>
      <w:r>
        <w:rPr>
          <w:rFonts w:ascii="Calibri" w:hAnsi="Calibri" w:cs="FrankRuehl"/>
          <w:sz w:val="26"/>
          <w:szCs w:val="26"/>
        </w:rPr>
        <w:t>:</w:t>
      </w:r>
      <w:r>
        <w:rPr>
          <w:rFonts w:ascii="Calibri" w:hAnsi="Calibri" w:cs="FrankRuehl" w:hint="cs"/>
          <w:sz w:val="26"/>
          <w:szCs w:val="26"/>
          <w:rtl/>
        </w:rPr>
        <w:t xml:space="preserve"> הקמת תשתיות ביוב </w:t>
      </w:r>
      <w:r>
        <w:rPr>
          <w:rFonts w:ascii="FrankRuehl" w:hAnsi="Calibri" w:cs="FrankRuehl" w:hint="cs"/>
          <w:sz w:val="26"/>
          <w:szCs w:val="26"/>
          <w:rtl/>
        </w:rPr>
        <w:t>וניקוז, טרנספורמציה דיגיטלית,</w:t>
      </w:r>
      <w:r>
        <w:rPr>
          <w:rFonts w:ascii="FrankRuehl" w:hAnsi="Calibri" w:cs="FrankRuehl" w:hint="cs"/>
          <w:sz w:val="26"/>
          <w:szCs w:val="26"/>
        </w:rPr>
        <w:t xml:space="preserve"> </w:t>
      </w:r>
      <w:r>
        <w:rPr>
          <w:rFonts w:ascii="FrankRuehl" w:hAnsi="Calibri" w:cs="FrankRuehl" w:hint="cs"/>
          <w:sz w:val="26"/>
          <w:szCs w:val="26"/>
          <w:rtl/>
        </w:rPr>
        <w:t>פרויקטים בארכיאולוגיה, פרויקטים לשמירה על איכות</w:t>
      </w:r>
      <w:r>
        <w:rPr>
          <w:rFonts w:ascii="FrankRuehl" w:hAnsi="Calibri" w:cs="FrankRuehl" w:hint="cs"/>
          <w:sz w:val="26"/>
          <w:szCs w:val="26"/>
        </w:rPr>
        <w:t xml:space="preserve"> </w:t>
      </w:r>
      <w:r>
        <w:rPr>
          <w:rFonts w:ascii="FrankRuehl" w:hAnsi="Calibri" w:cs="FrankRuehl" w:hint="cs"/>
          <w:sz w:val="26"/>
          <w:szCs w:val="26"/>
          <w:rtl/>
        </w:rPr>
        <w:t>הסביבה,</w:t>
      </w:r>
      <w:r>
        <w:rPr>
          <w:rFonts w:ascii="FrankRuehl" w:hAnsi="Calibri" w:cs="FrankRuehl" w:hint="cs"/>
          <w:sz w:val="26"/>
          <w:szCs w:val="26"/>
        </w:rPr>
        <w:t xml:space="preserve"> </w:t>
      </w:r>
      <w:r>
        <w:rPr>
          <w:rFonts w:ascii="FrankRuehl" w:hAnsi="Calibri" w:cs="FrankRuehl" w:hint="cs"/>
          <w:sz w:val="26"/>
          <w:szCs w:val="26"/>
          <w:rtl/>
        </w:rPr>
        <w:t>תחזוק ושמירה על שמורות</w:t>
      </w:r>
      <w:r>
        <w:rPr>
          <w:rFonts w:ascii="FrankRuehl" w:hAnsi="Calibri" w:cs="FrankRuehl" w:hint="cs"/>
          <w:sz w:val="26"/>
          <w:szCs w:val="26"/>
        </w:rPr>
        <w:t xml:space="preserve"> </w:t>
      </w:r>
      <w:r>
        <w:rPr>
          <w:rFonts w:ascii="FrankRuehl" w:hAnsi="Calibri" w:cs="FrankRuehl" w:hint="cs"/>
          <w:sz w:val="26"/>
          <w:szCs w:val="26"/>
          <w:rtl/>
        </w:rPr>
        <w:t>טבע,</w:t>
      </w:r>
      <w:r>
        <w:rPr>
          <w:rFonts w:ascii="FrankRuehl" w:hAnsi="Calibri" w:cs="FrankRuehl" w:hint="cs"/>
          <w:sz w:val="26"/>
          <w:szCs w:val="26"/>
        </w:rPr>
        <w:t xml:space="preserve"> </w:t>
      </w:r>
      <w:r>
        <w:rPr>
          <w:rFonts w:ascii="FrankRuehl" w:hAnsi="Calibri" w:cs="FrankRuehl" w:hint="cs"/>
          <w:sz w:val="26"/>
          <w:szCs w:val="26"/>
          <w:rtl/>
        </w:rPr>
        <w:t>תחזוקת</w:t>
      </w:r>
      <w:r>
        <w:rPr>
          <w:rFonts w:ascii="FrankRuehl" w:hAnsi="Calibri" w:cs="FrankRuehl" w:hint="cs"/>
          <w:sz w:val="26"/>
          <w:szCs w:val="26"/>
        </w:rPr>
        <w:t xml:space="preserve"> </w:t>
      </w:r>
      <w:r>
        <w:rPr>
          <w:rFonts w:ascii="FrankRuehl" w:hAnsi="Calibri" w:cs="FrankRuehl" w:hint="cs"/>
          <w:sz w:val="26"/>
          <w:szCs w:val="26"/>
          <w:rtl/>
        </w:rPr>
        <w:t>כבישים,</w:t>
      </w:r>
      <w:r>
        <w:rPr>
          <w:rFonts w:ascii="FrankRuehl" w:hAnsi="Calibri" w:cs="FrankRuehl" w:hint="cs"/>
          <w:sz w:val="26"/>
          <w:szCs w:val="26"/>
        </w:rPr>
        <w:t xml:space="preserve"> </w:t>
      </w:r>
      <w:r>
        <w:rPr>
          <w:rFonts w:ascii="FrankRuehl" w:hAnsi="Calibri" w:cs="FrankRuehl" w:hint="cs"/>
          <w:sz w:val="26"/>
          <w:szCs w:val="26"/>
          <w:rtl/>
        </w:rPr>
        <w:t>שיפור</w:t>
      </w:r>
      <w:r>
        <w:rPr>
          <w:rFonts w:ascii="FrankRuehl" w:hAnsi="Calibri" w:cs="FrankRuehl" w:hint="cs"/>
          <w:sz w:val="26"/>
          <w:szCs w:val="26"/>
        </w:rPr>
        <w:t xml:space="preserve"> </w:t>
      </w:r>
      <w:r>
        <w:rPr>
          <w:rFonts w:ascii="FrankRuehl" w:hAnsi="Calibri" w:cs="FrankRuehl" w:hint="cs"/>
          <w:sz w:val="26"/>
          <w:szCs w:val="26"/>
          <w:rtl/>
        </w:rPr>
        <w:t>תנאי</w:t>
      </w:r>
      <w:r>
        <w:rPr>
          <w:rFonts w:ascii="FrankRuehl" w:hAnsi="Calibri" w:cs="FrankRuehl" w:hint="cs"/>
          <w:sz w:val="26"/>
          <w:szCs w:val="26"/>
        </w:rPr>
        <w:t xml:space="preserve"> </w:t>
      </w:r>
      <w:r>
        <w:rPr>
          <w:rFonts w:ascii="FrankRuehl" w:hAnsi="Calibri" w:cs="FrankRuehl" w:hint="cs"/>
          <w:sz w:val="26"/>
          <w:szCs w:val="26"/>
          <w:rtl/>
        </w:rPr>
        <w:t>קבלת</w:t>
      </w:r>
      <w:r>
        <w:rPr>
          <w:rFonts w:ascii="Calibri" w:hAnsi="Calibri" w:cs="FrankRuehl" w:hint="cs"/>
          <w:sz w:val="26"/>
          <w:szCs w:val="26"/>
          <w:rtl/>
        </w:rPr>
        <w:t xml:space="preserve"> </w:t>
      </w:r>
      <w:r>
        <w:rPr>
          <w:rFonts w:ascii="FrankRuehl" w:hAnsi="Calibri" w:cs="FrankRuehl" w:hint="cs"/>
          <w:sz w:val="26"/>
          <w:szCs w:val="26"/>
          <w:rtl/>
        </w:rPr>
        <w:t>קהל</w:t>
      </w:r>
      <w:r>
        <w:rPr>
          <w:rFonts w:ascii="FrankRuehl" w:hAnsi="Calibri" w:cs="FrankRuehl" w:hint="cs"/>
          <w:sz w:val="26"/>
          <w:szCs w:val="26"/>
        </w:rPr>
        <w:t xml:space="preserve"> </w:t>
      </w:r>
      <w:r>
        <w:rPr>
          <w:rFonts w:ascii="FrankRuehl" w:hAnsi="Calibri" w:cs="FrankRuehl" w:hint="cs"/>
          <w:sz w:val="26"/>
          <w:szCs w:val="26"/>
          <w:rtl/>
        </w:rPr>
        <w:t>ותחזוקה</w:t>
      </w:r>
      <w:r>
        <w:rPr>
          <w:rFonts w:ascii="FrankRuehl" w:hAnsi="Calibri" w:cs="FrankRuehl" w:hint="cs"/>
          <w:sz w:val="26"/>
          <w:szCs w:val="26"/>
        </w:rPr>
        <w:t xml:space="preserve"> </w:t>
      </w:r>
      <w:r>
        <w:rPr>
          <w:rFonts w:ascii="FrankRuehl" w:hAnsi="Calibri" w:cs="FrankRuehl" w:hint="cs"/>
          <w:sz w:val="26"/>
          <w:szCs w:val="26"/>
          <w:rtl/>
        </w:rPr>
        <w:t>במעברים</w:t>
      </w:r>
      <w:r>
        <w:rPr>
          <w:rFonts w:ascii="Calibri" w:hAnsi="Calibri" w:cs="FrankRuehl"/>
          <w:sz w:val="26"/>
          <w:szCs w:val="26"/>
        </w:rPr>
        <w:t>.</w:t>
      </w:r>
    </w:p>
    <w:p w14:paraId="05521477" w14:textId="77777777" w:rsidR="001E3712" w:rsidRDefault="001E3712" w:rsidP="00F63CC8">
      <w:pPr>
        <w:contextualSpacing/>
        <w:jc w:val="both"/>
        <w:rPr>
          <w:rFonts w:ascii="FrankRuehl" w:hAnsi="FrankRuehl" w:cs="FrankRuehl"/>
          <w:sz w:val="26"/>
          <w:szCs w:val="26"/>
          <w:rtl/>
        </w:rPr>
      </w:pPr>
      <w:r>
        <w:rPr>
          <w:rFonts w:ascii="Narkisim" w:hAnsi="Narkisim" w:cs="FrankRuehl" w:hint="cs"/>
          <w:b/>
          <w:bCs/>
          <w:sz w:val="26"/>
          <w:szCs w:val="26"/>
          <w:rtl/>
        </w:rPr>
        <w:t>מטרת השינוי:</w:t>
      </w:r>
      <w:r>
        <w:rPr>
          <w:rFonts w:ascii="FrankRuehl" w:hAnsi="FrankRuehl" w:cs="FrankRuehl" w:hint="cs"/>
          <w:sz w:val="26"/>
          <w:szCs w:val="26"/>
          <w:rtl/>
        </w:rPr>
        <w:t xml:space="preserve"> </w:t>
      </w:r>
    </w:p>
    <w:p w14:paraId="38E7BA59" w14:textId="77777777" w:rsidR="001E3712" w:rsidRDefault="001E3712" w:rsidP="00F63CC8">
      <w:pPr>
        <w:tabs>
          <w:tab w:val="center" w:pos="6888"/>
        </w:tabs>
        <w:contextualSpacing/>
        <w:jc w:val="both"/>
        <w:rPr>
          <w:rFonts w:cs="FrankRuehl"/>
          <w:sz w:val="26"/>
          <w:szCs w:val="26"/>
          <w:rtl/>
        </w:rPr>
      </w:pPr>
      <w:r>
        <w:rPr>
          <w:rFonts w:cs="FrankRuehl" w:hint="cs"/>
          <w:sz w:val="26"/>
          <w:szCs w:val="26"/>
          <w:rtl/>
        </w:rPr>
        <w:lastRenderedPageBreak/>
        <w:t xml:space="preserve">תוספת תקציבית בסך של 8,000 אלפי ש"ח בהוצאה מותנית בהכנסה עבור פרויקט לשיפור הכיסוי הסלולרי ברחבי יהודה ושומרון </w:t>
      </w:r>
      <w:r>
        <w:rPr>
          <w:rFonts w:ascii="FrankRuehl" w:hAnsi="FrankRuehl" w:cs="FrankRuehl" w:hint="cs"/>
          <w:sz w:val="26"/>
          <w:szCs w:val="26"/>
          <w:rtl/>
        </w:rPr>
        <w:t>במסגרת הפרויקט, יוקמו תרנים על ידי המנהל האזרחי ברחבי איו"ש, בצירים ראשיים ובתחומי תשתיות ביטחוניות. התרנים יושכרו לחברות הישראליות והפלסטיניות</w:t>
      </w:r>
      <w:r>
        <w:rPr>
          <w:rFonts w:ascii="FrankRuehl" w:hAnsi="FrankRuehl" w:cs="FrankRuehl" w:hint="cs"/>
          <w:sz w:val="26"/>
          <w:szCs w:val="26"/>
        </w:rPr>
        <w:t xml:space="preserve"> </w:t>
      </w:r>
      <w:r>
        <w:rPr>
          <w:rFonts w:ascii="FrankRuehl" w:hAnsi="FrankRuehl" w:cs="FrankRuehl" w:hint="cs"/>
          <w:sz w:val="26"/>
          <w:szCs w:val="26"/>
          <w:rtl/>
        </w:rPr>
        <w:t>לצורך הקמת ציוד קליטה ושידור.</w:t>
      </w:r>
      <w:r>
        <w:rPr>
          <w:rFonts w:cs="FrankRuehl" w:hint="cs"/>
          <w:sz w:val="26"/>
          <w:szCs w:val="26"/>
          <w:rtl/>
        </w:rPr>
        <w:t xml:space="preserve"> התקציב למימוש הפרויקט יוקצה מתוך קרן המינהל האזרחי לצורך פיתוח האזור ומתוך ההכנסות שהתקבלו לקרן מתחומי האזור. הקרן מחזיקה את הכנסות המינהל האזרחי באיו"ש (לרבות הכנסות משימוש בקרקע ומגופי תקשורת באזור), ומשמשת אך ורק לפעילות המנהל האזרחי ולפיתוח האזור, והכל בנפרד מתקציב המדינה.</w:t>
      </w:r>
    </w:p>
    <w:p w14:paraId="2CE4CD1D" w14:textId="77777777" w:rsidR="001E3712" w:rsidRDefault="001E3712" w:rsidP="00F63CC8">
      <w:pPr>
        <w:tabs>
          <w:tab w:val="center" w:pos="6888"/>
        </w:tabs>
        <w:contextualSpacing/>
        <w:jc w:val="both"/>
        <w:rPr>
          <w:rFonts w:cs="FrankRuehl"/>
          <w:sz w:val="26"/>
          <w:szCs w:val="26"/>
          <w:rtl/>
        </w:rPr>
      </w:pPr>
      <w:r>
        <w:rPr>
          <w:rFonts w:cs="FrankRuehl" w:hint="cs"/>
          <w:sz w:val="26"/>
          <w:szCs w:val="26"/>
          <w:rtl/>
        </w:rPr>
        <w:t xml:space="preserve"> בנוסף לזאת תוספת תקציבית בסך של 5,000 אלפי ש"ח בהוצאה מותנית בהכנסה עבור פרויקטים שונים של המטה האזרחי ושל המנהל האזרחי ביניהם: טיפול בפסולת, טיפול בשפכים, דיגיטציה של פעילות המטה, שיפוץ ושימור אתרי מורשת, בינוי מת"ק שומרון ושמירה על חקלאות האזור מפני מזיקים.</w:t>
      </w:r>
    </w:p>
    <w:p w14:paraId="609D90C6" w14:textId="77777777" w:rsidR="001E3712" w:rsidRDefault="001E3712" w:rsidP="00F63CC8">
      <w:pPr>
        <w:tabs>
          <w:tab w:val="center" w:pos="6888"/>
        </w:tabs>
        <w:contextualSpacing/>
        <w:jc w:val="both"/>
        <w:rPr>
          <w:rFonts w:cs="FrankRuehl"/>
          <w:sz w:val="26"/>
          <w:szCs w:val="26"/>
          <w:rtl/>
        </w:rPr>
      </w:pPr>
    </w:p>
    <w:p w14:paraId="17C7E176" w14:textId="77777777" w:rsidR="001E3712" w:rsidRDefault="001E3712" w:rsidP="00F63CC8">
      <w:pPr>
        <w:contextualSpacing/>
        <w:jc w:val="both"/>
        <w:rPr>
          <w:rFonts w:ascii="FrankRuehl" w:hAnsi="Calibri" w:cs="FrankRuehl"/>
          <w:b/>
          <w:bCs/>
          <w:sz w:val="26"/>
          <w:szCs w:val="26"/>
          <w:rtl/>
        </w:rPr>
      </w:pPr>
      <w:r>
        <w:rPr>
          <w:rFonts w:ascii="FrankRuehl" w:hAnsi="Calibri" w:cs="FrankRuehl" w:hint="cs"/>
          <w:b/>
          <w:bCs/>
          <w:sz w:val="26"/>
          <w:szCs w:val="26"/>
          <w:rtl/>
        </w:rPr>
        <w:t xml:space="preserve">תוכנית </w:t>
      </w:r>
      <w:r>
        <w:rPr>
          <w:rFonts w:ascii="FrankRuehl" w:hAnsi="Calibri" w:cs="FrankRuehl" w:hint="cs"/>
          <w:b/>
          <w:bCs/>
          <w:sz w:val="26"/>
          <w:szCs w:val="26"/>
        </w:rPr>
        <w:t>:17-33-01</w:t>
      </w:r>
      <w:r>
        <w:rPr>
          <w:rFonts w:ascii="FrankRuehl" w:hAnsi="Calibri" w:cs="FrankRuehl" w:hint="cs"/>
          <w:b/>
          <w:bCs/>
          <w:sz w:val="26"/>
          <w:szCs w:val="26"/>
          <w:rtl/>
        </w:rPr>
        <w:t xml:space="preserve"> מטה</w:t>
      </w:r>
      <w:r>
        <w:rPr>
          <w:rFonts w:ascii="FrankRuehl" w:hAnsi="Calibri" w:cs="FrankRuehl" w:hint="cs"/>
          <w:b/>
          <w:bCs/>
          <w:sz w:val="26"/>
          <w:szCs w:val="26"/>
        </w:rPr>
        <w:t xml:space="preserve"> -</w:t>
      </w:r>
      <w:r>
        <w:rPr>
          <w:rFonts w:ascii="FrankRuehl" w:hAnsi="Calibri" w:cs="FrankRuehl" w:hint="cs"/>
          <w:b/>
          <w:bCs/>
          <w:sz w:val="26"/>
          <w:szCs w:val="26"/>
          <w:rtl/>
        </w:rPr>
        <w:t>מפקדת</w:t>
      </w:r>
      <w:r>
        <w:rPr>
          <w:rFonts w:ascii="FrankRuehl" w:hAnsi="Calibri" w:cs="FrankRuehl" w:hint="cs"/>
          <w:b/>
          <w:bCs/>
          <w:sz w:val="26"/>
          <w:szCs w:val="26"/>
        </w:rPr>
        <w:t xml:space="preserve"> </w:t>
      </w:r>
      <w:r>
        <w:rPr>
          <w:rFonts w:ascii="FrankRuehl" w:hAnsi="Calibri" w:cs="FrankRuehl" w:hint="cs"/>
          <w:b/>
          <w:bCs/>
          <w:sz w:val="26"/>
          <w:szCs w:val="26"/>
          <w:rtl/>
        </w:rPr>
        <w:t>תיאום</w:t>
      </w:r>
      <w:r>
        <w:rPr>
          <w:rFonts w:ascii="FrankRuehl" w:hAnsi="Calibri" w:cs="FrankRuehl" w:hint="cs"/>
          <w:b/>
          <w:bCs/>
          <w:sz w:val="26"/>
          <w:szCs w:val="26"/>
        </w:rPr>
        <w:t xml:space="preserve"> </w:t>
      </w:r>
      <w:r>
        <w:rPr>
          <w:rFonts w:ascii="FrankRuehl" w:hAnsi="Calibri" w:cs="FrankRuehl" w:hint="cs"/>
          <w:b/>
          <w:bCs/>
          <w:sz w:val="26"/>
          <w:szCs w:val="26"/>
          <w:rtl/>
        </w:rPr>
        <w:t>וקישור</w:t>
      </w:r>
      <w:r>
        <w:rPr>
          <w:rFonts w:ascii="FrankRuehl" w:hAnsi="Calibri" w:cs="FrankRuehl" w:hint="cs"/>
          <w:b/>
          <w:bCs/>
          <w:sz w:val="26"/>
          <w:szCs w:val="26"/>
        </w:rPr>
        <w:t xml:space="preserve"> </w:t>
      </w:r>
      <w:r>
        <w:rPr>
          <w:rFonts w:ascii="FrankRuehl" w:hAnsi="Calibri" w:cs="FrankRuehl" w:hint="cs"/>
          <w:b/>
          <w:bCs/>
          <w:sz w:val="26"/>
          <w:szCs w:val="26"/>
          <w:rtl/>
        </w:rPr>
        <w:t>חבל</w:t>
      </w:r>
      <w:r>
        <w:rPr>
          <w:rFonts w:ascii="FrankRuehl" w:hAnsi="Calibri" w:cs="FrankRuehl" w:hint="cs"/>
          <w:b/>
          <w:bCs/>
          <w:sz w:val="26"/>
          <w:szCs w:val="26"/>
        </w:rPr>
        <w:t xml:space="preserve"> </w:t>
      </w:r>
      <w:r>
        <w:rPr>
          <w:rFonts w:ascii="FrankRuehl" w:hAnsi="Calibri" w:cs="FrankRuehl" w:hint="cs"/>
          <w:b/>
          <w:bCs/>
          <w:sz w:val="26"/>
          <w:szCs w:val="26"/>
          <w:rtl/>
        </w:rPr>
        <w:t>עזה – 1,000 אלפי</w:t>
      </w:r>
      <w:r>
        <w:rPr>
          <w:rFonts w:ascii="FrankRuehl" w:hAnsi="Calibri" w:cs="FrankRuehl" w:hint="cs"/>
          <w:b/>
          <w:bCs/>
          <w:sz w:val="26"/>
          <w:szCs w:val="26"/>
        </w:rPr>
        <w:t xml:space="preserve"> </w:t>
      </w:r>
      <w:r>
        <w:rPr>
          <w:rFonts w:ascii="FrankRuehl" w:hAnsi="Calibri" w:cs="FrankRuehl" w:hint="cs"/>
          <w:b/>
          <w:bCs/>
          <w:sz w:val="26"/>
          <w:szCs w:val="26"/>
          <w:rtl/>
        </w:rPr>
        <w:t>ש</w:t>
      </w:r>
      <w:r>
        <w:rPr>
          <w:rFonts w:ascii="FrankRuehl" w:hAnsi="Calibri" w:cs="FrankRuehl" w:hint="cs"/>
          <w:b/>
          <w:bCs/>
          <w:sz w:val="26"/>
          <w:szCs w:val="26"/>
        </w:rPr>
        <w:t>"</w:t>
      </w:r>
      <w:r>
        <w:rPr>
          <w:rFonts w:ascii="FrankRuehl" w:hAnsi="Calibri" w:cs="FrankRuehl" w:hint="cs"/>
          <w:b/>
          <w:bCs/>
          <w:sz w:val="26"/>
          <w:szCs w:val="26"/>
          <w:rtl/>
        </w:rPr>
        <w:t xml:space="preserve">ח </w:t>
      </w:r>
      <w:r>
        <w:rPr>
          <w:rFonts w:cs="FrankRuehl" w:hint="cs"/>
          <w:b/>
          <w:bCs/>
          <w:sz w:val="26"/>
          <w:szCs w:val="26"/>
          <w:rtl/>
        </w:rPr>
        <w:t>בהוצאה</w:t>
      </w:r>
    </w:p>
    <w:p w14:paraId="6A212410" w14:textId="77777777" w:rsidR="001E3712" w:rsidRDefault="001E3712" w:rsidP="00F63CC8">
      <w:pPr>
        <w:contextualSpacing/>
        <w:jc w:val="both"/>
        <w:rPr>
          <w:rFonts w:ascii="FrankRuehl" w:hAnsi="Calibri" w:cs="FrankRuehl"/>
          <w:sz w:val="26"/>
          <w:szCs w:val="26"/>
          <w:rtl/>
        </w:rPr>
      </w:pPr>
      <w:r>
        <w:rPr>
          <w:rFonts w:ascii="FrankRuehl" w:hAnsi="Calibri" w:cs="FrankRuehl" w:hint="cs"/>
          <w:b/>
          <w:bCs/>
          <w:sz w:val="26"/>
          <w:szCs w:val="26"/>
          <w:rtl/>
        </w:rPr>
        <w:t>תיאור התכנית:</w:t>
      </w:r>
      <w:r>
        <w:rPr>
          <w:rFonts w:ascii="FrankRuehl" w:hAnsi="Calibri" w:cs="FrankRuehl" w:hint="cs"/>
          <w:sz w:val="26"/>
          <w:szCs w:val="26"/>
          <w:rtl/>
        </w:rPr>
        <w:t xml:space="preserve"> תכנית</w:t>
      </w:r>
      <w:r>
        <w:rPr>
          <w:rFonts w:ascii="FrankRuehl" w:hAnsi="Calibri" w:cs="FrankRuehl" w:hint="cs"/>
          <w:sz w:val="26"/>
          <w:szCs w:val="26"/>
        </w:rPr>
        <w:t xml:space="preserve"> </w:t>
      </w:r>
      <w:r>
        <w:rPr>
          <w:rFonts w:ascii="FrankRuehl" w:hAnsi="Calibri" w:cs="FrankRuehl" w:hint="cs"/>
          <w:sz w:val="26"/>
          <w:szCs w:val="26"/>
          <w:rtl/>
        </w:rPr>
        <w:t>זו</w:t>
      </w:r>
      <w:r>
        <w:rPr>
          <w:rFonts w:ascii="FrankRuehl" w:hAnsi="Calibri" w:cs="FrankRuehl" w:hint="cs"/>
          <w:sz w:val="26"/>
          <w:szCs w:val="26"/>
        </w:rPr>
        <w:t xml:space="preserve"> </w:t>
      </w:r>
      <w:r>
        <w:rPr>
          <w:rFonts w:ascii="FrankRuehl" w:hAnsi="Calibri" w:cs="FrankRuehl" w:hint="cs"/>
          <w:sz w:val="26"/>
          <w:szCs w:val="26"/>
          <w:rtl/>
        </w:rPr>
        <w:t>מיועדת</w:t>
      </w:r>
      <w:r>
        <w:rPr>
          <w:rFonts w:ascii="FrankRuehl" w:hAnsi="Calibri" w:cs="FrankRuehl" w:hint="cs"/>
          <w:sz w:val="26"/>
          <w:szCs w:val="26"/>
        </w:rPr>
        <w:t xml:space="preserve"> </w:t>
      </w:r>
      <w:r>
        <w:rPr>
          <w:rFonts w:ascii="FrankRuehl" w:hAnsi="Calibri" w:cs="FrankRuehl" w:hint="cs"/>
          <w:sz w:val="26"/>
          <w:szCs w:val="26"/>
          <w:rtl/>
        </w:rPr>
        <w:t>לכל</w:t>
      </w:r>
      <w:r>
        <w:rPr>
          <w:rFonts w:ascii="FrankRuehl" w:hAnsi="Calibri" w:cs="FrankRuehl" w:hint="cs"/>
          <w:sz w:val="26"/>
          <w:szCs w:val="26"/>
        </w:rPr>
        <w:t xml:space="preserve"> </w:t>
      </w:r>
      <w:r>
        <w:rPr>
          <w:rFonts w:ascii="FrankRuehl" w:hAnsi="Calibri" w:cs="FrankRuehl" w:hint="cs"/>
          <w:sz w:val="26"/>
          <w:szCs w:val="26"/>
          <w:rtl/>
        </w:rPr>
        <w:t>התפעול</w:t>
      </w:r>
      <w:r>
        <w:rPr>
          <w:rFonts w:ascii="FrankRuehl" w:hAnsi="Calibri" w:cs="FrankRuehl" w:hint="cs"/>
          <w:sz w:val="26"/>
          <w:szCs w:val="26"/>
        </w:rPr>
        <w:t xml:space="preserve"> </w:t>
      </w:r>
      <w:r>
        <w:rPr>
          <w:rFonts w:ascii="FrankRuehl" w:hAnsi="Calibri" w:cs="FrankRuehl" w:hint="cs"/>
          <w:sz w:val="26"/>
          <w:szCs w:val="26"/>
          <w:rtl/>
        </w:rPr>
        <w:t>השוטף</w:t>
      </w:r>
      <w:r>
        <w:rPr>
          <w:rFonts w:ascii="FrankRuehl" w:hAnsi="Calibri" w:cs="FrankRuehl" w:hint="cs"/>
          <w:sz w:val="26"/>
          <w:szCs w:val="26"/>
        </w:rPr>
        <w:t xml:space="preserve"> </w:t>
      </w:r>
      <w:r>
        <w:rPr>
          <w:rFonts w:ascii="FrankRuehl" w:hAnsi="Calibri" w:cs="FrankRuehl" w:hint="cs"/>
          <w:sz w:val="26"/>
          <w:szCs w:val="26"/>
          <w:rtl/>
        </w:rPr>
        <w:t>של</w:t>
      </w:r>
      <w:r>
        <w:rPr>
          <w:rFonts w:ascii="FrankRuehl" w:hAnsi="Calibri" w:cs="FrankRuehl" w:hint="cs"/>
          <w:sz w:val="26"/>
          <w:szCs w:val="26"/>
        </w:rPr>
        <w:t xml:space="preserve"> </w:t>
      </w:r>
      <w:r>
        <w:rPr>
          <w:rFonts w:ascii="FrankRuehl" w:hAnsi="Calibri" w:cs="FrankRuehl" w:hint="cs"/>
          <w:sz w:val="26"/>
          <w:szCs w:val="26"/>
          <w:rtl/>
        </w:rPr>
        <w:t>המת</w:t>
      </w:r>
      <w:r>
        <w:rPr>
          <w:rFonts w:ascii="FrankRuehl" w:hAnsi="Calibri" w:cs="FrankRuehl" w:hint="cs"/>
          <w:sz w:val="26"/>
          <w:szCs w:val="26"/>
        </w:rPr>
        <w:t>"</w:t>
      </w:r>
      <w:r>
        <w:rPr>
          <w:rFonts w:ascii="FrankRuehl" w:hAnsi="Calibri" w:cs="FrankRuehl" w:hint="cs"/>
          <w:sz w:val="26"/>
          <w:szCs w:val="26"/>
          <w:rtl/>
        </w:rPr>
        <w:t>ק</w:t>
      </w:r>
      <w:r>
        <w:rPr>
          <w:rFonts w:ascii="FrankRuehl" w:hAnsi="Calibri" w:cs="FrankRuehl" w:hint="cs"/>
          <w:sz w:val="26"/>
          <w:szCs w:val="26"/>
        </w:rPr>
        <w:t xml:space="preserve"> </w:t>
      </w:r>
      <w:r>
        <w:rPr>
          <w:rFonts w:ascii="FrankRuehl" w:hAnsi="Calibri" w:cs="FrankRuehl" w:hint="cs"/>
          <w:sz w:val="26"/>
          <w:szCs w:val="26"/>
          <w:rtl/>
        </w:rPr>
        <w:t>להוצאות</w:t>
      </w:r>
      <w:r>
        <w:rPr>
          <w:rFonts w:ascii="FrankRuehl" w:hAnsi="Calibri" w:cs="FrankRuehl" w:hint="cs"/>
          <w:sz w:val="26"/>
          <w:szCs w:val="26"/>
        </w:rPr>
        <w:t xml:space="preserve"> </w:t>
      </w:r>
      <w:r>
        <w:rPr>
          <w:rFonts w:ascii="FrankRuehl" w:hAnsi="Calibri" w:cs="FrankRuehl" w:hint="cs"/>
          <w:sz w:val="26"/>
          <w:szCs w:val="26"/>
          <w:rtl/>
        </w:rPr>
        <w:t>חשמל,</w:t>
      </w:r>
      <w:r>
        <w:rPr>
          <w:rFonts w:ascii="FrankRuehl" w:hAnsi="Calibri" w:cs="FrankRuehl" w:hint="cs"/>
          <w:sz w:val="26"/>
          <w:szCs w:val="26"/>
        </w:rPr>
        <w:t xml:space="preserve"> </w:t>
      </w:r>
      <w:r>
        <w:rPr>
          <w:rFonts w:ascii="FrankRuehl" w:hAnsi="Calibri" w:cs="FrankRuehl" w:hint="cs"/>
          <w:sz w:val="26"/>
          <w:szCs w:val="26"/>
          <w:rtl/>
        </w:rPr>
        <w:t>מים, ארנונה, מערכות תקשורת, ביטוחים, ציוד</w:t>
      </w:r>
      <w:r>
        <w:rPr>
          <w:rFonts w:ascii="FrankRuehl" w:hAnsi="Calibri" w:cs="FrankRuehl" w:hint="cs"/>
          <w:sz w:val="26"/>
          <w:szCs w:val="26"/>
        </w:rPr>
        <w:t xml:space="preserve"> </w:t>
      </w:r>
      <w:r>
        <w:rPr>
          <w:rFonts w:ascii="FrankRuehl" w:hAnsi="Calibri" w:cs="FrankRuehl" w:hint="cs"/>
          <w:sz w:val="26"/>
          <w:szCs w:val="26"/>
          <w:rtl/>
        </w:rPr>
        <w:t>כללי,</w:t>
      </w:r>
      <w:r>
        <w:rPr>
          <w:rFonts w:ascii="FrankRuehl" w:hAnsi="Calibri" w:cs="FrankRuehl" w:hint="cs"/>
          <w:sz w:val="26"/>
          <w:szCs w:val="26"/>
        </w:rPr>
        <w:t xml:space="preserve"> </w:t>
      </w:r>
      <w:r>
        <w:rPr>
          <w:rFonts w:ascii="FrankRuehl" w:hAnsi="Calibri" w:cs="FrankRuehl" w:hint="cs"/>
          <w:sz w:val="26"/>
          <w:szCs w:val="26"/>
          <w:rtl/>
        </w:rPr>
        <w:t>תחזוקה</w:t>
      </w:r>
      <w:r>
        <w:rPr>
          <w:rFonts w:ascii="FrankRuehl" w:hAnsi="Calibri" w:cs="FrankRuehl" w:hint="cs"/>
          <w:sz w:val="26"/>
          <w:szCs w:val="26"/>
        </w:rPr>
        <w:t xml:space="preserve"> </w:t>
      </w:r>
      <w:r>
        <w:rPr>
          <w:rFonts w:ascii="FrankRuehl" w:hAnsi="Calibri" w:cs="FrankRuehl" w:hint="cs"/>
          <w:sz w:val="26"/>
          <w:szCs w:val="26"/>
          <w:rtl/>
        </w:rPr>
        <w:t>ואחזקת</w:t>
      </w:r>
      <w:r>
        <w:rPr>
          <w:rFonts w:ascii="FrankRuehl" w:hAnsi="Calibri" w:cs="FrankRuehl" w:hint="cs"/>
          <w:sz w:val="26"/>
          <w:szCs w:val="26"/>
        </w:rPr>
        <w:t xml:space="preserve"> </w:t>
      </w:r>
      <w:r>
        <w:rPr>
          <w:rFonts w:ascii="FrankRuehl" w:hAnsi="Calibri" w:cs="FrankRuehl" w:hint="cs"/>
          <w:sz w:val="26"/>
          <w:szCs w:val="26"/>
          <w:rtl/>
        </w:rPr>
        <w:t>מערכות</w:t>
      </w:r>
      <w:r>
        <w:rPr>
          <w:rFonts w:ascii="FrankRuehl" w:hAnsi="Calibri" w:cs="FrankRuehl" w:hint="cs"/>
          <w:sz w:val="26"/>
          <w:szCs w:val="26"/>
        </w:rPr>
        <w:t>,</w:t>
      </w:r>
      <w:r>
        <w:rPr>
          <w:rFonts w:ascii="FrankRuehl" w:hAnsi="Calibri" w:cs="FrankRuehl" w:hint="cs"/>
          <w:sz w:val="26"/>
          <w:szCs w:val="26"/>
          <w:rtl/>
        </w:rPr>
        <w:t xml:space="preserve"> רישיונות</w:t>
      </w:r>
      <w:r>
        <w:rPr>
          <w:rFonts w:ascii="FrankRuehl" w:hAnsi="Calibri" w:cs="FrankRuehl" w:hint="cs"/>
          <w:sz w:val="26"/>
          <w:szCs w:val="26"/>
        </w:rPr>
        <w:t xml:space="preserve"> </w:t>
      </w:r>
      <w:r>
        <w:rPr>
          <w:rFonts w:ascii="FrankRuehl" w:hAnsi="Calibri" w:cs="FrankRuehl" w:hint="cs"/>
          <w:sz w:val="26"/>
          <w:szCs w:val="26"/>
          <w:rtl/>
        </w:rPr>
        <w:t>מערכות</w:t>
      </w:r>
      <w:r>
        <w:rPr>
          <w:rFonts w:ascii="FrankRuehl" w:hAnsi="Calibri" w:cs="FrankRuehl" w:hint="cs"/>
          <w:sz w:val="26"/>
          <w:szCs w:val="26"/>
        </w:rPr>
        <w:t xml:space="preserve"> </w:t>
      </w:r>
      <w:r>
        <w:rPr>
          <w:rFonts w:ascii="FrankRuehl" w:hAnsi="Calibri" w:cs="FrankRuehl" w:hint="cs"/>
          <w:sz w:val="26"/>
          <w:szCs w:val="26"/>
          <w:rtl/>
        </w:rPr>
        <w:t>תקשורת,</w:t>
      </w:r>
      <w:r>
        <w:rPr>
          <w:rFonts w:ascii="FrankRuehl" w:hAnsi="Calibri" w:cs="FrankRuehl" w:hint="cs"/>
          <w:sz w:val="26"/>
          <w:szCs w:val="26"/>
        </w:rPr>
        <w:t xml:space="preserve"> </w:t>
      </w:r>
      <w:r>
        <w:rPr>
          <w:rFonts w:ascii="FrankRuehl" w:hAnsi="Calibri" w:cs="FrankRuehl" w:hint="cs"/>
          <w:sz w:val="26"/>
          <w:szCs w:val="26"/>
          <w:rtl/>
        </w:rPr>
        <w:t>שירותי היסעים, תחזוקת</w:t>
      </w:r>
      <w:r>
        <w:rPr>
          <w:rFonts w:ascii="FrankRuehl" w:hAnsi="Calibri" w:cs="FrankRuehl" w:hint="cs"/>
          <w:sz w:val="26"/>
          <w:szCs w:val="26"/>
        </w:rPr>
        <w:t xml:space="preserve"> </w:t>
      </w:r>
      <w:r>
        <w:rPr>
          <w:rFonts w:ascii="FrankRuehl" w:hAnsi="Calibri" w:cs="FrankRuehl" w:hint="cs"/>
          <w:sz w:val="26"/>
          <w:szCs w:val="26"/>
          <w:rtl/>
        </w:rPr>
        <w:t>משרדים</w:t>
      </w:r>
      <w:r>
        <w:rPr>
          <w:rFonts w:ascii="FrankRuehl" w:hAnsi="Calibri" w:cs="FrankRuehl" w:hint="cs"/>
          <w:sz w:val="26"/>
          <w:szCs w:val="26"/>
        </w:rPr>
        <w:t xml:space="preserve"> </w:t>
      </w:r>
      <w:r>
        <w:rPr>
          <w:rFonts w:ascii="FrankRuehl" w:hAnsi="Calibri" w:cs="FrankRuehl" w:hint="cs"/>
          <w:sz w:val="26"/>
          <w:szCs w:val="26"/>
          <w:rtl/>
        </w:rPr>
        <w:t>ותחזוקת</w:t>
      </w:r>
      <w:r>
        <w:rPr>
          <w:rFonts w:ascii="FrankRuehl" w:hAnsi="Calibri" w:cs="FrankRuehl" w:hint="cs"/>
          <w:sz w:val="26"/>
          <w:szCs w:val="26"/>
        </w:rPr>
        <w:t xml:space="preserve"> </w:t>
      </w:r>
      <w:r>
        <w:rPr>
          <w:rFonts w:ascii="FrankRuehl" w:hAnsi="Calibri" w:cs="FrankRuehl" w:hint="cs"/>
          <w:sz w:val="26"/>
          <w:szCs w:val="26"/>
          <w:rtl/>
        </w:rPr>
        <w:t>מערכת</w:t>
      </w:r>
      <w:r>
        <w:rPr>
          <w:rFonts w:ascii="FrankRuehl" w:hAnsi="Calibri" w:cs="FrankRuehl" w:hint="cs"/>
          <w:sz w:val="26"/>
          <w:szCs w:val="26"/>
        </w:rPr>
        <w:t xml:space="preserve"> </w:t>
      </w:r>
      <w:r>
        <w:rPr>
          <w:rFonts w:ascii="FrankRuehl" w:hAnsi="Calibri" w:cs="FrankRuehl" w:hint="cs"/>
          <w:sz w:val="26"/>
          <w:szCs w:val="26"/>
          <w:rtl/>
        </w:rPr>
        <w:t>אביב</w:t>
      </w:r>
      <w:r>
        <w:rPr>
          <w:rFonts w:ascii="FrankRuehl" w:hAnsi="Calibri" w:cs="FrankRuehl" w:hint="cs"/>
          <w:sz w:val="26"/>
          <w:szCs w:val="26"/>
        </w:rPr>
        <w:t>.</w:t>
      </w:r>
    </w:p>
    <w:p w14:paraId="14715C7F" w14:textId="77777777" w:rsidR="001E3712" w:rsidRDefault="001E3712" w:rsidP="00F63CC8">
      <w:pPr>
        <w:contextualSpacing/>
        <w:jc w:val="both"/>
        <w:rPr>
          <w:rFonts w:ascii="FrankRuehl" w:hAnsi="FrankRuehl" w:cs="FrankRuehl"/>
          <w:sz w:val="26"/>
          <w:szCs w:val="26"/>
        </w:rPr>
      </w:pPr>
      <w:r>
        <w:rPr>
          <w:rFonts w:ascii="Narkisim" w:hAnsi="Narkisim" w:cs="FrankRuehl" w:hint="cs"/>
          <w:b/>
          <w:bCs/>
          <w:sz w:val="26"/>
          <w:szCs w:val="26"/>
          <w:rtl/>
        </w:rPr>
        <w:t>מטרת השינוי:</w:t>
      </w:r>
    </w:p>
    <w:p w14:paraId="5BF63014" w14:textId="77777777" w:rsidR="001E3712" w:rsidRDefault="001E3712" w:rsidP="00F63CC8">
      <w:pPr>
        <w:tabs>
          <w:tab w:val="center" w:pos="6888"/>
        </w:tabs>
        <w:contextualSpacing/>
        <w:jc w:val="both"/>
        <w:rPr>
          <w:rFonts w:cs="FrankRuehl"/>
          <w:sz w:val="26"/>
          <w:szCs w:val="26"/>
          <w:rtl/>
        </w:rPr>
      </w:pPr>
      <w:r>
        <w:rPr>
          <w:rFonts w:cs="FrankRuehl" w:hint="cs"/>
          <w:sz w:val="26"/>
          <w:szCs w:val="26"/>
          <w:rtl/>
        </w:rPr>
        <w:t>תוספת תקציבית עבור תגבור תקציב השכר וכן התייקרויות אחזקת הרכב בהתאם לצורך בפועל</w:t>
      </w:r>
    </w:p>
    <w:p w14:paraId="0E9F5519" w14:textId="77777777" w:rsidR="001E3712" w:rsidRDefault="001E3712" w:rsidP="00F63CC8">
      <w:pPr>
        <w:tabs>
          <w:tab w:val="center" w:pos="6888"/>
        </w:tabs>
        <w:contextualSpacing/>
        <w:jc w:val="both"/>
        <w:rPr>
          <w:rFonts w:cs="FrankRuehl"/>
          <w:sz w:val="26"/>
          <w:szCs w:val="26"/>
          <w:rtl/>
        </w:rPr>
      </w:pPr>
    </w:p>
    <w:p w14:paraId="11904DCB" w14:textId="77777777" w:rsidR="001E3712" w:rsidRDefault="001E3712" w:rsidP="00F63CC8">
      <w:pPr>
        <w:contextualSpacing/>
        <w:jc w:val="both"/>
        <w:rPr>
          <w:rFonts w:ascii="FrankRuehl" w:eastAsia="Calibri" w:hAnsi="FrankRuehl" w:cs="FrankRuehl"/>
          <w:sz w:val="26"/>
          <w:szCs w:val="26"/>
          <w:rtl/>
          <w:lang w:eastAsia="en-US"/>
        </w:rPr>
      </w:pPr>
      <w:r>
        <w:rPr>
          <w:rFonts w:ascii="FrankRuehl" w:hAnsi="FrankRuehl" w:cs="FrankRuehl" w:hint="cs"/>
          <w:b/>
          <w:bCs/>
          <w:sz w:val="26"/>
          <w:szCs w:val="26"/>
          <w:rtl/>
        </w:rPr>
        <w:t>השפעה על כח אדם:</w:t>
      </w:r>
      <w:r>
        <w:rPr>
          <w:rFonts w:ascii="FrankRuehl" w:hAnsi="FrankRuehl" w:cs="FrankRuehl" w:hint="cs"/>
          <w:sz w:val="26"/>
          <w:szCs w:val="26"/>
          <w:rtl/>
        </w:rPr>
        <w:t xml:space="preserve"> אין.</w:t>
      </w:r>
    </w:p>
    <w:p w14:paraId="68051094" w14:textId="77777777" w:rsidR="001E3712" w:rsidRDefault="001E3712" w:rsidP="001E3712">
      <w:pPr>
        <w:tabs>
          <w:tab w:val="center" w:pos="6888"/>
        </w:tabs>
        <w:rPr>
          <w:rFonts w:cs="David"/>
          <w:sz w:val="24"/>
          <w:rtl/>
        </w:rPr>
      </w:pPr>
      <w:r>
        <w:rPr>
          <w:rFonts w:cs="FrankRuehl" w:hint="cs"/>
          <w:sz w:val="26"/>
          <w:szCs w:val="26"/>
          <w:rtl/>
        </w:rPr>
        <w:tab/>
      </w:r>
    </w:p>
    <w:p w14:paraId="00CE4443" w14:textId="77777777" w:rsidR="00B910C3" w:rsidRPr="00806779" w:rsidRDefault="00B910C3">
      <w:pPr>
        <w:rPr>
          <w:rFonts w:cs="FrankRuehl"/>
          <w:sz w:val="26"/>
          <w:szCs w:val="26"/>
          <w:rtl/>
        </w:rPr>
      </w:pPr>
    </w:p>
    <w:p w14:paraId="041D5CD7" w14:textId="77777777" w:rsidR="00B910C3" w:rsidRPr="00806779" w:rsidRDefault="00B910C3">
      <w:pPr>
        <w:tabs>
          <w:tab w:val="center" w:pos="6867"/>
        </w:tabs>
        <w:rPr>
          <w:rFonts w:cs="FrankRuehl"/>
          <w:sz w:val="26"/>
          <w:szCs w:val="26"/>
          <w:rtl/>
        </w:rPr>
      </w:pPr>
      <w:r w:rsidRPr="00806779">
        <w:rPr>
          <w:rFonts w:cs="FrankRuehl"/>
          <w:sz w:val="26"/>
          <w:szCs w:val="26"/>
          <w:rtl/>
        </w:rPr>
        <w:tab/>
        <w:t>בכבוד רב,</w:t>
      </w:r>
    </w:p>
    <w:p w14:paraId="757F54CF" w14:textId="77777777" w:rsidR="00B910C3" w:rsidRDefault="00B910C3">
      <w:pPr>
        <w:tabs>
          <w:tab w:val="center" w:pos="6867"/>
        </w:tabs>
        <w:rPr>
          <w:rFonts w:cs="FrankRuehl"/>
          <w:sz w:val="26"/>
          <w:szCs w:val="26"/>
          <w:rtl/>
        </w:rPr>
      </w:pPr>
    </w:p>
    <w:p w14:paraId="30E57115" w14:textId="77777777" w:rsidR="00884517" w:rsidRPr="00806779" w:rsidRDefault="00884517">
      <w:pPr>
        <w:tabs>
          <w:tab w:val="center" w:pos="6867"/>
        </w:tabs>
        <w:rPr>
          <w:rFonts w:cs="FrankRuehl"/>
          <w:sz w:val="26"/>
          <w:szCs w:val="26"/>
        </w:rPr>
      </w:pPr>
      <w:r>
        <w:rPr>
          <w:rFonts w:cs="FrankRuehl"/>
          <w:sz w:val="26"/>
          <w:szCs w:val="26"/>
          <w:rtl/>
        </w:rPr>
        <w:tab/>
      </w:r>
      <w:bookmarkStart w:id="7" w:name="Sign_Image"/>
      <w:bookmarkEnd w:id="7"/>
    </w:p>
    <w:p w14:paraId="6D301229"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68359F6F"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6C325EEE" w14:textId="77777777" w:rsidR="00B910C3" w:rsidRPr="00806779" w:rsidRDefault="00B910C3" w:rsidP="00CE636C">
      <w:pPr>
        <w:tabs>
          <w:tab w:val="center" w:pos="6867"/>
        </w:tabs>
        <w:rPr>
          <w:rFonts w:cs="FrankRuehl"/>
          <w:sz w:val="26"/>
          <w:szCs w:val="26"/>
          <w:rtl/>
        </w:rPr>
      </w:pPr>
      <w:r w:rsidRPr="00806779">
        <w:rPr>
          <w:rFonts w:cs="FrankRuehl"/>
          <w:sz w:val="26"/>
          <w:szCs w:val="26"/>
          <w:rtl/>
        </w:rPr>
        <w:tab/>
      </w:r>
    </w:p>
    <w:p w14:paraId="6370C918" w14:textId="77777777" w:rsidR="00B910C3" w:rsidRPr="00806779" w:rsidRDefault="00B910C3">
      <w:pPr>
        <w:rPr>
          <w:rFonts w:cs="FrankRuehl"/>
          <w:sz w:val="26"/>
          <w:szCs w:val="26"/>
          <w:rtl/>
        </w:rPr>
      </w:pPr>
      <w:r w:rsidRPr="00806779">
        <w:rPr>
          <w:rFonts w:cs="FrankRuehl"/>
          <w:sz w:val="26"/>
          <w:szCs w:val="26"/>
          <w:rtl/>
        </w:rPr>
        <w:t>העתק:</w:t>
      </w:r>
    </w:p>
    <w:p w14:paraId="78DF88A3" w14:textId="77777777" w:rsidR="00B910C3" w:rsidRPr="00806779" w:rsidRDefault="00B910C3">
      <w:pPr>
        <w:rPr>
          <w:rFonts w:cs="FrankRuehl"/>
          <w:sz w:val="26"/>
          <w:szCs w:val="26"/>
          <w:rtl/>
        </w:rPr>
      </w:pPr>
      <w:r w:rsidRPr="00806779">
        <w:rPr>
          <w:rFonts w:cs="FrankRuehl"/>
          <w:sz w:val="26"/>
          <w:szCs w:val="26"/>
          <w:rtl/>
        </w:rPr>
        <w:t>החשב הכללי</w:t>
      </w:r>
    </w:p>
    <w:p w14:paraId="3289DD23" w14:textId="77777777" w:rsidR="00B910C3" w:rsidRPr="00806779" w:rsidRDefault="00B910C3">
      <w:pPr>
        <w:rPr>
          <w:rFonts w:cs="FrankRuehl"/>
          <w:sz w:val="26"/>
          <w:szCs w:val="26"/>
          <w:rtl/>
        </w:rPr>
      </w:pPr>
      <w:r w:rsidRPr="00806779">
        <w:rPr>
          <w:rFonts w:cs="FrankRuehl"/>
          <w:sz w:val="26"/>
          <w:szCs w:val="26"/>
          <w:rtl/>
        </w:rPr>
        <w:t>מבקר המדינה (2)</w:t>
      </w:r>
    </w:p>
    <w:p w14:paraId="6DF54E5F" w14:textId="77777777" w:rsidR="00B910C3" w:rsidRPr="00806779" w:rsidRDefault="00B910C3">
      <w:pPr>
        <w:rPr>
          <w:rFonts w:cs="FrankRuehl"/>
          <w:sz w:val="26"/>
          <w:szCs w:val="26"/>
          <w:rtl/>
        </w:rPr>
      </w:pPr>
      <w:r w:rsidRPr="00806779">
        <w:rPr>
          <w:rFonts w:cs="FrankRuehl"/>
          <w:sz w:val="26"/>
          <w:szCs w:val="26"/>
          <w:rtl/>
        </w:rPr>
        <w:t>חשב משרד</w:t>
      </w:r>
    </w:p>
    <w:p w14:paraId="095E300B" w14:textId="77777777" w:rsidR="00F63CC8" w:rsidRDefault="00F74CDD">
      <w:pPr>
        <w:rPr>
          <w:rFonts w:cs="FrankRuehl"/>
          <w:sz w:val="26"/>
          <w:szCs w:val="26"/>
          <w:rtl/>
        </w:rPr>
      </w:pPr>
      <w:bookmarkStart w:id="8" w:name="TAKZIV22"/>
      <w:r>
        <w:rPr>
          <w:rFonts w:cs="FrankRuehl"/>
          <w:sz w:val="26"/>
          <w:szCs w:val="26"/>
          <w:rtl/>
        </w:rPr>
        <w:t>חשב תאום פעולות בשטחים - יו"ש ועזה</w:t>
      </w:r>
      <w:bookmarkEnd w:id="8"/>
    </w:p>
    <w:p w14:paraId="76CC775D" w14:textId="535F481C" w:rsidR="00B910C3" w:rsidRPr="00806779" w:rsidRDefault="00B910C3">
      <w:pPr>
        <w:rPr>
          <w:rFonts w:cs="FrankRuehl"/>
          <w:sz w:val="26"/>
          <w:szCs w:val="26"/>
          <w:rtl/>
        </w:rPr>
      </w:pPr>
      <w:r w:rsidRPr="00806779">
        <w:rPr>
          <w:rFonts w:cs="FrankRuehl"/>
          <w:sz w:val="26"/>
          <w:szCs w:val="26"/>
          <w:rtl/>
        </w:rPr>
        <w:t xml:space="preserve">קצין תקציבים </w:t>
      </w:r>
      <w:bookmarkStart w:id="9" w:name="TAKZIV6"/>
      <w:r w:rsidR="00F74CDD">
        <w:rPr>
          <w:rFonts w:cs="FrankRuehl"/>
          <w:sz w:val="26"/>
          <w:szCs w:val="26"/>
          <w:rtl/>
        </w:rPr>
        <w:t>תאום הפעולות בשטחים</w:t>
      </w:r>
      <w:bookmarkEnd w:id="9"/>
    </w:p>
    <w:p w14:paraId="1D0C1782" w14:textId="45779C8A" w:rsidR="00B910C3" w:rsidRPr="00806779" w:rsidRDefault="00B910C3">
      <w:pPr>
        <w:rPr>
          <w:rFonts w:cs="FrankRuehl"/>
          <w:sz w:val="26"/>
          <w:szCs w:val="26"/>
          <w:rtl/>
        </w:rPr>
      </w:pPr>
      <w:r w:rsidRPr="00806779">
        <w:rPr>
          <w:rFonts w:cs="FrankRuehl"/>
          <w:sz w:val="26"/>
          <w:szCs w:val="26"/>
          <w:rtl/>
        </w:rPr>
        <w:t xml:space="preserve">רפרנט </w:t>
      </w:r>
      <w:bookmarkStart w:id="10" w:name="TAKZIV6_1"/>
      <w:r w:rsidR="00F74CDD">
        <w:rPr>
          <w:rFonts w:cs="FrankRuehl"/>
          <w:sz w:val="26"/>
          <w:szCs w:val="26"/>
          <w:rtl/>
        </w:rPr>
        <w:t>תאום הפעולות בשטחים</w:t>
      </w:r>
      <w:bookmarkEnd w:id="10"/>
    </w:p>
    <w:p w14:paraId="73EE9F47" w14:textId="59366264" w:rsidR="00B910C3" w:rsidRPr="00806779" w:rsidRDefault="00F74CDD">
      <w:pPr>
        <w:rPr>
          <w:rFonts w:cs="FrankRuehl"/>
          <w:sz w:val="26"/>
          <w:szCs w:val="26"/>
          <w:rtl/>
        </w:rPr>
      </w:pPr>
      <w:bookmarkStart w:id="11" w:name="TAKZIV23"/>
      <w:r>
        <w:rPr>
          <w:rFonts w:cs="FrankRuehl"/>
          <w:sz w:val="26"/>
          <w:szCs w:val="26"/>
          <w:rtl/>
        </w:rPr>
        <w:t>נציבות שירות המדינה</w:t>
      </w:r>
      <w:bookmarkEnd w:id="11"/>
    </w:p>
    <w:p w14:paraId="24616AD2" w14:textId="77777777" w:rsidR="00B910C3" w:rsidRPr="00806779" w:rsidRDefault="00B910C3">
      <w:pPr>
        <w:rPr>
          <w:rFonts w:cs="FrankRuehl"/>
          <w:sz w:val="26"/>
          <w:szCs w:val="26"/>
          <w:rtl/>
        </w:rPr>
      </w:pPr>
    </w:p>
    <w:p w14:paraId="513B1359" w14:textId="77777777" w:rsidR="001E3712" w:rsidRDefault="001E3712" w:rsidP="001E3712">
      <w:bookmarkStart w:id="12" w:name="TAKZIV25"/>
      <w:bookmarkEnd w:id="12"/>
    </w:p>
    <w:p w14:paraId="626222B5" w14:textId="2813F679" w:rsidR="001E3712" w:rsidRDefault="001E3712" w:rsidP="001E3712">
      <w:pPr>
        <w:rPr>
          <w:rFonts w:ascii="Calibri" w:hAnsi="Calibri" w:cs="Calibri"/>
          <w:b/>
          <w:bCs/>
          <w:color w:val="000000"/>
          <w:szCs w:val="20"/>
          <w:rtl/>
        </w:rPr>
      </w:pPr>
      <w:r>
        <w:rPr>
          <w:rFonts w:ascii="Calibri" w:hAnsi="Calibri" w:cs="Calibri"/>
          <w:b/>
          <w:bCs/>
          <w:color w:val="000000"/>
          <w:szCs w:val="20"/>
          <w:rtl/>
        </w:rPr>
        <w:br w:type="page"/>
      </w:r>
      <w:r>
        <w:rPr>
          <w:rFonts w:ascii="Calibri" w:hAnsi="Calibri" w:cs="Calibri"/>
          <w:b/>
          <w:bCs/>
          <w:color w:val="000000"/>
          <w:szCs w:val="20"/>
          <w:rtl/>
        </w:rPr>
        <w:lastRenderedPageBreak/>
        <w:t>היסטוריה תקציבית של הפנייה - הוצאה נטו</w:t>
      </w:r>
    </w:p>
    <w:tbl>
      <w:tblPr>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1E3712" w14:paraId="76D53EC7" w14:textId="77777777" w:rsidTr="003A1987">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69DA70BD"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7C23ED94" w14:textId="77777777" w:rsidR="001E3712" w:rsidRDefault="001E3712" w:rsidP="003A1987">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095E4EB0"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1FD7C99"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74A1B812"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B1F771C"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01296596"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C2ADB13"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323287F"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1E3712" w14:paraId="3014B9E4" w14:textId="77777777" w:rsidTr="003A1987">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DD6480C" w14:textId="77777777" w:rsidR="001E3712" w:rsidRDefault="001E3712" w:rsidP="003A1987">
            <w:pPr>
              <w:bidi w:val="0"/>
              <w:jc w:val="center"/>
              <w:rPr>
                <w:rFonts w:ascii="Calibri" w:hAnsi="Calibri" w:cs="Calibri"/>
                <w:color w:val="000000"/>
                <w:sz w:val="16"/>
                <w:szCs w:val="16"/>
                <w:rtl/>
              </w:rPr>
            </w:pPr>
            <w:r>
              <w:rPr>
                <w:rFonts w:ascii="Calibri" w:hAnsi="Calibri" w:cs="Calibri"/>
                <w:color w:val="000000"/>
                <w:sz w:val="16"/>
                <w:szCs w:val="16"/>
              </w:rPr>
              <w:t>173102</w:t>
            </w:r>
          </w:p>
        </w:tc>
        <w:tc>
          <w:tcPr>
            <w:tcW w:w="1420" w:type="dxa"/>
            <w:tcBorders>
              <w:top w:val="nil"/>
              <w:left w:val="single" w:sz="4" w:space="0" w:color="979991"/>
              <w:bottom w:val="single" w:sz="4" w:space="0" w:color="979991"/>
              <w:right w:val="nil"/>
            </w:tcBorders>
            <w:shd w:val="clear" w:color="auto" w:fill="FFFFFF"/>
            <w:vAlign w:val="center"/>
            <w:hideMark/>
          </w:tcPr>
          <w:p w14:paraId="5096F54F" w14:textId="77777777" w:rsidR="001E3712" w:rsidRDefault="001E3712" w:rsidP="003A1987">
            <w:pPr>
              <w:bidi w:val="0"/>
              <w:jc w:val="center"/>
              <w:rPr>
                <w:rFonts w:ascii="Calibri" w:hAnsi="Calibri" w:cs="Calibri"/>
                <w:color w:val="000000"/>
                <w:sz w:val="16"/>
                <w:szCs w:val="16"/>
                <w:rtl/>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4A4DC8C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251BE4B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3A220E5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478CA22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793592BF"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174BAEC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D7C2E9A"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r>
      <w:tr w:rsidR="001E3712" w14:paraId="4715D42A"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62C218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173103</w:t>
            </w:r>
          </w:p>
        </w:tc>
        <w:tc>
          <w:tcPr>
            <w:tcW w:w="1420" w:type="dxa"/>
            <w:tcBorders>
              <w:top w:val="nil"/>
              <w:left w:val="single" w:sz="4" w:space="0" w:color="979991"/>
              <w:bottom w:val="single" w:sz="4" w:space="0" w:color="979991"/>
              <w:right w:val="nil"/>
            </w:tcBorders>
            <w:shd w:val="clear" w:color="auto" w:fill="FFFFFF"/>
            <w:vAlign w:val="center"/>
            <w:hideMark/>
          </w:tcPr>
          <w:p w14:paraId="060F907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1E24E25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080C12A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309</w:t>
            </w:r>
          </w:p>
        </w:tc>
        <w:tc>
          <w:tcPr>
            <w:tcW w:w="980" w:type="dxa"/>
            <w:tcBorders>
              <w:top w:val="nil"/>
              <w:left w:val="single" w:sz="4" w:space="0" w:color="979991"/>
              <w:bottom w:val="single" w:sz="4" w:space="0" w:color="979991"/>
              <w:right w:val="nil"/>
            </w:tcBorders>
            <w:shd w:val="clear" w:color="auto" w:fill="FFFFFF"/>
            <w:vAlign w:val="center"/>
            <w:hideMark/>
          </w:tcPr>
          <w:p w14:paraId="52344B7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600</w:t>
            </w:r>
          </w:p>
        </w:tc>
        <w:tc>
          <w:tcPr>
            <w:tcW w:w="1140" w:type="dxa"/>
            <w:tcBorders>
              <w:top w:val="nil"/>
              <w:left w:val="single" w:sz="4" w:space="0" w:color="979991"/>
              <w:bottom w:val="single" w:sz="4" w:space="0" w:color="979991"/>
              <w:right w:val="nil"/>
            </w:tcBorders>
            <w:shd w:val="clear" w:color="auto" w:fill="FFFFFF"/>
            <w:vAlign w:val="center"/>
            <w:hideMark/>
          </w:tcPr>
          <w:p w14:paraId="3B40C47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1,393</w:t>
            </w:r>
          </w:p>
        </w:tc>
        <w:tc>
          <w:tcPr>
            <w:tcW w:w="980" w:type="dxa"/>
            <w:tcBorders>
              <w:top w:val="nil"/>
              <w:left w:val="single" w:sz="4" w:space="0" w:color="979991"/>
              <w:bottom w:val="single" w:sz="4" w:space="0" w:color="979991"/>
              <w:right w:val="nil"/>
            </w:tcBorders>
            <w:shd w:val="clear" w:color="auto" w:fill="FFFFFF"/>
            <w:vAlign w:val="center"/>
            <w:hideMark/>
          </w:tcPr>
          <w:p w14:paraId="3EBCE83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1,397</w:t>
            </w:r>
          </w:p>
        </w:tc>
        <w:tc>
          <w:tcPr>
            <w:tcW w:w="1140" w:type="dxa"/>
            <w:tcBorders>
              <w:top w:val="nil"/>
              <w:left w:val="single" w:sz="4" w:space="0" w:color="979991"/>
              <w:bottom w:val="single" w:sz="4" w:space="0" w:color="979991"/>
              <w:right w:val="nil"/>
            </w:tcBorders>
            <w:shd w:val="clear" w:color="auto" w:fill="FFFFFF"/>
            <w:vAlign w:val="center"/>
            <w:hideMark/>
          </w:tcPr>
          <w:p w14:paraId="70252C3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1,397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D1D461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1,397</w:t>
            </w:r>
          </w:p>
        </w:tc>
      </w:tr>
      <w:tr w:rsidR="001E3712" w14:paraId="499DBE7D"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B792EDE"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173108</w:t>
            </w:r>
          </w:p>
        </w:tc>
        <w:tc>
          <w:tcPr>
            <w:tcW w:w="1420" w:type="dxa"/>
            <w:tcBorders>
              <w:top w:val="nil"/>
              <w:left w:val="single" w:sz="4" w:space="0" w:color="979991"/>
              <w:bottom w:val="single" w:sz="4" w:space="0" w:color="979991"/>
              <w:right w:val="nil"/>
            </w:tcBorders>
            <w:shd w:val="clear" w:color="auto" w:fill="FFFFFF"/>
            <w:vAlign w:val="center"/>
            <w:hideMark/>
          </w:tcPr>
          <w:p w14:paraId="6307CBC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tl/>
              </w:rPr>
              <w:t>2,000</w:t>
            </w:r>
          </w:p>
        </w:tc>
        <w:tc>
          <w:tcPr>
            <w:tcW w:w="980" w:type="dxa"/>
            <w:tcBorders>
              <w:top w:val="nil"/>
              <w:left w:val="single" w:sz="4" w:space="0" w:color="979991"/>
              <w:bottom w:val="single" w:sz="4" w:space="0" w:color="979991"/>
              <w:right w:val="nil"/>
            </w:tcBorders>
            <w:shd w:val="clear" w:color="auto" w:fill="FFFFFF"/>
            <w:vAlign w:val="center"/>
            <w:hideMark/>
          </w:tcPr>
          <w:p w14:paraId="3D22201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30,279</w:t>
            </w:r>
          </w:p>
        </w:tc>
        <w:tc>
          <w:tcPr>
            <w:tcW w:w="1140" w:type="dxa"/>
            <w:tcBorders>
              <w:top w:val="nil"/>
              <w:left w:val="single" w:sz="4" w:space="0" w:color="979991"/>
              <w:bottom w:val="single" w:sz="4" w:space="0" w:color="979991"/>
              <w:right w:val="nil"/>
            </w:tcBorders>
            <w:shd w:val="clear" w:color="auto" w:fill="FFFFFF"/>
            <w:vAlign w:val="center"/>
            <w:hideMark/>
          </w:tcPr>
          <w:p w14:paraId="6135B0B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-21,700</w:t>
            </w:r>
          </w:p>
        </w:tc>
        <w:tc>
          <w:tcPr>
            <w:tcW w:w="980" w:type="dxa"/>
            <w:tcBorders>
              <w:top w:val="nil"/>
              <w:left w:val="single" w:sz="4" w:space="0" w:color="979991"/>
              <w:bottom w:val="single" w:sz="4" w:space="0" w:color="979991"/>
              <w:right w:val="nil"/>
            </w:tcBorders>
            <w:shd w:val="clear" w:color="auto" w:fill="FFFFFF"/>
            <w:vAlign w:val="center"/>
            <w:hideMark/>
          </w:tcPr>
          <w:p w14:paraId="63C8B28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25,264</w:t>
            </w:r>
          </w:p>
        </w:tc>
        <w:tc>
          <w:tcPr>
            <w:tcW w:w="1140" w:type="dxa"/>
            <w:tcBorders>
              <w:top w:val="nil"/>
              <w:left w:val="single" w:sz="4" w:space="0" w:color="979991"/>
              <w:bottom w:val="single" w:sz="4" w:space="0" w:color="979991"/>
              <w:right w:val="nil"/>
            </w:tcBorders>
            <w:shd w:val="clear" w:color="auto" w:fill="FFFFFF"/>
            <w:vAlign w:val="center"/>
            <w:hideMark/>
          </w:tcPr>
          <w:p w14:paraId="25757CF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27,293</w:t>
            </w:r>
          </w:p>
        </w:tc>
        <w:tc>
          <w:tcPr>
            <w:tcW w:w="980" w:type="dxa"/>
            <w:tcBorders>
              <w:top w:val="nil"/>
              <w:left w:val="single" w:sz="4" w:space="0" w:color="979991"/>
              <w:bottom w:val="single" w:sz="4" w:space="0" w:color="979991"/>
              <w:right w:val="nil"/>
            </w:tcBorders>
            <w:shd w:val="clear" w:color="auto" w:fill="FFFFFF"/>
            <w:vAlign w:val="center"/>
            <w:hideMark/>
          </w:tcPr>
          <w:p w14:paraId="2747279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27,313</w:t>
            </w:r>
          </w:p>
        </w:tc>
        <w:tc>
          <w:tcPr>
            <w:tcW w:w="1140" w:type="dxa"/>
            <w:tcBorders>
              <w:top w:val="nil"/>
              <w:left w:val="single" w:sz="4" w:space="0" w:color="979991"/>
              <w:bottom w:val="single" w:sz="4" w:space="0" w:color="979991"/>
              <w:right w:val="nil"/>
            </w:tcBorders>
            <w:shd w:val="clear" w:color="auto" w:fill="FFFFFF"/>
            <w:vAlign w:val="center"/>
            <w:hideMark/>
          </w:tcPr>
          <w:p w14:paraId="6FC6468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35,949</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48CD39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33,614</w:t>
            </w:r>
          </w:p>
        </w:tc>
      </w:tr>
      <w:tr w:rsidR="001E3712" w14:paraId="2A9ABEDD"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43A1A69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173109</w:t>
            </w:r>
          </w:p>
        </w:tc>
        <w:tc>
          <w:tcPr>
            <w:tcW w:w="1420" w:type="dxa"/>
            <w:tcBorders>
              <w:top w:val="nil"/>
              <w:left w:val="single" w:sz="4" w:space="0" w:color="979991"/>
              <w:bottom w:val="single" w:sz="4" w:space="0" w:color="979991"/>
              <w:right w:val="nil"/>
            </w:tcBorders>
            <w:shd w:val="clear" w:color="auto" w:fill="FFFFFF"/>
            <w:vAlign w:val="center"/>
            <w:hideMark/>
          </w:tcPr>
          <w:p w14:paraId="2B7FC46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5F9E279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5162927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4D99D6AA"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21CD262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563C88D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6B59A90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9B6F32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r>
      <w:tr w:rsidR="001E3712" w14:paraId="715F147F"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0D98F7C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173301</w:t>
            </w:r>
          </w:p>
        </w:tc>
        <w:tc>
          <w:tcPr>
            <w:tcW w:w="1420" w:type="dxa"/>
            <w:tcBorders>
              <w:top w:val="nil"/>
              <w:left w:val="single" w:sz="4" w:space="0" w:color="979991"/>
              <w:bottom w:val="single" w:sz="4" w:space="0" w:color="979991"/>
              <w:right w:val="nil"/>
            </w:tcBorders>
            <w:shd w:val="clear" w:color="auto" w:fill="FFFFFF"/>
            <w:vAlign w:val="center"/>
            <w:hideMark/>
          </w:tcPr>
          <w:p w14:paraId="40658E4A"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1,000</w:t>
            </w:r>
          </w:p>
        </w:tc>
        <w:tc>
          <w:tcPr>
            <w:tcW w:w="980" w:type="dxa"/>
            <w:tcBorders>
              <w:top w:val="nil"/>
              <w:left w:val="single" w:sz="4" w:space="0" w:color="979991"/>
              <w:bottom w:val="single" w:sz="4" w:space="0" w:color="979991"/>
              <w:right w:val="nil"/>
            </w:tcBorders>
            <w:shd w:val="clear" w:color="auto" w:fill="FFFFFF"/>
            <w:vAlign w:val="center"/>
            <w:hideMark/>
          </w:tcPr>
          <w:p w14:paraId="13108B4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4,801</w:t>
            </w:r>
          </w:p>
        </w:tc>
        <w:tc>
          <w:tcPr>
            <w:tcW w:w="1140" w:type="dxa"/>
            <w:tcBorders>
              <w:top w:val="nil"/>
              <w:left w:val="single" w:sz="4" w:space="0" w:color="979991"/>
              <w:bottom w:val="single" w:sz="4" w:space="0" w:color="979991"/>
              <w:right w:val="nil"/>
            </w:tcBorders>
            <w:shd w:val="clear" w:color="auto" w:fill="FFFFFF"/>
            <w:vAlign w:val="center"/>
            <w:hideMark/>
          </w:tcPr>
          <w:p w14:paraId="7CBC90F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4,874</w:t>
            </w:r>
          </w:p>
        </w:tc>
        <w:tc>
          <w:tcPr>
            <w:tcW w:w="980" w:type="dxa"/>
            <w:tcBorders>
              <w:top w:val="nil"/>
              <w:left w:val="single" w:sz="4" w:space="0" w:color="979991"/>
              <w:bottom w:val="single" w:sz="4" w:space="0" w:color="979991"/>
              <w:right w:val="nil"/>
            </w:tcBorders>
            <w:shd w:val="clear" w:color="auto" w:fill="FFFFFF"/>
            <w:vAlign w:val="center"/>
            <w:hideMark/>
          </w:tcPr>
          <w:p w14:paraId="6913247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4,690</w:t>
            </w:r>
          </w:p>
        </w:tc>
        <w:tc>
          <w:tcPr>
            <w:tcW w:w="1140" w:type="dxa"/>
            <w:tcBorders>
              <w:top w:val="nil"/>
              <w:left w:val="single" w:sz="4" w:space="0" w:color="979991"/>
              <w:bottom w:val="single" w:sz="4" w:space="0" w:color="979991"/>
              <w:right w:val="nil"/>
            </w:tcBorders>
            <w:shd w:val="clear" w:color="auto" w:fill="FFFFFF"/>
            <w:vAlign w:val="center"/>
            <w:hideMark/>
          </w:tcPr>
          <w:p w14:paraId="1E6A81B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5,708</w:t>
            </w:r>
          </w:p>
        </w:tc>
        <w:tc>
          <w:tcPr>
            <w:tcW w:w="980" w:type="dxa"/>
            <w:tcBorders>
              <w:top w:val="nil"/>
              <w:left w:val="single" w:sz="4" w:space="0" w:color="979991"/>
              <w:bottom w:val="single" w:sz="4" w:space="0" w:color="979991"/>
              <w:right w:val="nil"/>
            </w:tcBorders>
            <w:shd w:val="clear" w:color="auto" w:fill="FFFFFF"/>
            <w:vAlign w:val="center"/>
            <w:hideMark/>
          </w:tcPr>
          <w:p w14:paraId="76FFCBF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5,728</w:t>
            </w:r>
          </w:p>
        </w:tc>
        <w:tc>
          <w:tcPr>
            <w:tcW w:w="1140" w:type="dxa"/>
            <w:tcBorders>
              <w:top w:val="nil"/>
              <w:left w:val="single" w:sz="4" w:space="0" w:color="979991"/>
              <w:bottom w:val="single" w:sz="4" w:space="0" w:color="979991"/>
              <w:right w:val="nil"/>
            </w:tcBorders>
            <w:shd w:val="clear" w:color="auto" w:fill="FFFFFF"/>
            <w:vAlign w:val="center"/>
            <w:hideMark/>
          </w:tcPr>
          <w:p w14:paraId="4E414F59"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5,487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3A8DEA3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6,716</w:t>
            </w:r>
          </w:p>
        </w:tc>
      </w:tr>
      <w:tr w:rsidR="001E3712" w14:paraId="5142D589"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67A2482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173302</w:t>
            </w:r>
          </w:p>
        </w:tc>
        <w:tc>
          <w:tcPr>
            <w:tcW w:w="1420" w:type="dxa"/>
            <w:tcBorders>
              <w:top w:val="nil"/>
              <w:left w:val="single" w:sz="4" w:space="0" w:color="979991"/>
              <w:bottom w:val="single" w:sz="4" w:space="0" w:color="979991"/>
              <w:right w:val="nil"/>
            </w:tcBorders>
            <w:shd w:val="clear" w:color="auto" w:fill="FFFFFF"/>
            <w:vAlign w:val="center"/>
            <w:hideMark/>
          </w:tcPr>
          <w:p w14:paraId="57B67E9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0F236E2E"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10,280</w:t>
            </w:r>
          </w:p>
        </w:tc>
        <w:tc>
          <w:tcPr>
            <w:tcW w:w="1140" w:type="dxa"/>
            <w:tcBorders>
              <w:top w:val="nil"/>
              <w:left w:val="single" w:sz="4" w:space="0" w:color="979991"/>
              <w:bottom w:val="single" w:sz="4" w:space="0" w:color="979991"/>
              <w:right w:val="nil"/>
            </w:tcBorders>
            <w:shd w:val="clear" w:color="auto" w:fill="FFFFFF"/>
            <w:vAlign w:val="center"/>
            <w:hideMark/>
          </w:tcPr>
          <w:p w14:paraId="5D468FD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10,615</w:t>
            </w:r>
          </w:p>
        </w:tc>
        <w:tc>
          <w:tcPr>
            <w:tcW w:w="980" w:type="dxa"/>
            <w:tcBorders>
              <w:top w:val="nil"/>
              <w:left w:val="single" w:sz="4" w:space="0" w:color="979991"/>
              <w:bottom w:val="single" w:sz="4" w:space="0" w:color="979991"/>
              <w:right w:val="nil"/>
            </w:tcBorders>
            <w:shd w:val="clear" w:color="auto" w:fill="FFFFFF"/>
            <w:vAlign w:val="center"/>
            <w:hideMark/>
          </w:tcPr>
          <w:p w14:paraId="7708D64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10,615</w:t>
            </w:r>
          </w:p>
        </w:tc>
        <w:tc>
          <w:tcPr>
            <w:tcW w:w="1140" w:type="dxa"/>
            <w:tcBorders>
              <w:top w:val="nil"/>
              <w:left w:val="single" w:sz="4" w:space="0" w:color="979991"/>
              <w:bottom w:val="single" w:sz="4" w:space="0" w:color="979991"/>
              <w:right w:val="nil"/>
            </w:tcBorders>
            <w:shd w:val="clear" w:color="auto" w:fill="FFFFFF"/>
            <w:vAlign w:val="center"/>
            <w:hideMark/>
          </w:tcPr>
          <w:p w14:paraId="2910BA2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9,628</w:t>
            </w:r>
          </w:p>
        </w:tc>
        <w:tc>
          <w:tcPr>
            <w:tcW w:w="980" w:type="dxa"/>
            <w:tcBorders>
              <w:top w:val="nil"/>
              <w:left w:val="single" w:sz="4" w:space="0" w:color="979991"/>
              <w:bottom w:val="single" w:sz="4" w:space="0" w:color="979991"/>
              <w:right w:val="nil"/>
            </w:tcBorders>
            <w:shd w:val="clear" w:color="auto" w:fill="FFFFFF"/>
            <w:vAlign w:val="center"/>
            <w:hideMark/>
          </w:tcPr>
          <w:p w14:paraId="01C2671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9,628</w:t>
            </w:r>
          </w:p>
        </w:tc>
        <w:tc>
          <w:tcPr>
            <w:tcW w:w="1140" w:type="dxa"/>
            <w:tcBorders>
              <w:top w:val="nil"/>
              <w:left w:val="single" w:sz="4" w:space="0" w:color="979991"/>
              <w:bottom w:val="single" w:sz="4" w:space="0" w:color="979991"/>
              <w:right w:val="nil"/>
            </w:tcBorders>
            <w:shd w:val="clear" w:color="auto" w:fill="FFFFFF"/>
            <w:vAlign w:val="center"/>
            <w:hideMark/>
          </w:tcPr>
          <w:p w14:paraId="19F915E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10,970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3C9014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10,340</w:t>
            </w:r>
          </w:p>
        </w:tc>
      </w:tr>
      <w:tr w:rsidR="001E3712" w14:paraId="6867A78C" w14:textId="77777777" w:rsidTr="003A1987">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0C06D35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173303</w:t>
            </w:r>
          </w:p>
        </w:tc>
        <w:tc>
          <w:tcPr>
            <w:tcW w:w="1420" w:type="dxa"/>
            <w:tcBorders>
              <w:top w:val="nil"/>
              <w:left w:val="single" w:sz="4" w:space="0" w:color="979991"/>
              <w:bottom w:val="single" w:sz="4" w:space="0" w:color="979991"/>
              <w:right w:val="nil"/>
            </w:tcBorders>
            <w:shd w:val="clear" w:color="auto" w:fill="FFFFFF"/>
            <w:vAlign w:val="center"/>
            <w:hideMark/>
          </w:tcPr>
          <w:p w14:paraId="7CE5AF8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w:t>
            </w:r>
            <w:r>
              <w:rPr>
                <w:rFonts w:ascii="Calibri" w:hAnsi="Calibri" w:cs="Calibri"/>
                <w:color w:val="000000"/>
                <w:sz w:val="16"/>
                <w:szCs w:val="16"/>
                <w:rtl/>
              </w:rPr>
              <w:t>3</w:t>
            </w:r>
            <w:r>
              <w:rPr>
                <w:rFonts w:ascii="Calibri" w:hAnsi="Calibri" w:cs="Calibri"/>
                <w:color w:val="000000"/>
                <w:sz w:val="16"/>
                <w:szCs w:val="16"/>
              </w:rPr>
              <w:t>,000</w:t>
            </w:r>
          </w:p>
        </w:tc>
        <w:tc>
          <w:tcPr>
            <w:tcW w:w="980" w:type="dxa"/>
            <w:tcBorders>
              <w:top w:val="nil"/>
              <w:left w:val="single" w:sz="4" w:space="0" w:color="979991"/>
              <w:bottom w:val="single" w:sz="4" w:space="0" w:color="979991"/>
              <w:right w:val="nil"/>
            </w:tcBorders>
            <w:shd w:val="clear" w:color="auto" w:fill="FFFFFF"/>
            <w:vAlign w:val="center"/>
            <w:hideMark/>
          </w:tcPr>
          <w:p w14:paraId="128AC2F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15,455</w:t>
            </w:r>
          </w:p>
        </w:tc>
        <w:tc>
          <w:tcPr>
            <w:tcW w:w="1140" w:type="dxa"/>
            <w:tcBorders>
              <w:top w:val="nil"/>
              <w:left w:val="single" w:sz="4" w:space="0" w:color="979991"/>
              <w:bottom w:val="single" w:sz="4" w:space="0" w:color="979991"/>
              <w:right w:val="nil"/>
            </w:tcBorders>
            <w:shd w:val="clear" w:color="auto" w:fill="FFFFFF"/>
            <w:vAlign w:val="center"/>
            <w:hideMark/>
          </w:tcPr>
          <w:p w14:paraId="7066C5D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31C18F5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5,885</w:t>
            </w:r>
          </w:p>
        </w:tc>
        <w:tc>
          <w:tcPr>
            <w:tcW w:w="1140" w:type="dxa"/>
            <w:tcBorders>
              <w:top w:val="nil"/>
              <w:left w:val="single" w:sz="4" w:space="0" w:color="979991"/>
              <w:bottom w:val="single" w:sz="4" w:space="0" w:color="979991"/>
              <w:right w:val="nil"/>
            </w:tcBorders>
            <w:shd w:val="clear" w:color="auto" w:fill="FFFFFF"/>
            <w:vAlign w:val="center"/>
            <w:hideMark/>
          </w:tcPr>
          <w:p w14:paraId="69A4F7B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-46,577</w:t>
            </w:r>
          </w:p>
        </w:tc>
        <w:tc>
          <w:tcPr>
            <w:tcW w:w="980" w:type="dxa"/>
            <w:tcBorders>
              <w:top w:val="nil"/>
              <w:left w:val="single" w:sz="4" w:space="0" w:color="979991"/>
              <w:bottom w:val="single" w:sz="4" w:space="0" w:color="979991"/>
              <w:right w:val="nil"/>
            </w:tcBorders>
            <w:shd w:val="clear" w:color="auto" w:fill="FFFFFF"/>
            <w:vAlign w:val="center"/>
            <w:hideMark/>
          </w:tcPr>
          <w:p w14:paraId="78BFEBA9"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75C0BDD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E3F95E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528</w:t>
            </w:r>
          </w:p>
        </w:tc>
      </w:tr>
    </w:tbl>
    <w:p w14:paraId="6B9388D6" w14:textId="77777777" w:rsidR="001E3712" w:rsidRDefault="001E3712" w:rsidP="001E3712">
      <w:pPr>
        <w:rPr>
          <w:rFonts w:ascii="Calibri" w:hAnsi="Calibri" w:cs="Calibri"/>
          <w:b/>
          <w:bCs/>
          <w:color w:val="000000"/>
          <w:szCs w:val="20"/>
        </w:rPr>
      </w:pPr>
    </w:p>
    <w:p w14:paraId="15F577ED" w14:textId="77777777" w:rsidR="001E3712" w:rsidRDefault="001E3712" w:rsidP="001E3712">
      <w:pPr>
        <w:rPr>
          <w:rFonts w:ascii="Calibri" w:hAnsi="Calibri" w:cs="Calibri"/>
          <w:b/>
          <w:bCs/>
          <w:color w:val="000000"/>
          <w:szCs w:val="20"/>
          <w:rtl/>
        </w:rPr>
      </w:pPr>
    </w:p>
    <w:p w14:paraId="05066E15" w14:textId="77777777" w:rsidR="001E3712" w:rsidRDefault="001E3712" w:rsidP="001E3712">
      <w:pPr>
        <w:rPr>
          <w:rFonts w:ascii="Calibri" w:hAnsi="Calibri" w:cs="Calibri"/>
          <w:b/>
          <w:bCs/>
          <w:color w:val="000000"/>
          <w:szCs w:val="20"/>
          <w:rtl/>
        </w:rPr>
      </w:pPr>
      <w:r>
        <w:rPr>
          <w:rFonts w:ascii="Calibri" w:hAnsi="Calibri" w:cs="Calibri"/>
          <w:b/>
          <w:bCs/>
          <w:color w:val="000000"/>
          <w:szCs w:val="20"/>
          <w:rtl/>
        </w:rPr>
        <w:t>היסטוריה תקציבית של הפנייה - הוצאה מותנית בהכנסה</w:t>
      </w:r>
    </w:p>
    <w:p w14:paraId="62B9CAD5" w14:textId="77777777" w:rsidR="001E3712" w:rsidRDefault="001E3712" w:rsidP="001E3712">
      <w:pPr>
        <w:rPr>
          <w:rFonts w:ascii="Calibri" w:hAnsi="Calibri" w:cs="Calibri"/>
          <w:b/>
          <w:bCs/>
          <w:color w:val="000000"/>
          <w:szCs w:val="20"/>
          <w:rtl/>
        </w:rPr>
      </w:pPr>
    </w:p>
    <w:tbl>
      <w:tblPr>
        <w:tblW w:w="9400" w:type="dxa"/>
        <w:jc w:val="center"/>
        <w:tblLook w:val="04A0" w:firstRow="1" w:lastRow="0" w:firstColumn="1" w:lastColumn="0" w:noHBand="0" w:noVBand="1"/>
      </w:tblPr>
      <w:tblGrid>
        <w:gridCol w:w="1160"/>
        <w:gridCol w:w="1320"/>
        <w:gridCol w:w="1000"/>
        <w:gridCol w:w="1000"/>
        <w:gridCol w:w="1000"/>
        <w:gridCol w:w="1000"/>
        <w:gridCol w:w="1000"/>
        <w:gridCol w:w="1000"/>
        <w:gridCol w:w="920"/>
      </w:tblGrid>
      <w:tr w:rsidR="001E3712" w14:paraId="4BACC3CD" w14:textId="77777777" w:rsidTr="003A1987">
        <w:trPr>
          <w:trHeight w:val="450"/>
          <w:jc w:val="center"/>
        </w:trPr>
        <w:tc>
          <w:tcPr>
            <w:tcW w:w="1160" w:type="dxa"/>
            <w:tcBorders>
              <w:top w:val="single" w:sz="4" w:space="0" w:color="979991"/>
              <w:left w:val="single" w:sz="4" w:space="0" w:color="979991"/>
              <w:bottom w:val="nil"/>
              <w:right w:val="nil"/>
            </w:tcBorders>
            <w:shd w:val="clear" w:color="auto" w:fill="F0F4FA"/>
            <w:vAlign w:val="center"/>
            <w:hideMark/>
          </w:tcPr>
          <w:p w14:paraId="0CA737DB" w14:textId="77777777" w:rsidR="001E3712" w:rsidRDefault="001E3712" w:rsidP="003A1987">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320" w:type="dxa"/>
            <w:tcBorders>
              <w:top w:val="single" w:sz="4" w:space="0" w:color="979991"/>
              <w:left w:val="single" w:sz="4" w:space="0" w:color="979991"/>
              <w:bottom w:val="single" w:sz="4" w:space="0" w:color="979991"/>
              <w:right w:val="nil"/>
            </w:tcBorders>
            <w:shd w:val="clear" w:color="auto" w:fill="F0F4FA"/>
            <w:vAlign w:val="center"/>
            <w:hideMark/>
          </w:tcPr>
          <w:p w14:paraId="0616844F" w14:textId="77777777" w:rsidR="001E3712" w:rsidRDefault="001E3712" w:rsidP="003A1987">
            <w:pPr>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28DE8392"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B6A4CB4"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380D9F56"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DA66926"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41CDEDF"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129F0BD3"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A954609" w14:textId="77777777" w:rsidR="001E3712" w:rsidRDefault="001E3712" w:rsidP="003A1987">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1E3712" w14:paraId="1F4DC24E" w14:textId="77777777" w:rsidTr="003A1987">
        <w:trPr>
          <w:trHeight w:val="300"/>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3DE0651E" w14:textId="77777777" w:rsidR="001E3712" w:rsidRDefault="001E3712" w:rsidP="003A1987">
            <w:pPr>
              <w:bidi w:val="0"/>
              <w:jc w:val="center"/>
              <w:rPr>
                <w:rFonts w:ascii="Calibri" w:hAnsi="Calibri" w:cs="Calibri"/>
                <w:color w:val="000000"/>
                <w:sz w:val="16"/>
                <w:szCs w:val="16"/>
                <w:rtl/>
              </w:rPr>
            </w:pPr>
            <w:r>
              <w:rPr>
                <w:rFonts w:ascii="Calibri" w:hAnsi="Calibri" w:cs="Calibri"/>
                <w:color w:val="000000"/>
                <w:sz w:val="16"/>
                <w:szCs w:val="16"/>
              </w:rPr>
              <w:t>173102</w:t>
            </w:r>
          </w:p>
        </w:tc>
        <w:tc>
          <w:tcPr>
            <w:tcW w:w="1320" w:type="dxa"/>
            <w:tcBorders>
              <w:top w:val="nil"/>
              <w:left w:val="single" w:sz="4" w:space="0" w:color="979991"/>
              <w:bottom w:val="single" w:sz="4" w:space="0" w:color="979991"/>
              <w:right w:val="nil"/>
            </w:tcBorders>
            <w:shd w:val="clear" w:color="auto" w:fill="FFFFFF"/>
            <w:vAlign w:val="center"/>
            <w:hideMark/>
          </w:tcPr>
          <w:p w14:paraId="6493FAFA" w14:textId="77777777" w:rsidR="001E3712" w:rsidRDefault="001E3712" w:rsidP="003A1987">
            <w:pPr>
              <w:bidi w:val="0"/>
              <w:jc w:val="center"/>
              <w:rPr>
                <w:rFonts w:ascii="Calibri" w:hAnsi="Calibri" w:cs="Calibri"/>
                <w:color w:val="000000"/>
                <w:sz w:val="16"/>
                <w:szCs w:val="16"/>
                <w:rtl/>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1C1022D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72,882</w:t>
            </w:r>
          </w:p>
        </w:tc>
        <w:tc>
          <w:tcPr>
            <w:tcW w:w="1000" w:type="dxa"/>
            <w:tcBorders>
              <w:top w:val="nil"/>
              <w:left w:val="single" w:sz="4" w:space="0" w:color="979991"/>
              <w:bottom w:val="single" w:sz="4" w:space="0" w:color="979991"/>
              <w:right w:val="nil"/>
            </w:tcBorders>
            <w:shd w:val="clear" w:color="auto" w:fill="FFFFFF"/>
            <w:vAlign w:val="center"/>
            <w:hideMark/>
          </w:tcPr>
          <w:p w14:paraId="32143ECF"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70,582</w:t>
            </w:r>
          </w:p>
        </w:tc>
        <w:tc>
          <w:tcPr>
            <w:tcW w:w="1000" w:type="dxa"/>
            <w:tcBorders>
              <w:top w:val="nil"/>
              <w:left w:val="single" w:sz="4" w:space="0" w:color="979991"/>
              <w:bottom w:val="single" w:sz="4" w:space="0" w:color="979991"/>
              <w:right w:val="nil"/>
            </w:tcBorders>
            <w:shd w:val="clear" w:color="auto" w:fill="FFFFFF"/>
            <w:vAlign w:val="center"/>
            <w:hideMark/>
          </w:tcPr>
          <w:p w14:paraId="4DBA5C59"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70,582</w:t>
            </w:r>
          </w:p>
        </w:tc>
        <w:tc>
          <w:tcPr>
            <w:tcW w:w="1000" w:type="dxa"/>
            <w:tcBorders>
              <w:top w:val="nil"/>
              <w:left w:val="single" w:sz="4" w:space="0" w:color="979991"/>
              <w:bottom w:val="single" w:sz="4" w:space="0" w:color="979991"/>
              <w:right w:val="nil"/>
            </w:tcBorders>
            <w:shd w:val="clear" w:color="auto" w:fill="FFFFFF"/>
            <w:vAlign w:val="center"/>
            <w:hideMark/>
          </w:tcPr>
          <w:p w14:paraId="0175915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66,509</w:t>
            </w:r>
          </w:p>
        </w:tc>
        <w:tc>
          <w:tcPr>
            <w:tcW w:w="1000" w:type="dxa"/>
            <w:tcBorders>
              <w:top w:val="nil"/>
              <w:left w:val="single" w:sz="4" w:space="0" w:color="979991"/>
              <w:bottom w:val="single" w:sz="4" w:space="0" w:color="979991"/>
              <w:right w:val="nil"/>
            </w:tcBorders>
            <w:shd w:val="clear" w:color="auto" w:fill="FFFFFF"/>
            <w:vAlign w:val="center"/>
            <w:hideMark/>
          </w:tcPr>
          <w:p w14:paraId="16544869"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66,509</w:t>
            </w:r>
          </w:p>
        </w:tc>
        <w:tc>
          <w:tcPr>
            <w:tcW w:w="1000" w:type="dxa"/>
            <w:tcBorders>
              <w:top w:val="nil"/>
              <w:left w:val="single" w:sz="4" w:space="0" w:color="979991"/>
              <w:bottom w:val="single" w:sz="4" w:space="0" w:color="979991"/>
              <w:right w:val="nil"/>
            </w:tcBorders>
            <w:shd w:val="clear" w:color="auto" w:fill="FFFFFF"/>
            <w:vAlign w:val="center"/>
            <w:hideMark/>
          </w:tcPr>
          <w:p w14:paraId="3A6AAD4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67,291</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986469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67,291</w:t>
            </w:r>
          </w:p>
        </w:tc>
      </w:tr>
      <w:tr w:rsidR="001E3712" w14:paraId="5F80A8B6"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0523E27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173103</w:t>
            </w:r>
          </w:p>
        </w:tc>
        <w:tc>
          <w:tcPr>
            <w:tcW w:w="1320" w:type="dxa"/>
            <w:tcBorders>
              <w:top w:val="nil"/>
              <w:left w:val="single" w:sz="4" w:space="0" w:color="979991"/>
              <w:bottom w:val="single" w:sz="4" w:space="0" w:color="979991"/>
              <w:right w:val="nil"/>
            </w:tcBorders>
            <w:shd w:val="clear" w:color="auto" w:fill="FFFFFF"/>
            <w:vAlign w:val="center"/>
            <w:hideMark/>
          </w:tcPr>
          <w:p w14:paraId="4CB37E3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25,600</w:t>
            </w:r>
          </w:p>
        </w:tc>
        <w:tc>
          <w:tcPr>
            <w:tcW w:w="1000" w:type="dxa"/>
            <w:tcBorders>
              <w:top w:val="nil"/>
              <w:left w:val="single" w:sz="4" w:space="0" w:color="979991"/>
              <w:bottom w:val="single" w:sz="4" w:space="0" w:color="979991"/>
              <w:right w:val="nil"/>
            </w:tcBorders>
            <w:shd w:val="clear" w:color="auto" w:fill="FFFFFF"/>
            <w:vAlign w:val="center"/>
            <w:hideMark/>
          </w:tcPr>
          <w:p w14:paraId="1CFDEA69"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75,190</w:t>
            </w:r>
          </w:p>
        </w:tc>
        <w:tc>
          <w:tcPr>
            <w:tcW w:w="1000" w:type="dxa"/>
            <w:tcBorders>
              <w:top w:val="nil"/>
              <w:left w:val="single" w:sz="4" w:space="0" w:color="979991"/>
              <w:bottom w:val="single" w:sz="4" w:space="0" w:color="979991"/>
              <w:right w:val="nil"/>
            </w:tcBorders>
            <w:shd w:val="clear" w:color="auto" w:fill="FFFFFF"/>
            <w:vAlign w:val="center"/>
            <w:hideMark/>
          </w:tcPr>
          <w:p w14:paraId="54167D3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55,350</w:t>
            </w:r>
          </w:p>
        </w:tc>
        <w:tc>
          <w:tcPr>
            <w:tcW w:w="1000" w:type="dxa"/>
            <w:tcBorders>
              <w:top w:val="nil"/>
              <w:left w:val="single" w:sz="4" w:space="0" w:color="979991"/>
              <w:bottom w:val="single" w:sz="4" w:space="0" w:color="979991"/>
              <w:right w:val="nil"/>
            </w:tcBorders>
            <w:shd w:val="clear" w:color="auto" w:fill="FFFFFF"/>
            <w:vAlign w:val="center"/>
            <w:hideMark/>
          </w:tcPr>
          <w:p w14:paraId="7DCF3E6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55,350</w:t>
            </w:r>
          </w:p>
        </w:tc>
        <w:tc>
          <w:tcPr>
            <w:tcW w:w="1000" w:type="dxa"/>
            <w:tcBorders>
              <w:top w:val="nil"/>
              <w:left w:val="single" w:sz="4" w:space="0" w:color="979991"/>
              <w:bottom w:val="single" w:sz="4" w:space="0" w:color="979991"/>
              <w:right w:val="nil"/>
            </w:tcBorders>
            <w:shd w:val="clear" w:color="auto" w:fill="FFFFFF"/>
            <w:vAlign w:val="center"/>
            <w:hideMark/>
          </w:tcPr>
          <w:p w14:paraId="129942C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58,950</w:t>
            </w:r>
          </w:p>
        </w:tc>
        <w:tc>
          <w:tcPr>
            <w:tcW w:w="1000" w:type="dxa"/>
            <w:tcBorders>
              <w:top w:val="nil"/>
              <w:left w:val="single" w:sz="4" w:space="0" w:color="979991"/>
              <w:bottom w:val="single" w:sz="4" w:space="0" w:color="979991"/>
              <w:right w:val="nil"/>
            </w:tcBorders>
            <w:shd w:val="clear" w:color="auto" w:fill="FFFFFF"/>
            <w:vAlign w:val="center"/>
            <w:hideMark/>
          </w:tcPr>
          <w:p w14:paraId="1CA33B2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58,950</w:t>
            </w:r>
          </w:p>
        </w:tc>
        <w:tc>
          <w:tcPr>
            <w:tcW w:w="1000" w:type="dxa"/>
            <w:tcBorders>
              <w:top w:val="nil"/>
              <w:left w:val="single" w:sz="4" w:space="0" w:color="979991"/>
              <w:bottom w:val="single" w:sz="4" w:space="0" w:color="979991"/>
              <w:right w:val="nil"/>
            </w:tcBorders>
            <w:shd w:val="clear" w:color="auto" w:fill="FFFFFF"/>
            <w:vAlign w:val="center"/>
            <w:hideMark/>
          </w:tcPr>
          <w:p w14:paraId="3D2070B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42,550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0906BB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42,550</w:t>
            </w:r>
          </w:p>
        </w:tc>
      </w:tr>
      <w:tr w:rsidR="001E3712" w14:paraId="36F9BCB5"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65D5438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173108</w:t>
            </w:r>
          </w:p>
        </w:tc>
        <w:tc>
          <w:tcPr>
            <w:tcW w:w="1320" w:type="dxa"/>
            <w:tcBorders>
              <w:top w:val="nil"/>
              <w:left w:val="single" w:sz="4" w:space="0" w:color="979991"/>
              <w:bottom w:val="single" w:sz="4" w:space="0" w:color="979991"/>
              <w:right w:val="nil"/>
            </w:tcBorders>
            <w:shd w:val="clear" w:color="auto" w:fill="FFFFFF"/>
            <w:vAlign w:val="center"/>
            <w:hideMark/>
          </w:tcPr>
          <w:p w14:paraId="418C841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46B4050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1000" w:type="dxa"/>
            <w:tcBorders>
              <w:top w:val="nil"/>
              <w:left w:val="single" w:sz="4" w:space="0" w:color="979991"/>
              <w:bottom w:val="single" w:sz="4" w:space="0" w:color="979991"/>
              <w:right w:val="nil"/>
            </w:tcBorders>
            <w:shd w:val="clear" w:color="auto" w:fill="FFFFFF"/>
            <w:vAlign w:val="center"/>
            <w:hideMark/>
          </w:tcPr>
          <w:p w14:paraId="0330B60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1000" w:type="dxa"/>
            <w:tcBorders>
              <w:top w:val="nil"/>
              <w:left w:val="single" w:sz="4" w:space="0" w:color="979991"/>
              <w:bottom w:val="single" w:sz="4" w:space="0" w:color="979991"/>
              <w:right w:val="nil"/>
            </w:tcBorders>
            <w:shd w:val="clear" w:color="auto" w:fill="FFFFFF"/>
            <w:vAlign w:val="center"/>
            <w:hideMark/>
          </w:tcPr>
          <w:p w14:paraId="7EC3188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1000" w:type="dxa"/>
            <w:tcBorders>
              <w:top w:val="nil"/>
              <w:left w:val="single" w:sz="4" w:space="0" w:color="979991"/>
              <w:bottom w:val="single" w:sz="4" w:space="0" w:color="979991"/>
              <w:right w:val="nil"/>
            </w:tcBorders>
            <w:shd w:val="clear" w:color="auto" w:fill="FFFFFF"/>
            <w:vAlign w:val="center"/>
            <w:hideMark/>
          </w:tcPr>
          <w:p w14:paraId="1D900C6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1000" w:type="dxa"/>
            <w:tcBorders>
              <w:top w:val="nil"/>
              <w:left w:val="single" w:sz="4" w:space="0" w:color="979991"/>
              <w:bottom w:val="single" w:sz="4" w:space="0" w:color="979991"/>
              <w:right w:val="nil"/>
            </w:tcBorders>
            <w:shd w:val="clear" w:color="auto" w:fill="FFFFFF"/>
            <w:vAlign w:val="center"/>
            <w:hideMark/>
          </w:tcPr>
          <w:p w14:paraId="3A384F1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1000" w:type="dxa"/>
            <w:tcBorders>
              <w:top w:val="nil"/>
              <w:left w:val="single" w:sz="4" w:space="0" w:color="979991"/>
              <w:bottom w:val="single" w:sz="4" w:space="0" w:color="979991"/>
              <w:right w:val="nil"/>
            </w:tcBorders>
            <w:shd w:val="clear" w:color="auto" w:fill="FFFFFF"/>
            <w:vAlign w:val="center"/>
            <w:hideMark/>
          </w:tcPr>
          <w:p w14:paraId="1D3EFB6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43E596F"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3,000</w:t>
            </w:r>
          </w:p>
        </w:tc>
      </w:tr>
      <w:tr w:rsidR="001E3712" w14:paraId="049F8E34"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25C94D3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173109</w:t>
            </w:r>
          </w:p>
        </w:tc>
        <w:tc>
          <w:tcPr>
            <w:tcW w:w="1320" w:type="dxa"/>
            <w:tcBorders>
              <w:top w:val="nil"/>
              <w:left w:val="single" w:sz="4" w:space="0" w:color="979991"/>
              <w:bottom w:val="single" w:sz="4" w:space="0" w:color="979991"/>
              <w:right w:val="nil"/>
            </w:tcBorders>
            <w:shd w:val="clear" w:color="auto" w:fill="FFFFFF"/>
            <w:vAlign w:val="center"/>
            <w:hideMark/>
          </w:tcPr>
          <w:p w14:paraId="36A4DCB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13,000</w:t>
            </w:r>
          </w:p>
        </w:tc>
        <w:tc>
          <w:tcPr>
            <w:tcW w:w="1000" w:type="dxa"/>
            <w:tcBorders>
              <w:top w:val="nil"/>
              <w:left w:val="single" w:sz="4" w:space="0" w:color="979991"/>
              <w:bottom w:val="single" w:sz="4" w:space="0" w:color="979991"/>
              <w:right w:val="nil"/>
            </w:tcBorders>
            <w:shd w:val="clear" w:color="auto" w:fill="FFFFFF"/>
            <w:vAlign w:val="center"/>
            <w:hideMark/>
          </w:tcPr>
          <w:p w14:paraId="6DB39A1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91,500</w:t>
            </w:r>
          </w:p>
        </w:tc>
        <w:tc>
          <w:tcPr>
            <w:tcW w:w="1000" w:type="dxa"/>
            <w:tcBorders>
              <w:top w:val="nil"/>
              <w:left w:val="single" w:sz="4" w:space="0" w:color="979991"/>
              <w:bottom w:val="single" w:sz="4" w:space="0" w:color="979991"/>
              <w:right w:val="nil"/>
            </w:tcBorders>
            <w:shd w:val="clear" w:color="auto" w:fill="FFFFFF"/>
            <w:vAlign w:val="center"/>
            <w:hideMark/>
          </w:tcPr>
          <w:p w14:paraId="1E2A4C4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124,311</w:t>
            </w:r>
          </w:p>
        </w:tc>
        <w:tc>
          <w:tcPr>
            <w:tcW w:w="1000" w:type="dxa"/>
            <w:tcBorders>
              <w:top w:val="nil"/>
              <w:left w:val="single" w:sz="4" w:space="0" w:color="979991"/>
              <w:bottom w:val="single" w:sz="4" w:space="0" w:color="979991"/>
              <w:right w:val="nil"/>
            </w:tcBorders>
            <w:shd w:val="clear" w:color="auto" w:fill="FFFFFF"/>
            <w:vAlign w:val="center"/>
            <w:hideMark/>
          </w:tcPr>
          <w:p w14:paraId="57BC179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89,311</w:t>
            </w:r>
          </w:p>
        </w:tc>
        <w:tc>
          <w:tcPr>
            <w:tcW w:w="1000" w:type="dxa"/>
            <w:tcBorders>
              <w:top w:val="nil"/>
              <w:left w:val="single" w:sz="4" w:space="0" w:color="979991"/>
              <w:bottom w:val="single" w:sz="4" w:space="0" w:color="979991"/>
              <w:right w:val="nil"/>
            </w:tcBorders>
            <w:shd w:val="clear" w:color="auto" w:fill="FFFFFF"/>
            <w:vAlign w:val="center"/>
            <w:hideMark/>
          </w:tcPr>
          <w:p w14:paraId="65E16AE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89,749</w:t>
            </w:r>
          </w:p>
        </w:tc>
        <w:tc>
          <w:tcPr>
            <w:tcW w:w="1000" w:type="dxa"/>
            <w:tcBorders>
              <w:top w:val="nil"/>
              <w:left w:val="single" w:sz="4" w:space="0" w:color="979991"/>
              <w:bottom w:val="single" w:sz="4" w:space="0" w:color="979991"/>
              <w:right w:val="nil"/>
            </w:tcBorders>
            <w:shd w:val="clear" w:color="auto" w:fill="FFFFFF"/>
            <w:vAlign w:val="center"/>
            <w:hideMark/>
          </w:tcPr>
          <w:p w14:paraId="13CFB7A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89,749</w:t>
            </w:r>
          </w:p>
        </w:tc>
        <w:tc>
          <w:tcPr>
            <w:tcW w:w="1000" w:type="dxa"/>
            <w:tcBorders>
              <w:top w:val="nil"/>
              <w:left w:val="single" w:sz="4" w:space="0" w:color="979991"/>
              <w:bottom w:val="single" w:sz="4" w:space="0" w:color="979991"/>
              <w:right w:val="nil"/>
            </w:tcBorders>
            <w:shd w:val="clear" w:color="auto" w:fill="FFFFFF"/>
            <w:vAlign w:val="center"/>
            <w:hideMark/>
          </w:tcPr>
          <w:p w14:paraId="22C45170"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105,367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0750722"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105,367</w:t>
            </w:r>
          </w:p>
        </w:tc>
      </w:tr>
      <w:tr w:rsidR="001E3712" w14:paraId="4A2EA396"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781F151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173301</w:t>
            </w:r>
          </w:p>
        </w:tc>
        <w:tc>
          <w:tcPr>
            <w:tcW w:w="1320" w:type="dxa"/>
            <w:tcBorders>
              <w:top w:val="nil"/>
              <w:left w:val="single" w:sz="4" w:space="0" w:color="979991"/>
              <w:bottom w:val="single" w:sz="4" w:space="0" w:color="979991"/>
              <w:right w:val="nil"/>
            </w:tcBorders>
            <w:shd w:val="clear" w:color="auto" w:fill="FFFFFF"/>
            <w:vAlign w:val="center"/>
            <w:hideMark/>
          </w:tcPr>
          <w:p w14:paraId="5B79EA8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6F27139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1000" w:type="dxa"/>
            <w:tcBorders>
              <w:top w:val="nil"/>
              <w:left w:val="single" w:sz="4" w:space="0" w:color="979991"/>
              <w:bottom w:val="single" w:sz="4" w:space="0" w:color="979991"/>
              <w:right w:val="nil"/>
            </w:tcBorders>
            <w:shd w:val="clear" w:color="auto" w:fill="FFFFFF"/>
            <w:vAlign w:val="center"/>
            <w:hideMark/>
          </w:tcPr>
          <w:p w14:paraId="4927337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1000" w:type="dxa"/>
            <w:tcBorders>
              <w:top w:val="nil"/>
              <w:left w:val="single" w:sz="4" w:space="0" w:color="979991"/>
              <w:bottom w:val="single" w:sz="4" w:space="0" w:color="979991"/>
              <w:right w:val="nil"/>
            </w:tcBorders>
            <w:shd w:val="clear" w:color="auto" w:fill="FFFFFF"/>
            <w:vAlign w:val="center"/>
            <w:hideMark/>
          </w:tcPr>
          <w:p w14:paraId="7FEE2B4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1000" w:type="dxa"/>
            <w:tcBorders>
              <w:top w:val="nil"/>
              <w:left w:val="single" w:sz="4" w:space="0" w:color="979991"/>
              <w:bottom w:val="single" w:sz="4" w:space="0" w:color="979991"/>
              <w:right w:val="nil"/>
            </w:tcBorders>
            <w:shd w:val="clear" w:color="auto" w:fill="FFFFFF"/>
            <w:vAlign w:val="center"/>
            <w:hideMark/>
          </w:tcPr>
          <w:p w14:paraId="6EFF34D5"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1000" w:type="dxa"/>
            <w:tcBorders>
              <w:top w:val="nil"/>
              <w:left w:val="single" w:sz="4" w:space="0" w:color="979991"/>
              <w:bottom w:val="single" w:sz="4" w:space="0" w:color="979991"/>
              <w:right w:val="nil"/>
            </w:tcBorders>
            <w:shd w:val="clear" w:color="auto" w:fill="FFFFFF"/>
            <w:vAlign w:val="center"/>
            <w:hideMark/>
          </w:tcPr>
          <w:p w14:paraId="4F9ABAE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1000" w:type="dxa"/>
            <w:tcBorders>
              <w:top w:val="nil"/>
              <w:left w:val="single" w:sz="4" w:space="0" w:color="979991"/>
              <w:bottom w:val="single" w:sz="4" w:space="0" w:color="979991"/>
              <w:right w:val="nil"/>
            </w:tcBorders>
            <w:shd w:val="clear" w:color="auto" w:fill="FFFFFF"/>
            <w:vAlign w:val="center"/>
            <w:hideMark/>
          </w:tcPr>
          <w:p w14:paraId="7E00FC9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6E63FEA"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2,500</w:t>
            </w:r>
          </w:p>
        </w:tc>
      </w:tr>
      <w:tr w:rsidR="001E3712" w14:paraId="0A8688E6"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7A469871"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173302</w:t>
            </w:r>
          </w:p>
        </w:tc>
        <w:tc>
          <w:tcPr>
            <w:tcW w:w="1320" w:type="dxa"/>
            <w:tcBorders>
              <w:top w:val="nil"/>
              <w:left w:val="single" w:sz="4" w:space="0" w:color="979991"/>
              <w:bottom w:val="single" w:sz="4" w:space="0" w:color="979991"/>
              <w:right w:val="nil"/>
            </w:tcBorders>
            <w:shd w:val="clear" w:color="auto" w:fill="FFFFFF"/>
            <w:vAlign w:val="center"/>
            <w:hideMark/>
          </w:tcPr>
          <w:p w14:paraId="015316E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6BA3168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6AA50F9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5954F11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2AB2179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0D40991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023E8E0F"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34DC827B"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r>
      <w:tr w:rsidR="001E3712" w14:paraId="29E9A925" w14:textId="77777777" w:rsidTr="003A1987">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663E8C5C"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173303</w:t>
            </w:r>
          </w:p>
        </w:tc>
        <w:tc>
          <w:tcPr>
            <w:tcW w:w="1320" w:type="dxa"/>
            <w:tcBorders>
              <w:top w:val="nil"/>
              <w:left w:val="single" w:sz="4" w:space="0" w:color="979991"/>
              <w:bottom w:val="single" w:sz="4" w:space="0" w:color="979991"/>
              <w:right w:val="nil"/>
            </w:tcBorders>
            <w:shd w:val="clear" w:color="auto" w:fill="FFFFFF"/>
            <w:vAlign w:val="center"/>
            <w:hideMark/>
          </w:tcPr>
          <w:p w14:paraId="089B971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540015E3"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225478B6"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1DA7B064"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4526B0BD"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7857164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3FFE96E8"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4F01887" w14:textId="77777777" w:rsidR="001E3712" w:rsidRDefault="001E3712" w:rsidP="003A1987">
            <w:pPr>
              <w:bidi w:val="0"/>
              <w:jc w:val="center"/>
              <w:rPr>
                <w:rFonts w:ascii="Calibri" w:hAnsi="Calibri" w:cs="Calibri"/>
                <w:color w:val="000000"/>
                <w:sz w:val="16"/>
                <w:szCs w:val="16"/>
              </w:rPr>
            </w:pPr>
            <w:r>
              <w:rPr>
                <w:rFonts w:ascii="Calibri" w:hAnsi="Calibri" w:cs="Calibri"/>
                <w:color w:val="000000"/>
                <w:sz w:val="16"/>
                <w:szCs w:val="16"/>
              </w:rPr>
              <w:t>0</w:t>
            </w:r>
          </w:p>
        </w:tc>
      </w:tr>
    </w:tbl>
    <w:p w14:paraId="040AA977" w14:textId="77777777" w:rsidR="001E3712" w:rsidRDefault="001E3712" w:rsidP="001E3712">
      <w:pPr>
        <w:rPr>
          <w:rFonts w:eastAsia="Calibri" w:cs="David"/>
          <w:sz w:val="24"/>
        </w:rPr>
      </w:pPr>
    </w:p>
    <w:p w14:paraId="484BAFDD" w14:textId="77777777" w:rsidR="00B910C3" w:rsidRPr="00806779" w:rsidRDefault="00B910C3">
      <w:pPr>
        <w:rPr>
          <w:rFonts w:cs="FrankRuehl"/>
          <w:sz w:val="26"/>
          <w:szCs w:val="26"/>
          <w:rtl/>
        </w:rPr>
      </w:pPr>
    </w:p>
    <w:sectPr w:rsidR="00B910C3" w:rsidRPr="00806779" w:rsidSect="0085015F">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3CF0" w14:textId="77777777" w:rsidR="001E08B9" w:rsidRDefault="001E08B9" w:rsidP="0085015F">
      <w:r>
        <w:separator/>
      </w:r>
    </w:p>
  </w:endnote>
  <w:endnote w:type="continuationSeparator" w:id="0">
    <w:p w14:paraId="540567F0" w14:textId="77777777" w:rsidR="001E08B9" w:rsidRDefault="001E08B9" w:rsidP="008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3F74" w14:textId="77777777" w:rsidR="00E61D33" w:rsidRDefault="00E61D3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E0D0" w14:textId="77777777" w:rsidR="00E61D33" w:rsidRDefault="00E61D3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F0644" w14:textId="77777777" w:rsidR="00E61D33" w:rsidRDefault="00E61D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6AC7" w14:textId="77777777" w:rsidR="001E08B9" w:rsidRDefault="001E08B9" w:rsidP="0085015F">
      <w:r>
        <w:separator/>
      </w:r>
    </w:p>
  </w:footnote>
  <w:footnote w:type="continuationSeparator" w:id="0">
    <w:p w14:paraId="71070383" w14:textId="77777777" w:rsidR="001E08B9" w:rsidRDefault="001E08B9" w:rsidP="0085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0ADA" w14:textId="77777777" w:rsidR="00E61D33" w:rsidRDefault="00E61D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38F9" w14:textId="77777777" w:rsidR="0085015F" w:rsidRPr="00CB5FFD" w:rsidRDefault="001E08B9" w:rsidP="0085015F">
    <w:pPr>
      <w:pStyle w:val="a4"/>
      <w:jc w:val="right"/>
      <w:rPr>
        <w:color w:val="4F81BD"/>
        <w:rtl/>
        <w:cs/>
      </w:rPr>
    </w:pPr>
    <w:r>
      <w:rPr>
        <w:noProof/>
        <w:rtl/>
      </w:rPr>
      <w:pict w14:anchorId="379C3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9pt;margin-top:-75.8pt;width:594pt;height:75.05pt;z-index:1;mso-position-horizontal-relative:margin;mso-position-vertical-relative:margin">
          <v:imagedata r:id="rId1" o:title="Header"/>
          <w10:wrap type="square" anchorx="margin" anchory="margin"/>
        </v:shape>
      </w:pict>
    </w:r>
  </w:p>
  <w:p w14:paraId="39FE7F73" w14:textId="77777777" w:rsidR="0085015F" w:rsidRDefault="0085015F" w:rsidP="0085015F">
    <w:pPr>
      <w:pStyle w:val="a4"/>
    </w:pPr>
  </w:p>
  <w:p w14:paraId="736C3431" w14:textId="77777777" w:rsidR="0085015F" w:rsidRDefault="008501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65DCD" w14:textId="77777777" w:rsidR="00E61D33" w:rsidRDefault="00E61D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6E2"/>
    <w:rsid w:val="000006EC"/>
    <w:rsid w:val="001D3732"/>
    <w:rsid w:val="001E08B9"/>
    <w:rsid w:val="001E3712"/>
    <w:rsid w:val="00382FA5"/>
    <w:rsid w:val="0045429E"/>
    <w:rsid w:val="007106AD"/>
    <w:rsid w:val="007E2EF1"/>
    <w:rsid w:val="00806779"/>
    <w:rsid w:val="0085015F"/>
    <w:rsid w:val="00884517"/>
    <w:rsid w:val="008A5FB5"/>
    <w:rsid w:val="009D70C0"/>
    <w:rsid w:val="00A10E91"/>
    <w:rsid w:val="00A466E2"/>
    <w:rsid w:val="00B910C3"/>
    <w:rsid w:val="00C823CE"/>
    <w:rsid w:val="00CE636C"/>
    <w:rsid w:val="00E61D33"/>
    <w:rsid w:val="00E97C36"/>
    <w:rsid w:val="00F63CC8"/>
    <w:rsid w:val="00F74C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2C463B3"/>
  <w15:chartTrackingRefBased/>
  <w15:docId w15:val="{E265AF17-C36A-4338-8300-9E8F63BE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85015F"/>
    <w:pPr>
      <w:tabs>
        <w:tab w:val="center" w:pos="4153"/>
        <w:tab w:val="right" w:pos="8306"/>
      </w:tabs>
    </w:pPr>
  </w:style>
  <w:style w:type="paragraph" w:customStyle="1" w:styleId="a6">
    <w:name w:val="מדינה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85015F"/>
    <w:rPr>
      <w:rFonts w:cs="Narkisim"/>
      <w:szCs w:val="24"/>
      <w:lang w:eastAsia="he-IL"/>
    </w:rPr>
  </w:style>
  <w:style w:type="paragraph" w:styleId="a8">
    <w:name w:val="footer"/>
    <w:basedOn w:val="a"/>
    <w:link w:val="a9"/>
    <w:uiPriority w:val="99"/>
    <w:unhideWhenUsed/>
    <w:rsid w:val="0085015F"/>
    <w:pPr>
      <w:tabs>
        <w:tab w:val="center" w:pos="4153"/>
        <w:tab w:val="right" w:pos="8306"/>
      </w:tabs>
    </w:pPr>
  </w:style>
  <w:style w:type="character" w:customStyle="1" w:styleId="a9">
    <w:name w:val="כותרת תחתונה תו"/>
    <w:link w:val="a8"/>
    <w:uiPriority w:val="99"/>
    <w:rsid w:val="0085015F"/>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3521</Characters>
  <Application>Microsoft Office Word</Application>
  <DocSecurity>0</DocSecurity>
  <Lines>29</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1899-12-31T22:00:00Z</cp:lastPrinted>
  <dcterms:created xsi:type="dcterms:W3CDTF">2026-07-23T06:29:00Z</dcterms:created>
  <dcterms:modified xsi:type="dcterms:W3CDTF">2026-07-23T06:32:00Z</dcterms:modified>
</cp:coreProperties>
</file>