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91B9" w14:textId="77777777" w:rsidR="00436E4E" w:rsidRDefault="00436E4E">
      <w:pPr>
        <w:pStyle w:val="a6"/>
        <w:rPr>
          <w:rFonts w:hint="cs"/>
          <w:rtl/>
        </w:rPr>
      </w:pPr>
    </w:p>
    <w:p w14:paraId="319D4D62" w14:textId="77777777" w:rsidR="00436E4E" w:rsidRDefault="00436E4E">
      <w:pPr>
        <w:pStyle w:val="a6"/>
        <w:rPr>
          <w:rtl/>
        </w:rPr>
      </w:pPr>
      <w:r>
        <w:rPr>
          <w:rtl/>
        </w:rPr>
        <w:t>מדינת ישראל</w:t>
      </w:r>
    </w:p>
    <w:p w14:paraId="7AAE8702" w14:textId="77777777" w:rsidR="00436E4E" w:rsidRDefault="00436E4E">
      <w:pPr>
        <w:pStyle w:val="a6"/>
        <w:rPr>
          <w:szCs w:val="24"/>
          <w:rtl/>
        </w:rPr>
      </w:pPr>
      <w:r>
        <w:rPr>
          <w:rtl/>
        </w:rPr>
        <w:t>האוצר - אגף התקציבים</w:t>
      </w:r>
    </w:p>
    <w:p w14:paraId="147E52D6" w14:textId="77777777" w:rsidR="00436E4E" w:rsidRDefault="00436E4E">
      <w:pPr>
        <w:rPr>
          <w:rtl/>
        </w:rPr>
      </w:pPr>
    </w:p>
    <w:p w14:paraId="4D3CA000" w14:textId="77777777" w:rsidR="00436E4E" w:rsidRDefault="00436E4E">
      <w:pPr>
        <w:rPr>
          <w:rtl/>
        </w:rPr>
      </w:pPr>
    </w:p>
    <w:p w14:paraId="29D30C0C" w14:textId="7DB66797" w:rsidR="00436E4E" w:rsidRDefault="00436E4E">
      <w:pPr>
        <w:tabs>
          <w:tab w:val="left" w:pos="6300"/>
        </w:tabs>
        <w:rPr>
          <w:rtl/>
        </w:rPr>
      </w:pPr>
      <w:r>
        <w:rPr>
          <w:rtl/>
        </w:rPr>
        <w:tab/>
      </w:r>
      <w:bookmarkStart w:id="0" w:name="TAKZIV8"/>
      <w:r w:rsidR="00C91031">
        <w:rPr>
          <w:rtl/>
        </w:rPr>
        <w:t>תקציב רגיל</w:t>
      </w:r>
      <w:bookmarkEnd w:id="0"/>
    </w:p>
    <w:p w14:paraId="2081FF5A" w14:textId="77777777" w:rsidR="00436E4E" w:rsidRDefault="00436E4E">
      <w:pPr>
        <w:tabs>
          <w:tab w:val="left" w:pos="6300"/>
        </w:tabs>
        <w:rPr>
          <w:rtl/>
        </w:rPr>
      </w:pPr>
      <w:r>
        <w:rPr>
          <w:rtl/>
        </w:rPr>
        <w:tab/>
      </w:r>
    </w:p>
    <w:p w14:paraId="362DF51D"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1C213613" w14:textId="746176BA" w:rsidR="00436E4E" w:rsidRPr="002E1D22"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C91031">
        <w:rPr>
          <w:rFonts w:cs="FrankRuehl"/>
          <w:sz w:val="26"/>
          <w:szCs w:val="26"/>
          <w:rtl/>
        </w:rPr>
        <w:t>008</w:t>
      </w:r>
      <w:bookmarkEnd w:id="2"/>
      <w:r w:rsidRPr="002E1D22">
        <w:rPr>
          <w:rFonts w:cs="FrankRuehl"/>
          <w:sz w:val="26"/>
          <w:szCs w:val="26"/>
          <w:rtl/>
        </w:rPr>
        <w:t xml:space="preserve"> </w:t>
      </w:r>
      <w:r w:rsidR="002A6881">
        <w:rPr>
          <w:rFonts w:cs="FrankRuehl" w:hint="cs"/>
          <w:sz w:val="26"/>
          <w:szCs w:val="26"/>
          <w:rtl/>
        </w:rPr>
        <w:t>-</w:t>
      </w:r>
      <w:r w:rsidRPr="002E1D22">
        <w:rPr>
          <w:rFonts w:cs="FrankRuehl"/>
          <w:sz w:val="26"/>
          <w:szCs w:val="26"/>
          <w:rtl/>
        </w:rPr>
        <w:t xml:space="preserve"> </w:t>
      </w:r>
      <w:bookmarkStart w:id="3" w:name="TAKZIV3"/>
      <w:r w:rsidR="00C91031">
        <w:rPr>
          <w:rFonts w:cs="FrankRuehl"/>
          <w:sz w:val="26"/>
          <w:szCs w:val="26"/>
          <w:rtl/>
        </w:rPr>
        <w:t>16</w:t>
      </w:r>
      <w:bookmarkEnd w:id="3"/>
    </w:p>
    <w:p w14:paraId="412436E4" w14:textId="6A53F9F4"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לועדה: </w:t>
      </w:r>
      <w:bookmarkStart w:id="4" w:name="TAKZIV11"/>
      <w:r w:rsidR="00C91031">
        <w:rPr>
          <w:rFonts w:cs="FrankRuehl"/>
          <w:sz w:val="26"/>
          <w:szCs w:val="26"/>
          <w:rtl/>
        </w:rPr>
        <w:t>178</w:t>
      </w:r>
      <w:bookmarkEnd w:id="4"/>
      <w:r w:rsidR="00A559BC">
        <w:rPr>
          <w:rFonts w:cs="FrankRuehl" w:hint="cs"/>
          <w:sz w:val="26"/>
          <w:szCs w:val="26"/>
          <w:rtl/>
        </w:rPr>
        <w:t>, 9004</w:t>
      </w:r>
      <w:r w:rsidRPr="002E1D22">
        <w:rPr>
          <w:rFonts w:cs="FrankRuehl"/>
          <w:sz w:val="26"/>
          <w:szCs w:val="26"/>
          <w:rtl/>
        </w:rPr>
        <w:tab/>
      </w:r>
    </w:p>
    <w:p w14:paraId="255AA751" w14:textId="77777777" w:rsidR="00436E4E" w:rsidRPr="002E1D22" w:rsidRDefault="00436E4E">
      <w:pPr>
        <w:rPr>
          <w:rFonts w:cs="FrankRuehl"/>
          <w:sz w:val="26"/>
          <w:szCs w:val="26"/>
          <w:rtl/>
        </w:rPr>
      </w:pPr>
      <w:r w:rsidRPr="002E1D22">
        <w:rPr>
          <w:rFonts w:cs="FrankRuehl"/>
          <w:sz w:val="26"/>
          <w:szCs w:val="26"/>
          <w:rtl/>
        </w:rPr>
        <w:t>לכבוד,</w:t>
      </w:r>
    </w:p>
    <w:p w14:paraId="21D183C7" w14:textId="77777777" w:rsidR="00436E4E" w:rsidRPr="002E1D22" w:rsidRDefault="00436E4E">
      <w:pPr>
        <w:rPr>
          <w:rFonts w:cs="FrankRuehl"/>
          <w:sz w:val="26"/>
          <w:szCs w:val="26"/>
          <w:rtl/>
        </w:rPr>
      </w:pPr>
      <w:r w:rsidRPr="002E1D22">
        <w:rPr>
          <w:rFonts w:cs="FrankRuehl"/>
          <w:sz w:val="26"/>
          <w:szCs w:val="26"/>
          <w:rtl/>
        </w:rPr>
        <w:t>יו"ר ועדת הכספים</w:t>
      </w:r>
    </w:p>
    <w:p w14:paraId="7DB9295A" w14:textId="77777777" w:rsidR="00436E4E" w:rsidRPr="002E1D22" w:rsidRDefault="00436E4E">
      <w:pPr>
        <w:rPr>
          <w:rFonts w:cs="FrankRuehl"/>
          <w:sz w:val="26"/>
          <w:szCs w:val="26"/>
          <w:rtl/>
        </w:rPr>
      </w:pPr>
      <w:r w:rsidRPr="002E1D22">
        <w:rPr>
          <w:rFonts w:cs="FrankRuehl"/>
          <w:sz w:val="26"/>
          <w:szCs w:val="26"/>
          <w:rtl/>
        </w:rPr>
        <w:t>של הכנסת</w:t>
      </w:r>
    </w:p>
    <w:p w14:paraId="43746D83" w14:textId="77777777" w:rsidR="00436E4E" w:rsidRPr="002E1D22" w:rsidRDefault="00436E4E">
      <w:pPr>
        <w:rPr>
          <w:rFonts w:cs="FrankRuehl"/>
          <w:sz w:val="26"/>
          <w:szCs w:val="26"/>
          <w:rtl/>
        </w:rPr>
      </w:pPr>
    </w:p>
    <w:p w14:paraId="649A1254" w14:textId="77777777" w:rsidR="00436E4E" w:rsidRPr="002E1D22" w:rsidRDefault="00436E4E">
      <w:pPr>
        <w:rPr>
          <w:rFonts w:cs="FrankRuehl"/>
          <w:sz w:val="26"/>
          <w:szCs w:val="26"/>
          <w:rtl/>
        </w:rPr>
      </w:pPr>
      <w:r w:rsidRPr="002E1D22">
        <w:rPr>
          <w:rFonts w:cs="FrankRuehl"/>
          <w:sz w:val="26"/>
          <w:szCs w:val="26"/>
          <w:rtl/>
        </w:rPr>
        <w:t>א.נ.,</w:t>
      </w:r>
    </w:p>
    <w:p w14:paraId="05BE1542" w14:textId="77777777" w:rsidR="00436E4E" w:rsidRPr="002E1D22" w:rsidRDefault="00436E4E">
      <w:pPr>
        <w:rPr>
          <w:rFonts w:cs="FrankRuehl"/>
          <w:sz w:val="26"/>
          <w:szCs w:val="26"/>
          <w:rtl/>
        </w:rPr>
      </w:pPr>
    </w:p>
    <w:p w14:paraId="6842384D" w14:textId="0309B1C5"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C91031">
        <w:rPr>
          <w:rFonts w:cs="FrankRuehl"/>
          <w:sz w:val="26"/>
          <w:rtl/>
        </w:rPr>
        <w:t>2026</w:t>
      </w:r>
      <w:bookmarkEnd w:id="5"/>
      <w:r w:rsidRPr="002E1D22">
        <w:rPr>
          <w:rFonts w:cs="FrankRuehl"/>
          <w:sz w:val="26"/>
          <w:rtl/>
        </w:rPr>
        <w:t xml:space="preserve">     </w:t>
      </w:r>
    </w:p>
    <w:p w14:paraId="4F76CC12" w14:textId="77777777" w:rsidR="00436E4E" w:rsidRPr="002E1D22" w:rsidRDefault="00436E4E" w:rsidP="002E1D22">
      <w:pPr>
        <w:jc w:val="both"/>
        <w:rPr>
          <w:rFonts w:cs="FrankRuehl"/>
          <w:sz w:val="26"/>
          <w:szCs w:val="26"/>
          <w:rtl/>
        </w:rPr>
      </w:pPr>
    </w:p>
    <w:p w14:paraId="1B7FB02C" w14:textId="27027806" w:rsidR="00436E4E" w:rsidRPr="002E1D22" w:rsidRDefault="00436E4E" w:rsidP="002A6881">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2A6881">
        <w:rPr>
          <w:rFonts w:cs="FrankRuehl" w:hint="cs"/>
          <w:sz w:val="26"/>
          <w:szCs w:val="26"/>
          <w:rtl/>
        </w:rPr>
        <w:t>-</w:t>
      </w:r>
      <w:r w:rsidR="00C91031">
        <w:rPr>
          <w:rFonts w:cs="FrankRuehl"/>
          <w:sz w:val="26"/>
          <w:szCs w:val="26"/>
          <w:rtl/>
        </w:rPr>
        <w:t>669,392</w:t>
      </w:r>
      <w:bookmarkEnd w:id="6"/>
      <w:r w:rsidRPr="002E1D22">
        <w:rPr>
          <w:rFonts w:cs="FrankRuehl"/>
          <w:sz w:val="26"/>
          <w:szCs w:val="26"/>
          <w:rtl/>
        </w:rPr>
        <w:t xml:space="preserve"> אלפי שקלים חדשים</w:t>
      </w:r>
      <w:r w:rsidR="00A559BC">
        <w:rPr>
          <w:rFonts w:cs="FrankRuehl" w:hint="cs"/>
          <w:sz w:val="26"/>
          <w:szCs w:val="26"/>
          <w:rtl/>
        </w:rPr>
        <w:t xml:space="preserve"> ו</w:t>
      </w:r>
      <w:r w:rsidR="00A559BC" w:rsidRPr="002E1D22">
        <w:rPr>
          <w:rFonts w:cs="FrankRuehl"/>
          <w:sz w:val="26"/>
          <w:szCs w:val="26"/>
          <w:rtl/>
        </w:rPr>
        <w:t>סכום של</w:t>
      </w:r>
      <w:r w:rsidR="00A559BC">
        <w:rPr>
          <w:rFonts w:cs="FrankRuehl" w:hint="cs"/>
          <w:sz w:val="26"/>
          <w:szCs w:val="26"/>
          <w:rtl/>
        </w:rPr>
        <w:t xml:space="preserve"> </w:t>
      </w:r>
      <w:r w:rsidR="00DD0DEF">
        <w:rPr>
          <w:rFonts w:cs="FrankRuehl" w:hint="cs"/>
          <w:sz w:val="26"/>
          <w:szCs w:val="26"/>
          <w:rtl/>
        </w:rPr>
        <w:t>-</w:t>
      </w:r>
      <w:r w:rsidR="00A559BC">
        <w:rPr>
          <w:rFonts w:cs="FrankRuehl" w:hint="cs"/>
          <w:sz w:val="26"/>
          <w:szCs w:val="26"/>
          <w:rtl/>
        </w:rPr>
        <w:t>592,940 אלפי שקלים חדשים בהרשאה להתחייב</w:t>
      </w:r>
      <w:r w:rsidR="00DD0DEF">
        <w:rPr>
          <w:rFonts w:cs="FrankRuehl" w:hint="cs"/>
          <w:sz w:val="26"/>
          <w:szCs w:val="26"/>
          <w:rtl/>
        </w:rPr>
        <w:t xml:space="preserve"> </w:t>
      </w:r>
      <w:r w:rsidR="00DD0DEF">
        <w:rPr>
          <w:rFonts w:cs="FrankRuehl"/>
          <w:sz w:val="26"/>
          <w:szCs w:val="26"/>
          <w:rtl/>
        </w:rPr>
        <w:t>מסעיפי המשרד השונים</w:t>
      </w:r>
      <w:r w:rsidRPr="002E1D22">
        <w:rPr>
          <w:rFonts w:cs="FrankRuehl"/>
          <w:sz w:val="26"/>
          <w:szCs w:val="26"/>
          <w:rtl/>
        </w:rPr>
        <w:t xml:space="preserve">, לסעיף </w:t>
      </w:r>
      <w:r w:rsidR="00DD0DEF" w:rsidRPr="002E1D22">
        <w:rPr>
          <w:rFonts w:cs="FrankRuehl"/>
          <w:sz w:val="26"/>
          <w:szCs w:val="26"/>
          <w:rtl/>
        </w:rPr>
        <w:t>47 - רזרבה כללית</w:t>
      </w:r>
      <w:r w:rsidRPr="002E1D22">
        <w:rPr>
          <w:rFonts w:cs="FrankRuehl"/>
          <w:sz w:val="26"/>
          <w:szCs w:val="26"/>
          <w:rtl/>
        </w:rPr>
        <w:t>, בהתאם לסעיף 11 (ה) לחוק יסודות התקציב התשמ"ה - 1985.</w:t>
      </w:r>
    </w:p>
    <w:p w14:paraId="0C965577" w14:textId="77777777" w:rsidR="00436E4E" w:rsidRPr="002E1D22" w:rsidRDefault="00436E4E" w:rsidP="002A6881">
      <w:pPr>
        <w:jc w:val="both"/>
        <w:rPr>
          <w:rFonts w:cs="FrankRuehl"/>
          <w:sz w:val="26"/>
          <w:szCs w:val="26"/>
          <w:rtl/>
        </w:rPr>
      </w:pPr>
    </w:p>
    <w:p w14:paraId="462AE295" w14:textId="3EE7BC57" w:rsidR="00436E4E" w:rsidRPr="002E1D22" w:rsidRDefault="00436E4E" w:rsidP="002A6881">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של </w:t>
      </w:r>
      <w:r w:rsidR="002A6881">
        <w:rPr>
          <w:rFonts w:cs="FrankRuehl"/>
          <w:sz w:val="26"/>
          <w:szCs w:val="26"/>
          <w:rtl/>
        </w:rPr>
        <w:t>669,392</w:t>
      </w:r>
      <w:r w:rsidRPr="002E1D22">
        <w:rPr>
          <w:rFonts w:cs="FrankRuehl"/>
          <w:sz w:val="26"/>
          <w:szCs w:val="26"/>
          <w:rtl/>
        </w:rPr>
        <w:t xml:space="preserve"> אלפי שקלים חדשים</w:t>
      </w:r>
      <w:r w:rsidR="00DD0DEF">
        <w:rPr>
          <w:rFonts w:cs="FrankRuehl" w:hint="cs"/>
          <w:sz w:val="26"/>
          <w:szCs w:val="26"/>
          <w:rtl/>
        </w:rPr>
        <w:t xml:space="preserve"> ו</w:t>
      </w:r>
      <w:r w:rsidR="00DD0DEF" w:rsidRPr="002E1D22">
        <w:rPr>
          <w:rFonts w:cs="FrankRuehl"/>
          <w:sz w:val="26"/>
          <w:szCs w:val="26"/>
          <w:rtl/>
        </w:rPr>
        <w:t>סכום של</w:t>
      </w:r>
      <w:r w:rsidR="00DD0DEF">
        <w:rPr>
          <w:rFonts w:cs="FrankRuehl" w:hint="cs"/>
          <w:sz w:val="26"/>
          <w:szCs w:val="26"/>
          <w:rtl/>
        </w:rPr>
        <w:t xml:space="preserve"> 330,000</w:t>
      </w:r>
      <w:r w:rsidRPr="002E1D22">
        <w:rPr>
          <w:rFonts w:cs="FrankRuehl"/>
          <w:sz w:val="26"/>
          <w:szCs w:val="26"/>
          <w:rtl/>
        </w:rPr>
        <w:t xml:space="preserve"> </w:t>
      </w:r>
      <w:r w:rsidR="00DD0DEF">
        <w:rPr>
          <w:rFonts w:cs="FrankRuehl" w:hint="cs"/>
          <w:sz w:val="26"/>
          <w:szCs w:val="26"/>
          <w:rtl/>
        </w:rPr>
        <w:t xml:space="preserve">אלפי שקלים חדשים בהרשאה להתחייב </w:t>
      </w:r>
      <w:r w:rsidRPr="002E1D22">
        <w:rPr>
          <w:rFonts w:cs="FrankRuehl"/>
          <w:sz w:val="26"/>
          <w:szCs w:val="26"/>
          <w:rtl/>
        </w:rPr>
        <w:t xml:space="preserve">מסעיף 47 - רזרבה כללית לסעיף </w:t>
      </w:r>
      <w:r w:rsidR="002A6881">
        <w:rPr>
          <w:rFonts w:ascii="FrankRuehl" w:hAnsi="FrankRuehl" w:cs="FrankRuehl"/>
          <w:sz w:val="26"/>
          <w:szCs w:val="26"/>
          <w:rtl/>
        </w:rPr>
        <w:t>16 - הוצאות חירום אזרחיות</w:t>
      </w:r>
      <w:r w:rsidR="00DD0DEF">
        <w:rPr>
          <w:rFonts w:cs="FrankRuehl" w:hint="cs"/>
          <w:sz w:val="26"/>
          <w:szCs w:val="26"/>
          <w:rtl/>
        </w:rPr>
        <w:t>,</w:t>
      </w:r>
      <w:r w:rsidRPr="002E1D22">
        <w:rPr>
          <w:rFonts w:cs="FrankRuehl"/>
          <w:sz w:val="26"/>
          <w:szCs w:val="26"/>
          <w:rtl/>
        </w:rPr>
        <w:t xml:space="preserve"> בהתאם לסעיף 12 (א)</w:t>
      </w:r>
      <w:r w:rsidR="002A6881">
        <w:rPr>
          <w:rFonts w:cs="FrankRuehl" w:hint="cs"/>
          <w:sz w:val="26"/>
          <w:szCs w:val="26"/>
          <w:rtl/>
        </w:rPr>
        <w:t xml:space="preserve"> </w:t>
      </w:r>
      <w:r w:rsidRPr="002E1D22">
        <w:rPr>
          <w:rFonts w:cs="FrankRuehl"/>
          <w:sz w:val="26"/>
          <w:szCs w:val="26"/>
          <w:rtl/>
        </w:rPr>
        <w:t>לחוק יסודות התקציב, התשמ"ה - 1985, כמפורט בתדפיס המצורף בזה.</w:t>
      </w:r>
    </w:p>
    <w:p w14:paraId="76434B43" w14:textId="1BDC3291" w:rsidR="00436E4E" w:rsidRDefault="00436E4E" w:rsidP="002A6881">
      <w:pPr>
        <w:jc w:val="both"/>
        <w:rPr>
          <w:rFonts w:cs="FrankRuehl"/>
          <w:sz w:val="26"/>
          <w:szCs w:val="26"/>
          <w:rtl/>
        </w:rPr>
      </w:pPr>
    </w:p>
    <w:p w14:paraId="527518F7" w14:textId="7ED695B8" w:rsidR="002A6881" w:rsidRDefault="002A6881" w:rsidP="002A6881">
      <w:pPr>
        <w:jc w:val="both"/>
        <w:rPr>
          <w:rFonts w:ascii="FrankRuehl" w:hAnsi="FrankRuehl" w:cs="FrankRuehl"/>
          <w:sz w:val="26"/>
          <w:szCs w:val="26"/>
          <w:rtl/>
          <w:lang w:eastAsia="en-US"/>
        </w:rPr>
      </w:pPr>
      <w:r>
        <w:rPr>
          <w:rFonts w:ascii="FrankRuehl" w:hAnsi="FrankRuehl" w:cs="FrankRuehl"/>
          <w:b/>
          <w:bCs/>
          <w:sz w:val="26"/>
          <w:szCs w:val="26"/>
          <w:rtl/>
        </w:rPr>
        <w:t xml:space="preserve">הבקשה דנה בסעיף תקציבי: </w:t>
      </w:r>
      <w:r>
        <w:rPr>
          <w:rFonts w:ascii="FrankRuehl" w:hAnsi="FrankRuehl" w:cs="FrankRuehl"/>
          <w:sz w:val="26"/>
          <w:szCs w:val="26"/>
          <w:rtl/>
        </w:rPr>
        <w:t>16 - הוצאות חירום אזרחיות</w:t>
      </w:r>
    </w:p>
    <w:p w14:paraId="093AC189" w14:textId="77777777" w:rsidR="002A6881" w:rsidRDefault="002A6881" w:rsidP="002A6881">
      <w:pPr>
        <w:jc w:val="both"/>
        <w:rPr>
          <w:rFonts w:ascii="FrankRuehl" w:hAnsi="FrankRuehl" w:cs="FrankRuehl"/>
          <w:sz w:val="26"/>
          <w:szCs w:val="26"/>
          <w:lang w:eastAsia="en-US"/>
        </w:rPr>
      </w:pPr>
    </w:p>
    <w:p w14:paraId="714BACDF" w14:textId="77777777" w:rsidR="002A6881" w:rsidRDefault="002A6881" w:rsidP="002A6881">
      <w:pPr>
        <w:jc w:val="both"/>
        <w:rPr>
          <w:rFonts w:ascii="FrankRuehl" w:hAnsi="FrankRuehl" w:cs="FrankRuehl"/>
          <w:sz w:val="26"/>
          <w:szCs w:val="26"/>
        </w:rPr>
      </w:pPr>
      <w:r>
        <w:rPr>
          <w:rFonts w:ascii="FrankRuehl" w:hAnsi="FrankRuehl" w:cs="FrankRuehl"/>
          <w:b/>
          <w:bCs/>
          <w:sz w:val="26"/>
          <w:szCs w:val="26"/>
          <w:rtl/>
        </w:rPr>
        <w:t>עיקרי הפנייה:</w:t>
      </w:r>
      <w:r>
        <w:rPr>
          <w:rFonts w:ascii="FrankRuehl" w:hAnsi="FrankRuehl" w:cs="FrankRuehl"/>
          <w:sz w:val="26"/>
          <w:szCs w:val="26"/>
          <w:rtl/>
        </w:rPr>
        <w:t xml:space="preserve"> </w:t>
      </w:r>
    </w:p>
    <w:p w14:paraId="7F33CB7D" w14:textId="565D8BAA" w:rsidR="002A6881" w:rsidRDefault="002A6881" w:rsidP="002A6881">
      <w:pPr>
        <w:jc w:val="both"/>
        <w:rPr>
          <w:rFonts w:ascii="FrankRuehl" w:hAnsi="FrankRuehl" w:cs="FrankRuehl"/>
          <w:sz w:val="26"/>
          <w:szCs w:val="26"/>
          <w:highlight w:val="yellow"/>
          <w:u w:val="single"/>
          <w:rtl/>
        </w:rPr>
      </w:pPr>
      <w:r>
        <w:rPr>
          <w:rFonts w:ascii="FrankRuehl" w:hAnsi="FrankRuehl" w:cs="FrankRuehl"/>
          <w:sz w:val="26"/>
          <w:szCs w:val="26"/>
          <w:rtl/>
        </w:rPr>
        <w:t>הפני</w:t>
      </w:r>
      <w:r w:rsidR="00DD0DEF">
        <w:rPr>
          <w:rFonts w:ascii="FrankRuehl" w:hAnsi="FrankRuehl" w:cs="FrankRuehl" w:hint="cs"/>
          <w:sz w:val="26"/>
          <w:szCs w:val="26"/>
          <w:rtl/>
        </w:rPr>
        <w:t>י</w:t>
      </w:r>
      <w:r>
        <w:rPr>
          <w:rFonts w:ascii="FrankRuehl" w:hAnsi="FrankRuehl" w:cs="FrankRuehl"/>
          <w:sz w:val="26"/>
          <w:szCs w:val="26"/>
          <w:rtl/>
        </w:rPr>
        <w:t>ה התקציבית נועדה לתקצוב סך של 669,392 אלפי ש"ח בהוצאה ו</w:t>
      </w:r>
      <w:r w:rsidR="00DD0DEF">
        <w:rPr>
          <w:rFonts w:ascii="FrankRuehl" w:hAnsi="FrankRuehl" w:cs="FrankRuehl"/>
          <w:sz w:val="26"/>
          <w:szCs w:val="26"/>
          <w:rtl/>
        </w:rPr>
        <w:t xml:space="preserve">סך של </w:t>
      </w:r>
      <w:r>
        <w:rPr>
          <w:rFonts w:ascii="FrankRuehl" w:hAnsi="FrankRuehl" w:cs="FrankRuehl"/>
          <w:sz w:val="26"/>
          <w:szCs w:val="26"/>
          <w:rtl/>
        </w:rPr>
        <w:t>330,000 אלפי ש"ח בהרשאה להתחייב עבור יישום החלטת הממשלה למיגון היישובים בטווח 0-9 ק"מ מגבול הצפון.</w:t>
      </w:r>
    </w:p>
    <w:p w14:paraId="01126A95" w14:textId="77777777" w:rsidR="002A6881" w:rsidRDefault="002A6881" w:rsidP="002A6881">
      <w:pPr>
        <w:jc w:val="both"/>
        <w:rPr>
          <w:rFonts w:ascii="FrankRuehl" w:hAnsi="FrankRuehl" w:cs="FrankRuehl"/>
          <w:b/>
          <w:bCs/>
          <w:sz w:val="26"/>
          <w:szCs w:val="26"/>
        </w:rPr>
      </w:pPr>
    </w:p>
    <w:p w14:paraId="3A8F8675" w14:textId="77777777" w:rsidR="002A6881" w:rsidRPr="002A6881" w:rsidRDefault="002A6881" w:rsidP="002A6881">
      <w:pPr>
        <w:jc w:val="both"/>
        <w:rPr>
          <w:rFonts w:ascii="FrankRuehl" w:hAnsi="FrankRuehl" w:cs="FrankRuehl"/>
          <w:b/>
          <w:bCs/>
          <w:sz w:val="26"/>
          <w:szCs w:val="26"/>
          <w:rtl/>
        </w:rPr>
      </w:pPr>
      <w:r w:rsidRPr="002A6881">
        <w:rPr>
          <w:rFonts w:ascii="FrankRuehl" w:hAnsi="FrankRuehl" w:cs="FrankRuehl"/>
          <w:b/>
          <w:bCs/>
          <w:sz w:val="26"/>
          <w:szCs w:val="26"/>
          <w:rtl/>
        </w:rPr>
        <w:t>עיקרי הפנייה התקציבית בחלוקה לתוכניות מובאים להלן:</w:t>
      </w:r>
    </w:p>
    <w:p w14:paraId="2F26166A" w14:textId="77777777" w:rsidR="002A6881" w:rsidRDefault="002A6881" w:rsidP="002A6881">
      <w:pPr>
        <w:jc w:val="both"/>
        <w:rPr>
          <w:rFonts w:ascii="FrankRuehl" w:hAnsi="FrankRuehl" w:cs="FrankRuehl"/>
          <w:b/>
          <w:bCs/>
          <w:sz w:val="26"/>
          <w:szCs w:val="26"/>
          <w:rtl/>
        </w:rPr>
      </w:pPr>
      <w:r>
        <w:rPr>
          <w:rFonts w:ascii="FrankRuehl" w:hAnsi="FrankRuehl" w:cs="FrankRuehl"/>
          <w:b/>
          <w:bCs/>
          <w:sz w:val="26"/>
          <w:szCs w:val="26"/>
          <w:rtl/>
        </w:rPr>
        <w:t xml:space="preserve">161605 – מיגון העורף - </w:t>
      </w:r>
      <w:bookmarkStart w:id="7" w:name="_Hlk235352903"/>
      <w:r>
        <w:rPr>
          <w:rFonts w:ascii="FrankRuehl" w:hAnsi="FrankRuehl" w:cs="FrankRuehl"/>
          <w:b/>
          <w:bCs/>
          <w:sz w:val="26"/>
          <w:szCs w:val="26"/>
          <w:rtl/>
        </w:rPr>
        <w:t>תקצוב סך של 669,392 אלפי ש"ח בהוצאה וסך של 330,000 אלפי ש"ח בהרשאה להתחייב</w:t>
      </w:r>
    </w:p>
    <w:bookmarkEnd w:id="7"/>
    <w:p w14:paraId="6336B2A1" w14:textId="77777777" w:rsidR="002A6881" w:rsidRDefault="002A6881" w:rsidP="002A6881">
      <w:pPr>
        <w:jc w:val="both"/>
        <w:rPr>
          <w:rFonts w:ascii="FrankRuehl" w:hAnsi="FrankRuehl" w:cs="FrankRuehl"/>
          <w:b/>
          <w:bCs/>
          <w:sz w:val="26"/>
          <w:szCs w:val="26"/>
        </w:rPr>
      </w:pPr>
      <w:r>
        <w:rPr>
          <w:rFonts w:ascii="FrankRuehl" w:hAnsi="FrankRuehl" w:cs="FrankRuehl"/>
          <w:b/>
          <w:bCs/>
          <w:sz w:val="26"/>
          <w:szCs w:val="26"/>
          <w:rtl/>
        </w:rPr>
        <w:t xml:space="preserve">תיאור התוכנית: </w:t>
      </w:r>
      <w:r>
        <w:rPr>
          <w:rFonts w:ascii="FrankRuehl" w:hAnsi="FrankRuehl" w:cs="FrankRuehl"/>
          <w:sz w:val="26"/>
          <w:szCs w:val="26"/>
          <w:rtl/>
        </w:rPr>
        <w:t>תכנית זו מיועדת לפרויקט לאומי למיגון במסגרת תכנית מגן העורף. התכנית מיישמת את החלטת ועדת השרים לענייני ביטחון לאומי מספר ב302/ מיום 16 ביולי 2018 שעיקרה "מוכנות העורף האזרחי למצבי חירום", הכוללת מענה למיגון פרטי (ממ"דים, ממ"קים) באיזור קו העימות בצפון הארץ וכן שיפוץ מקלטים פרטיים וציבוריים, מיגון מרחבי (מיגוניות) ומיגון מוסדות בריאות, חינוך ורווחה, ביישובי הצפון והדרום</w:t>
      </w:r>
      <w:r>
        <w:rPr>
          <w:rFonts w:ascii="FrankRuehl" w:hAnsi="FrankRuehl" w:cs="FrankRuehl"/>
          <w:b/>
          <w:bCs/>
          <w:sz w:val="26"/>
          <w:szCs w:val="26"/>
          <w:rtl/>
        </w:rPr>
        <w:t>.</w:t>
      </w:r>
    </w:p>
    <w:p w14:paraId="446FA753" w14:textId="77777777" w:rsidR="002A6881" w:rsidRDefault="002A6881" w:rsidP="002A6881">
      <w:pPr>
        <w:jc w:val="both"/>
        <w:rPr>
          <w:rFonts w:ascii="FrankRuehl" w:hAnsi="FrankRuehl" w:cs="FrankRuehl"/>
          <w:sz w:val="26"/>
          <w:szCs w:val="26"/>
          <w:rtl/>
        </w:rPr>
      </w:pPr>
      <w:r>
        <w:rPr>
          <w:rFonts w:ascii="FrankRuehl" w:hAnsi="FrankRuehl" w:cs="FrankRuehl"/>
          <w:b/>
          <w:bCs/>
          <w:sz w:val="26"/>
          <w:szCs w:val="26"/>
          <w:rtl/>
        </w:rPr>
        <w:t xml:space="preserve">מטרת השינוי: </w:t>
      </w:r>
    </w:p>
    <w:p w14:paraId="0A72F705" w14:textId="344DDE53" w:rsidR="002A6881" w:rsidRDefault="002A6881" w:rsidP="002A6881">
      <w:pPr>
        <w:jc w:val="both"/>
        <w:rPr>
          <w:rFonts w:ascii="FrankRuehl" w:hAnsi="FrankRuehl" w:cs="FrankRuehl"/>
          <w:sz w:val="26"/>
          <w:szCs w:val="26"/>
          <w:rtl/>
        </w:rPr>
      </w:pPr>
      <w:r>
        <w:rPr>
          <w:rFonts w:ascii="FrankRuehl" w:hAnsi="FrankRuehl" w:cs="FrankRuehl"/>
          <w:sz w:val="26"/>
          <w:szCs w:val="26"/>
          <w:rtl/>
        </w:rPr>
        <w:t xml:space="preserve">תקצוב סך של 669,392 אלפי ש"ח בהוצאה וסך של 330,000 אלפי ש"ח בהרשאה להתחייב, עבור יישום </w:t>
      </w:r>
      <w:hyperlink r:id="rId6" w:history="1">
        <w:r>
          <w:rPr>
            <w:rStyle w:val="Hyperlink"/>
            <w:rFonts w:ascii="FrankRuehl" w:hAnsi="FrankRuehl" w:cs="FrankRuehl"/>
            <w:sz w:val="26"/>
            <w:szCs w:val="26"/>
            <w:rtl/>
          </w:rPr>
          <w:t>החלטת הממשלה מס' 4195</w:t>
        </w:r>
      </w:hyperlink>
      <w:r>
        <w:rPr>
          <w:rFonts w:ascii="FrankRuehl" w:hAnsi="FrankRuehl" w:cs="FrankRuehl"/>
          <w:sz w:val="26"/>
          <w:szCs w:val="26"/>
          <w:rtl/>
        </w:rPr>
        <w:t xml:space="preserve"> מיום 2 ביוני 2026 שעניינה "תוכנית להשלמה ולהאצה של המיגון ביישובים בטווח 9-0 ק"מ מגבול לבנון". התקצוב נועד להגדלת גובה המענק ברשימת היישובים הזכאיים לתוכנית מענקים לתמרוץ בניית ממ"ד בבית פרטי.</w:t>
      </w:r>
    </w:p>
    <w:p w14:paraId="2A56F4DD" w14:textId="77777777" w:rsidR="002A6881" w:rsidRDefault="002A6881" w:rsidP="002A6881">
      <w:pPr>
        <w:jc w:val="both"/>
        <w:rPr>
          <w:rFonts w:ascii="FrankRuehl" w:hAnsi="FrankRuehl" w:cs="FrankRuehl"/>
          <w:sz w:val="26"/>
          <w:szCs w:val="26"/>
          <w:rtl/>
        </w:rPr>
      </w:pPr>
    </w:p>
    <w:p w14:paraId="777B2273" w14:textId="77777777" w:rsidR="002A6881" w:rsidRDefault="002A6881" w:rsidP="002A6881">
      <w:pPr>
        <w:jc w:val="both"/>
        <w:rPr>
          <w:rFonts w:ascii="FrankRuehl" w:hAnsi="FrankRuehl" w:cs="FrankRuehl"/>
          <w:b/>
          <w:bCs/>
          <w:sz w:val="26"/>
          <w:szCs w:val="26"/>
          <w:rtl/>
        </w:rPr>
      </w:pP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b/>
          <w:bCs/>
          <w:sz w:val="26"/>
          <w:szCs w:val="26"/>
          <w:rtl/>
        </w:rPr>
        <w:t>השפעה על כוח אדם:</w:t>
      </w:r>
      <w:r>
        <w:rPr>
          <w:rFonts w:ascii="FrankRuehl" w:hAnsi="FrankRuehl" w:cs="FrankRuehl"/>
          <w:sz w:val="26"/>
          <w:szCs w:val="26"/>
          <w:rtl/>
        </w:rPr>
        <w:t xml:space="preserve"> אין</w:t>
      </w:r>
      <w:r>
        <w:rPr>
          <w:rFonts w:ascii="FrankRuehl" w:hAnsi="FrankRuehl" w:cs="FrankRuehl"/>
          <w:b/>
          <w:bCs/>
          <w:sz w:val="26"/>
          <w:szCs w:val="26"/>
          <w:rtl/>
        </w:rPr>
        <w:t>.</w:t>
      </w:r>
    </w:p>
    <w:p w14:paraId="49E5995A" w14:textId="77777777" w:rsidR="002A6881" w:rsidRDefault="002A6881" w:rsidP="002A6881">
      <w:pPr>
        <w:rPr>
          <w:rFonts w:cs="FrankRuehl"/>
          <w:sz w:val="26"/>
          <w:szCs w:val="26"/>
        </w:rPr>
      </w:pPr>
    </w:p>
    <w:p w14:paraId="698CA8EF" w14:textId="77777777" w:rsidR="002A6881" w:rsidRPr="002E1D22" w:rsidRDefault="002A6881">
      <w:pPr>
        <w:rPr>
          <w:rFonts w:cs="FrankRuehl"/>
          <w:sz w:val="26"/>
          <w:szCs w:val="26"/>
          <w:rtl/>
        </w:rPr>
      </w:pPr>
    </w:p>
    <w:p w14:paraId="0EAB4114" w14:textId="77777777" w:rsidR="00436E4E" w:rsidRPr="002E1D22" w:rsidRDefault="00436E4E">
      <w:pPr>
        <w:rPr>
          <w:rFonts w:cs="FrankRuehl"/>
          <w:sz w:val="26"/>
          <w:szCs w:val="26"/>
          <w:rtl/>
        </w:rPr>
      </w:pPr>
    </w:p>
    <w:p w14:paraId="5AEC59EE" w14:textId="77777777" w:rsidR="00436E4E" w:rsidRPr="002E1D22" w:rsidRDefault="00436E4E">
      <w:pPr>
        <w:tabs>
          <w:tab w:val="center" w:pos="6867"/>
        </w:tabs>
        <w:rPr>
          <w:rFonts w:cs="FrankRuehl"/>
          <w:sz w:val="26"/>
          <w:szCs w:val="26"/>
          <w:rtl/>
        </w:rPr>
      </w:pPr>
    </w:p>
    <w:p w14:paraId="3842EC1C" w14:textId="77777777" w:rsidR="00436E4E" w:rsidRPr="002E1D22" w:rsidRDefault="00436E4E">
      <w:pPr>
        <w:tabs>
          <w:tab w:val="center" w:pos="6867"/>
        </w:tabs>
        <w:rPr>
          <w:rFonts w:cs="FrankRuehl"/>
          <w:sz w:val="26"/>
          <w:szCs w:val="26"/>
          <w:rtl/>
        </w:rPr>
      </w:pPr>
      <w:r w:rsidRPr="002E1D22">
        <w:rPr>
          <w:rFonts w:cs="FrankRuehl"/>
          <w:sz w:val="26"/>
          <w:szCs w:val="26"/>
          <w:rtl/>
        </w:rPr>
        <w:lastRenderedPageBreak/>
        <w:tab/>
        <w:t>בכבוד רב,</w:t>
      </w:r>
    </w:p>
    <w:p w14:paraId="7A68B02E" w14:textId="77777777" w:rsidR="00436E4E" w:rsidRDefault="00C13197">
      <w:pPr>
        <w:tabs>
          <w:tab w:val="center" w:pos="6867"/>
        </w:tabs>
        <w:rPr>
          <w:rFonts w:cs="FrankRuehl"/>
          <w:sz w:val="26"/>
          <w:szCs w:val="26"/>
          <w:rtl/>
        </w:rPr>
      </w:pPr>
      <w:r>
        <w:rPr>
          <w:rFonts w:cs="FrankRuehl"/>
          <w:sz w:val="26"/>
          <w:szCs w:val="26"/>
          <w:rtl/>
        </w:rPr>
        <w:tab/>
      </w:r>
    </w:p>
    <w:p w14:paraId="1D3BD5E4" w14:textId="77777777" w:rsidR="00C13197" w:rsidRPr="002E1D22" w:rsidRDefault="00C13197">
      <w:pPr>
        <w:tabs>
          <w:tab w:val="center" w:pos="6867"/>
        </w:tabs>
        <w:rPr>
          <w:rFonts w:cs="FrankRuehl"/>
          <w:sz w:val="26"/>
          <w:szCs w:val="26"/>
        </w:rPr>
      </w:pPr>
      <w:r>
        <w:rPr>
          <w:rFonts w:cs="FrankRuehl"/>
          <w:sz w:val="26"/>
          <w:szCs w:val="26"/>
          <w:rtl/>
        </w:rPr>
        <w:tab/>
      </w:r>
      <w:bookmarkStart w:id="8" w:name="Sign_Image"/>
      <w:bookmarkEnd w:id="8"/>
    </w:p>
    <w:p w14:paraId="1B894500"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7C28DB2D"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466D46CE"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6942379B" w14:textId="77777777" w:rsidR="00436E4E" w:rsidRPr="002E1D22" w:rsidRDefault="00436E4E">
      <w:pPr>
        <w:rPr>
          <w:rFonts w:cs="FrankRuehl"/>
          <w:sz w:val="26"/>
          <w:szCs w:val="26"/>
          <w:rtl/>
        </w:rPr>
      </w:pPr>
      <w:r w:rsidRPr="002E1D22">
        <w:rPr>
          <w:rFonts w:cs="FrankRuehl"/>
          <w:sz w:val="26"/>
          <w:szCs w:val="26"/>
          <w:rtl/>
        </w:rPr>
        <w:t>העתק:</w:t>
      </w:r>
    </w:p>
    <w:p w14:paraId="2C5C2F4B" w14:textId="77777777" w:rsidR="00436E4E" w:rsidRPr="002E1D22" w:rsidRDefault="00436E4E">
      <w:pPr>
        <w:rPr>
          <w:rFonts w:cs="FrankRuehl"/>
          <w:sz w:val="26"/>
          <w:szCs w:val="26"/>
          <w:rtl/>
        </w:rPr>
      </w:pPr>
      <w:r w:rsidRPr="002E1D22">
        <w:rPr>
          <w:rFonts w:cs="FrankRuehl"/>
          <w:sz w:val="26"/>
          <w:szCs w:val="26"/>
          <w:rtl/>
        </w:rPr>
        <w:t>החשב הכללי</w:t>
      </w:r>
    </w:p>
    <w:p w14:paraId="678F1EFE" w14:textId="77777777" w:rsidR="00436E4E" w:rsidRPr="002E1D22" w:rsidRDefault="00436E4E">
      <w:pPr>
        <w:rPr>
          <w:rFonts w:cs="FrankRuehl"/>
          <w:sz w:val="26"/>
          <w:szCs w:val="26"/>
          <w:rtl/>
        </w:rPr>
      </w:pPr>
      <w:r w:rsidRPr="002E1D22">
        <w:rPr>
          <w:rFonts w:cs="FrankRuehl"/>
          <w:sz w:val="26"/>
          <w:szCs w:val="26"/>
          <w:rtl/>
        </w:rPr>
        <w:t>מבקר המדינה (2)</w:t>
      </w:r>
    </w:p>
    <w:p w14:paraId="78A4F2CD" w14:textId="62FB3074" w:rsidR="00436E4E" w:rsidRPr="002E1D22" w:rsidRDefault="00C91031">
      <w:pPr>
        <w:rPr>
          <w:rFonts w:cs="FrankRuehl"/>
          <w:sz w:val="26"/>
          <w:szCs w:val="26"/>
          <w:rtl/>
        </w:rPr>
      </w:pPr>
      <w:bookmarkStart w:id="9" w:name="TAKZIV22"/>
      <w:r>
        <w:rPr>
          <w:rFonts w:cs="FrankRuehl"/>
          <w:sz w:val="26"/>
          <w:szCs w:val="26"/>
          <w:rtl/>
        </w:rPr>
        <w:t>חשב החשב הכללי</w:t>
      </w:r>
      <w:bookmarkEnd w:id="9"/>
    </w:p>
    <w:p w14:paraId="6B039E54" w14:textId="74E7BDEA" w:rsidR="00436E4E" w:rsidRPr="002E1D22" w:rsidRDefault="00436E4E">
      <w:pPr>
        <w:rPr>
          <w:rFonts w:cs="FrankRuehl"/>
          <w:sz w:val="26"/>
          <w:szCs w:val="26"/>
          <w:rtl/>
        </w:rPr>
      </w:pPr>
      <w:r w:rsidRPr="002E1D22">
        <w:rPr>
          <w:rFonts w:cs="FrankRuehl"/>
          <w:sz w:val="26"/>
          <w:szCs w:val="26"/>
          <w:rtl/>
        </w:rPr>
        <w:t xml:space="preserve">קצין תקציבים </w:t>
      </w:r>
      <w:bookmarkStart w:id="10" w:name="TAKZIV6_1"/>
      <w:r w:rsidR="00C91031">
        <w:rPr>
          <w:rFonts w:cs="FrankRuehl"/>
          <w:sz w:val="26"/>
          <w:szCs w:val="26"/>
          <w:rtl/>
        </w:rPr>
        <w:t>הוצאות חירום אזרחיות</w:t>
      </w:r>
      <w:bookmarkEnd w:id="10"/>
    </w:p>
    <w:p w14:paraId="04DDE019" w14:textId="796DA095" w:rsidR="00436E4E" w:rsidRPr="002E1D22" w:rsidRDefault="00436E4E">
      <w:pPr>
        <w:rPr>
          <w:rFonts w:cs="FrankRuehl"/>
          <w:sz w:val="26"/>
          <w:szCs w:val="26"/>
          <w:rtl/>
        </w:rPr>
      </w:pPr>
      <w:r w:rsidRPr="002E1D22">
        <w:rPr>
          <w:rFonts w:cs="FrankRuehl"/>
          <w:sz w:val="26"/>
          <w:szCs w:val="26"/>
          <w:rtl/>
        </w:rPr>
        <w:t xml:space="preserve">רפרנט </w:t>
      </w:r>
      <w:bookmarkStart w:id="11" w:name="TAKZIV6_2"/>
      <w:r w:rsidR="00C91031">
        <w:rPr>
          <w:rFonts w:cs="FrankRuehl"/>
          <w:sz w:val="26"/>
          <w:szCs w:val="26"/>
          <w:rtl/>
        </w:rPr>
        <w:t>הוצאות חירום אזרחיות</w:t>
      </w:r>
      <w:bookmarkEnd w:id="11"/>
    </w:p>
    <w:p w14:paraId="4EEAE1FE" w14:textId="77777777" w:rsidR="00436E4E" w:rsidRPr="002E1D22" w:rsidRDefault="00436E4E">
      <w:pPr>
        <w:rPr>
          <w:rFonts w:cs="FrankRuehl"/>
          <w:sz w:val="26"/>
          <w:szCs w:val="26"/>
          <w:rtl/>
        </w:rPr>
      </w:pPr>
      <w:bookmarkStart w:id="12" w:name="TAKZIV23"/>
      <w:bookmarkEnd w:id="12"/>
    </w:p>
    <w:p w14:paraId="23ECAEFB" w14:textId="77777777" w:rsidR="00436E4E" w:rsidRPr="002E1D22" w:rsidRDefault="00436E4E">
      <w:pPr>
        <w:rPr>
          <w:rFonts w:cs="FrankRuehl"/>
          <w:sz w:val="26"/>
          <w:szCs w:val="26"/>
          <w:rtl/>
        </w:rPr>
      </w:pPr>
    </w:p>
    <w:p w14:paraId="4A01A7A1" w14:textId="64FC8C8A" w:rsidR="00436E4E" w:rsidRDefault="00436E4E">
      <w:pPr>
        <w:rPr>
          <w:rFonts w:cs="FrankRuehl"/>
          <w:sz w:val="26"/>
          <w:szCs w:val="26"/>
          <w:rtl/>
        </w:rPr>
      </w:pPr>
      <w:bookmarkStart w:id="13" w:name="TAKZIV25"/>
      <w:bookmarkEnd w:id="13"/>
    </w:p>
    <w:p w14:paraId="47A86432" w14:textId="2218B8BE" w:rsidR="002A6881" w:rsidRDefault="002A6881">
      <w:pPr>
        <w:rPr>
          <w:rFonts w:cs="FrankRuehl"/>
          <w:sz w:val="26"/>
          <w:szCs w:val="26"/>
          <w:rtl/>
        </w:rPr>
      </w:pPr>
    </w:p>
    <w:p w14:paraId="29741E0D" w14:textId="66B1A812" w:rsidR="002A6881" w:rsidRDefault="002A6881">
      <w:pPr>
        <w:rPr>
          <w:rFonts w:cs="FrankRuehl"/>
          <w:sz w:val="26"/>
          <w:szCs w:val="26"/>
          <w:rtl/>
        </w:rPr>
      </w:pPr>
    </w:p>
    <w:p w14:paraId="4889A217" w14:textId="631C273E" w:rsidR="002A6881" w:rsidRDefault="002A6881">
      <w:pPr>
        <w:rPr>
          <w:rFonts w:cs="FrankRuehl"/>
          <w:sz w:val="26"/>
          <w:szCs w:val="26"/>
          <w:rtl/>
        </w:rPr>
      </w:pPr>
    </w:p>
    <w:p w14:paraId="4A1A5C06" w14:textId="70493E99" w:rsidR="002A6881" w:rsidRDefault="002A6881">
      <w:pPr>
        <w:rPr>
          <w:rFonts w:cs="FrankRuehl"/>
          <w:sz w:val="26"/>
          <w:szCs w:val="26"/>
          <w:rtl/>
        </w:rPr>
      </w:pPr>
    </w:p>
    <w:p w14:paraId="44F36D6A" w14:textId="49B962D5" w:rsidR="002A6881" w:rsidRDefault="002A6881">
      <w:pPr>
        <w:rPr>
          <w:rFonts w:cs="FrankRuehl"/>
          <w:sz w:val="26"/>
          <w:szCs w:val="26"/>
          <w:rtl/>
        </w:rPr>
      </w:pPr>
    </w:p>
    <w:p w14:paraId="681171B9" w14:textId="0044B914" w:rsidR="002A6881" w:rsidRDefault="002A6881">
      <w:pPr>
        <w:rPr>
          <w:rFonts w:cs="FrankRuehl"/>
          <w:sz w:val="26"/>
          <w:szCs w:val="26"/>
          <w:rtl/>
        </w:rPr>
      </w:pPr>
    </w:p>
    <w:p w14:paraId="677CD2D6" w14:textId="3AB139C8" w:rsidR="002A6881" w:rsidRDefault="002A6881">
      <w:pPr>
        <w:rPr>
          <w:rFonts w:cs="FrankRuehl"/>
          <w:sz w:val="26"/>
          <w:szCs w:val="26"/>
          <w:rtl/>
        </w:rPr>
      </w:pPr>
    </w:p>
    <w:p w14:paraId="3C026DF2" w14:textId="4440B0E9" w:rsidR="002A6881" w:rsidRDefault="002A6881">
      <w:pPr>
        <w:rPr>
          <w:rFonts w:cs="FrankRuehl"/>
          <w:sz w:val="26"/>
          <w:szCs w:val="26"/>
          <w:rtl/>
        </w:rPr>
      </w:pPr>
    </w:p>
    <w:p w14:paraId="00CFA5E0" w14:textId="391B43F0" w:rsidR="002A6881" w:rsidRDefault="002A6881">
      <w:pPr>
        <w:rPr>
          <w:rFonts w:cs="FrankRuehl"/>
          <w:sz w:val="26"/>
          <w:szCs w:val="26"/>
          <w:rtl/>
        </w:rPr>
      </w:pPr>
    </w:p>
    <w:p w14:paraId="660A258E" w14:textId="2E4F95F3" w:rsidR="002A6881" w:rsidRDefault="002A6881">
      <w:pPr>
        <w:rPr>
          <w:rFonts w:cs="FrankRuehl"/>
          <w:sz w:val="26"/>
          <w:szCs w:val="26"/>
          <w:rtl/>
        </w:rPr>
      </w:pPr>
    </w:p>
    <w:p w14:paraId="3E384B31" w14:textId="10A96E52" w:rsidR="002A6881" w:rsidRDefault="002A6881">
      <w:pPr>
        <w:rPr>
          <w:rFonts w:cs="FrankRuehl"/>
          <w:sz w:val="26"/>
          <w:szCs w:val="26"/>
          <w:rtl/>
        </w:rPr>
      </w:pPr>
    </w:p>
    <w:p w14:paraId="4EF9F942" w14:textId="66DC3F07" w:rsidR="002A6881" w:rsidRDefault="002A6881">
      <w:pPr>
        <w:rPr>
          <w:rFonts w:cs="FrankRuehl"/>
          <w:sz w:val="26"/>
          <w:szCs w:val="26"/>
          <w:rtl/>
        </w:rPr>
      </w:pPr>
    </w:p>
    <w:p w14:paraId="2A6AD885" w14:textId="60012C26" w:rsidR="002A6881" w:rsidRDefault="002A6881">
      <w:pPr>
        <w:rPr>
          <w:rFonts w:cs="FrankRuehl"/>
          <w:sz w:val="26"/>
          <w:szCs w:val="26"/>
          <w:rtl/>
        </w:rPr>
      </w:pPr>
    </w:p>
    <w:p w14:paraId="280792BC" w14:textId="45950379" w:rsidR="002A6881" w:rsidRDefault="002A6881">
      <w:pPr>
        <w:rPr>
          <w:rFonts w:cs="FrankRuehl"/>
          <w:sz w:val="26"/>
          <w:szCs w:val="26"/>
          <w:rtl/>
        </w:rPr>
      </w:pPr>
    </w:p>
    <w:p w14:paraId="00B3163F" w14:textId="716927D4" w:rsidR="002A6881" w:rsidRDefault="002A6881">
      <w:pPr>
        <w:rPr>
          <w:rFonts w:cs="FrankRuehl"/>
          <w:sz w:val="26"/>
          <w:szCs w:val="26"/>
          <w:rtl/>
        </w:rPr>
      </w:pPr>
    </w:p>
    <w:p w14:paraId="6A29F204" w14:textId="66366E86" w:rsidR="002A6881" w:rsidRDefault="002A6881">
      <w:pPr>
        <w:rPr>
          <w:rFonts w:cs="FrankRuehl"/>
          <w:sz w:val="26"/>
          <w:szCs w:val="26"/>
          <w:rtl/>
        </w:rPr>
      </w:pPr>
    </w:p>
    <w:p w14:paraId="513AFA2C" w14:textId="5E9C4E9D" w:rsidR="002A6881" w:rsidRDefault="002A6881">
      <w:pPr>
        <w:rPr>
          <w:rFonts w:cs="FrankRuehl"/>
          <w:sz w:val="26"/>
          <w:szCs w:val="26"/>
          <w:rtl/>
        </w:rPr>
      </w:pPr>
    </w:p>
    <w:p w14:paraId="2D80B4B4" w14:textId="3DA124CC" w:rsidR="002A6881" w:rsidRDefault="002A6881">
      <w:pPr>
        <w:rPr>
          <w:rFonts w:cs="FrankRuehl"/>
          <w:sz w:val="26"/>
          <w:szCs w:val="26"/>
          <w:rtl/>
        </w:rPr>
      </w:pPr>
    </w:p>
    <w:p w14:paraId="6A0D83EB" w14:textId="238AB819" w:rsidR="002A6881" w:rsidRDefault="002A6881">
      <w:pPr>
        <w:rPr>
          <w:rFonts w:cs="FrankRuehl"/>
          <w:sz w:val="26"/>
          <w:szCs w:val="26"/>
          <w:rtl/>
        </w:rPr>
      </w:pPr>
    </w:p>
    <w:p w14:paraId="1BC555E0" w14:textId="7C7C2E17" w:rsidR="002A6881" w:rsidRDefault="002A6881">
      <w:pPr>
        <w:rPr>
          <w:rFonts w:cs="FrankRuehl"/>
          <w:sz w:val="26"/>
          <w:szCs w:val="26"/>
          <w:rtl/>
        </w:rPr>
      </w:pPr>
    </w:p>
    <w:p w14:paraId="43011FA4" w14:textId="1D27B703" w:rsidR="002A6881" w:rsidRDefault="002A6881">
      <w:pPr>
        <w:rPr>
          <w:rFonts w:cs="FrankRuehl"/>
          <w:sz w:val="26"/>
          <w:szCs w:val="26"/>
          <w:rtl/>
        </w:rPr>
      </w:pPr>
    </w:p>
    <w:p w14:paraId="17A4BF2A" w14:textId="26467644" w:rsidR="002A6881" w:rsidRDefault="002A6881">
      <w:pPr>
        <w:rPr>
          <w:rFonts w:cs="FrankRuehl"/>
          <w:sz w:val="26"/>
          <w:szCs w:val="26"/>
          <w:rtl/>
        </w:rPr>
      </w:pPr>
    </w:p>
    <w:p w14:paraId="7833D788" w14:textId="77E06B86" w:rsidR="002A6881" w:rsidRDefault="002A6881">
      <w:pPr>
        <w:rPr>
          <w:rFonts w:cs="FrankRuehl"/>
          <w:sz w:val="26"/>
          <w:szCs w:val="26"/>
          <w:rtl/>
        </w:rPr>
      </w:pPr>
    </w:p>
    <w:p w14:paraId="7789DBE7" w14:textId="7EC6203B" w:rsidR="002A6881" w:rsidRDefault="002A6881">
      <w:pPr>
        <w:rPr>
          <w:rFonts w:cs="FrankRuehl"/>
          <w:sz w:val="26"/>
          <w:szCs w:val="26"/>
          <w:rtl/>
        </w:rPr>
      </w:pPr>
    </w:p>
    <w:p w14:paraId="11CF6641" w14:textId="5C9297F7" w:rsidR="002A6881" w:rsidRDefault="002A6881">
      <w:pPr>
        <w:rPr>
          <w:rFonts w:cs="FrankRuehl"/>
          <w:sz w:val="26"/>
          <w:szCs w:val="26"/>
          <w:rtl/>
        </w:rPr>
      </w:pPr>
    </w:p>
    <w:p w14:paraId="7EDCBC16" w14:textId="7528A4A1" w:rsidR="002A6881" w:rsidRDefault="002A6881">
      <w:pPr>
        <w:rPr>
          <w:rFonts w:cs="FrankRuehl"/>
          <w:sz w:val="26"/>
          <w:szCs w:val="26"/>
          <w:rtl/>
        </w:rPr>
      </w:pPr>
    </w:p>
    <w:p w14:paraId="3340B272" w14:textId="540A7FED" w:rsidR="002A6881" w:rsidRDefault="002A6881">
      <w:pPr>
        <w:rPr>
          <w:rFonts w:cs="FrankRuehl"/>
          <w:sz w:val="26"/>
          <w:szCs w:val="26"/>
          <w:rtl/>
        </w:rPr>
      </w:pPr>
    </w:p>
    <w:p w14:paraId="31DA9000" w14:textId="28D30EDE" w:rsidR="002A6881" w:rsidRDefault="002A6881">
      <w:pPr>
        <w:rPr>
          <w:rFonts w:cs="FrankRuehl"/>
          <w:sz w:val="26"/>
          <w:szCs w:val="26"/>
          <w:rtl/>
        </w:rPr>
      </w:pPr>
    </w:p>
    <w:p w14:paraId="43EE1D56" w14:textId="20E8390C" w:rsidR="002A6881" w:rsidRDefault="002A6881">
      <w:pPr>
        <w:rPr>
          <w:rFonts w:cs="FrankRuehl"/>
          <w:sz w:val="26"/>
          <w:szCs w:val="26"/>
          <w:rtl/>
        </w:rPr>
      </w:pPr>
    </w:p>
    <w:p w14:paraId="07E13BCF" w14:textId="66C01B62" w:rsidR="002A6881" w:rsidRDefault="002A6881">
      <w:pPr>
        <w:rPr>
          <w:rFonts w:cs="FrankRuehl"/>
          <w:sz w:val="26"/>
          <w:szCs w:val="26"/>
          <w:rtl/>
        </w:rPr>
      </w:pPr>
    </w:p>
    <w:p w14:paraId="72E77EBA" w14:textId="35F596A3" w:rsidR="002A6881" w:rsidRDefault="002A6881">
      <w:pPr>
        <w:rPr>
          <w:rFonts w:cs="FrankRuehl"/>
          <w:sz w:val="26"/>
          <w:szCs w:val="26"/>
          <w:rtl/>
        </w:rPr>
      </w:pPr>
    </w:p>
    <w:p w14:paraId="29A0C8CD" w14:textId="1844354B" w:rsidR="002A6881" w:rsidRDefault="002A6881">
      <w:pPr>
        <w:rPr>
          <w:rFonts w:cs="FrankRuehl"/>
          <w:sz w:val="26"/>
          <w:szCs w:val="26"/>
          <w:rtl/>
        </w:rPr>
      </w:pPr>
    </w:p>
    <w:p w14:paraId="0BBD4967" w14:textId="77B5AF02" w:rsidR="002A6881" w:rsidRDefault="002A6881">
      <w:pPr>
        <w:rPr>
          <w:rFonts w:cs="FrankRuehl"/>
          <w:sz w:val="26"/>
          <w:szCs w:val="26"/>
          <w:rtl/>
        </w:rPr>
      </w:pPr>
    </w:p>
    <w:p w14:paraId="1007E195" w14:textId="1965BC5D" w:rsidR="002A6881" w:rsidRDefault="002A6881">
      <w:pPr>
        <w:rPr>
          <w:rFonts w:cs="FrankRuehl"/>
          <w:sz w:val="26"/>
          <w:szCs w:val="26"/>
          <w:rtl/>
        </w:rPr>
      </w:pPr>
    </w:p>
    <w:p w14:paraId="6EF80E34" w14:textId="3D45D99A" w:rsidR="002A6881" w:rsidRDefault="002A6881">
      <w:pPr>
        <w:rPr>
          <w:rFonts w:cs="FrankRuehl"/>
          <w:sz w:val="26"/>
          <w:szCs w:val="26"/>
          <w:rtl/>
        </w:rPr>
      </w:pPr>
    </w:p>
    <w:p w14:paraId="3BB9B466" w14:textId="5E4A8385" w:rsidR="002A6881" w:rsidRDefault="002A6881">
      <w:pPr>
        <w:rPr>
          <w:rFonts w:cs="FrankRuehl"/>
          <w:sz w:val="26"/>
          <w:szCs w:val="26"/>
          <w:rtl/>
        </w:rPr>
      </w:pPr>
    </w:p>
    <w:p w14:paraId="6BA476AE" w14:textId="1F69EA99" w:rsidR="002A6881" w:rsidRDefault="002A6881">
      <w:pPr>
        <w:rPr>
          <w:rFonts w:cs="FrankRuehl"/>
          <w:sz w:val="26"/>
          <w:szCs w:val="26"/>
          <w:rtl/>
        </w:rPr>
      </w:pPr>
    </w:p>
    <w:p w14:paraId="3D59ACF3" w14:textId="344CB70D" w:rsidR="002A6881" w:rsidRDefault="002A6881">
      <w:pPr>
        <w:rPr>
          <w:rFonts w:cs="FrankRuehl"/>
          <w:sz w:val="26"/>
          <w:szCs w:val="26"/>
          <w:rtl/>
        </w:rPr>
      </w:pPr>
    </w:p>
    <w:p w14:paraId="48ACFF23" w14:textId="11BD8E00" w:rsidR="002A6881" w:rsidRDefault="002A6881" w:rsidP="002A6881">
      <w:pPr>
        <w:tabs>
          <w:tab w:val="center" w:pos="6888"/>
        </w:tabs>
        <w:jc w:val="center"/>
        <w:rPr>
          <w:rFonts w:ascii="FrankRuehl" w:hAnsi="FrankRuehl" w:cs="FrankRuehl"/>
          <w:b/>
          <w:bCs/>
          <w:sz w:val="26"/>
          <w:szCs w:val="26"/>
          <w:u w:val="single"/>
          <w:rtl/>
        </w:rPr>
      </w:pPr>
      <w:bookmarkStart w:id="14" w:name="_Hlk235352165"/>
      <w:r>
        <w:rPr>
          <w:rFonts w:ascii="FrankRuehl" w:hAnsi="FrankRuehl" w:cs="FrankRuehl"/>
          <w:b/>
          <w:bCs/>
          <w:sz w:val="26"/>
          <w:szCs w:val="26"/>
          <w:u w:val="single"/>
          <w:rtl/>
        </w:rPr>
        <w:lastRenderedPageBreak/>
        <w:t>נספח לדברי ההסבר</w:t>
      </w:r>
    </w:p>
    <w:p w14:paraId="2FFD5A1C" w14:textId="77777777" w:rsidR="002A6881" w:rsidRDefault="002A6881" w:rsidP="002A6881">
      <w:pPr>
        <w:tabs>
          <w:tab w:val="center" w:pos="6888"/>
        </w:tabs>
        <w:jc w:val="center"/>
        <w:rPr>
          <w:rFonts w:ascii="FrankRuehl" w:hAnsi="FrankRuehl" w:cs="FrankRuehl"/>
          <w:b/>
          <w:bCs/>
          <w:sz w:val="26"/>
          <w:szCs w:val="26"/>
          <w:u w:val="single"/>
          <w:rtl/>
        </w:rPr>
      </w:pPr>
    </w:p>
    <w:p w14:paraId="2FC4C9DE" w14:textId="47A2F773" w:rsidR="002A6881" w:rsidRDefault="002A6881" w:rsidP="002A6881">
      <w:pPr>
        <w:contextualSpacing/>
        <w:jc w:val="center"/>
        <w:rPr>
          <w:rFonts w:ascii="FrankRuehl" w:hAnsi="FrankRuehl" w:cs="FrankRuehl"/>
          <w:b/>
          <w:bCs/>
          <w:sz w:val="26"/>
          <w:szCs w:val="26"/>
          <w:rtl/>
        </w:rPr>
      </w:pPr>
      <w:r>
        <w:rPr>
          <w:rFonts w:ascii="FrankRuehl" w:hAnsi="FrankRuehl" w:cs="FrankRuehl"/>
          <w:b/>
          <w:bCs/>
          <w:sz w:val="26"/>
          <w:szCs w:val="26"/>
          <w:rtl/>
        </w:rPr>
        <w:t xml:space="preserve">היסטוריה תקציבית של הפנייה </w:t>
      </w:r>
      <w:r>
        <w:rPr>
          <w:rFonts w:ascii="FrankRuehl" w:hAnsi="FrankRuehl" w:cs="FrankRuehl" w:hint="cs"/>
          <w:b/>
          <w:bCs/>
          <w:sz w:val="26"/>
          <w:szCs w:val="26"/>
          <w:rtl/>
        </w:rPr>
        <w:t>-</w:t>
      </w:r>
      <w:r>
        <w:rPr>
          <w:rFonts w:ascii="FrankRuehl" w:hAnsi="FrankRuehl" w:cs="FrankRuehl"/>
          <w:b/>
          <w:bCs/>
          <w:sz w:val="26"/>
          <w:szCs w:val="26"/>
          <w:rtl/>
        </w:rPr>
        <w:t xml:space="preserve"> הוצאה נטו</w:t>
      </w:r>
    </w:p>
    <w:p w14:paraId="52682537" w14:textId="77777777" w:rsidR="002A6881" w:rsidRDefault="002A6881" w:rsidP="002A6881">
      <w:pPr>
        <w:contextualSpacing/>
        <w:jc w:val="center"/>
        <w:rPr>
          <w:rFonts w:ascii="FrankRuehl" w:hAnsi="FrankRuehl" w:cs="FrankRuehl"/>
          <w:b/>
          <w:bCs/>
          <w:sz w:val="26"/>
          <w:szCs w:val="26"/>
        </w:rPr>
      </w:pPr>
    </w:p>
    <w:tbl>
      <w:tblPr>
        <w:bidiVisual/>
        <w:tblW w:w="5000" w:type="pct"/>
        <w:tblLook w:val="04A0" w:firstRow="1" w:lastRow="0" w:firstColumn="1" w:lastColumn="0" w:noHBand="0" w:noVBand="1"/>
      </w:tblPr>
      <w:tblGrid>
        <w:gridCol w:w="994"/>
        <w:gridCol w:w="1222"/>
        <w:gridCol w:w="844"/>
        <w:gridCol w:w="994"/>
        <w:gridCol w:w="844"/>
        <w:gridCol w:w="994"/>
        <w:gridCol w:w="844"/>
        <w:gridCol w:w="994"/>
        <w:gridCol w:w="793"/>
      </w:tblGrid>
      <w:tr w:rsidR="002A6881" w14:paraId="4FFB75C1" w14:textId="77777777" w:rsidTr="002A6881">
        <w:trPr>
          <w:trHeight w:val="630"/>
        </w:trPr>
        <w:tc>
          <w:tcPr>
            <w:tcW w:w="583" w:type="pct"/>
            <w:tcBorders>
              <w:top w:val="single" w:sz="4" w:space="0" w:color="979991"/>
              <w:left w:val="single" w:sz="4" w:space="0" w:color="979991"/>
              <w:bottom w:val="nil"/>
              <w:right w:val="nil"/>
            </w:tcBorders>
            <w:shd w:val="clear" w:color="auto" w:fill="F0F4FA"/>
            <w:vAlign w:val="center"/>
            <w:hideMark/>
          </w:tcPr>
          <w:p w14:paraId="2B810F8F" w14:textId="77777777" w:rsidR="002A6881" w:rsidRDefault="002A6881" w:rsidP="00394741">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717" w:type="pct"/>
            <w:tcBorders>
              <w:top w:val="single" w:sz="4" w:space="0" w:color="979991"/>
              <w:left w:val="single" w:sz="4" w:space="0" w:color="979991"/>
              <w:bottom w:val="single" w:sz="4" w:space="0" w:color="979991"/>
              <w:right w:val="nil"/>
            </w:tcBorders>
            <w:shd w:val="clear" w:color="auto" w:fill="F0F4FA"/>
            <w:vAlign w:val="center"/>
            <w:hideMark/>
          </w:tcPr>
          <w:p w14:paraId="113EA67C" w14:textId="77777777" w:rsidR="002A6881" w:rsidRDefault="002A6881" w:rsidP="00394741">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2B85AC1B"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42283F1B"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1D09CA99"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1BAE169E"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00A6665F"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0AB1FC1E"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465"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6921C7D0"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2A6881" w14:paraId="64CFA254" w14:textId="77777777" w:rsidTr="002A6881">
        <w:trPr>
          <w:trHeight w:val="290"/>
        </w:trPr>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7CE14094" w14:textId="77777777" w:rsidR="002A6881" w:rsidRDefault="002A6881" w:rsidP="00394741">
            <w:pPr>
              <w:bidi w:val="0"/>
              <w:jc w:val="center"/>
              <w:rPr>
                <w:rFonts w:ascii="Calibri" w:hAnsi="Calibri" w:cs="Calibri"/>
                <w:color w:val="000000"/>
                <w:sz w:val="16"/>
                <w:szCs w:val="16"/>
                <w:rtl/>
              </w:rPr>
            </w:pPr>
            <w:r>
              <w:rPr>
                <w:rFonts w:ascii="Calibri" w:hAnsi="Calibri" w:cs="Calibri"/>
                <w:color w:val="000000"/>
                <w:sz w:val="16"/>
                <w:szCs w:val="16"/>
              </w:rPr>
              <w:t>161605</w:t>
            </w:r>
          </w:p>
        </w:tc>
        <w:tc>
          <w:tcPr>
            <w:tcW w:w="717" w:type="pct"/>
            <w:tcBorders>
              <w:top w:val="nil"/>
              <w:left w:val="single" w:sz="4" w:space="0" w:color="979991"/>
              <w:bottom w:val="single" w:sz="4" w:space="0" w:color="979991"/>
              <w:right w:val="nil"/>
            </w:tcBorders>
            <w:shd w:val="clear" w:color="auto" w:fill="FFFFFF"/>
            <w:vAlign w:val="center"/>
            <w:hideMark/>
          </w:tcPr>
          <w:p w14:paraId="68777B4E" w14:textId="77777777" w:rsidR="002A6881" w:rsidRDefault="002A6881" w:rsidP="00394741">
            <w:pPr>
              <w:bidi w:val="0"/>
              <w:jc w:val="center"/>
              <w:rPr>
                <w:rFonts w:ascii="Calibri" w:hAnsi="Calibri" w:cs="Calibri"/>
                <w:color w:val="000000"/>
                <w:sz w:val="16"/>
                <w:szCs w:val="16"/>
                <w:rtl/>
              </w:rPr>
            </w:pPr>
            <w:r>
              <w:rPr>
                <w:rFonts w:ascii="Calibri" w:hAnsi="Calibri" w:cs="Calibri"/>
                <w:color w:val="000000"/>
                <w:sz w:val="16"/>
                <w:szCs w:val="16"/>
              </w:rPr>
              <w:t>669,392</w:t>
            </w:r>
          </w:p>
        </w:tc>
        <w:tc>
          <w:tcPr>
            <w:tcW w:w="495" w:type="pct"/>
            <w:tcBorders>
              <w:top w:val="nil"/>
              <w:left w:val="single" w:sz="4" w:space="0" w:color="979991"/>
              <w:bottom w:val="single" w:sz="4" w:space="0" w:color="979991"/>
              <w:right w:val="nil"/>
            </w:tcBorders>
            <w:shd w:val="clear" w:color="auto" w:fill="FFFFFF"/>
            <w:vAlign w:val="center"/>
            <w:hideMark/>
          </w:tcPr>
          <w:p w14:paraId="4AC23DD2"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0</w:t>
            </w:r>
          </w:p>
        </w:tc>
        <w:tc>
          <w:tcPr>
            <w:tcW w:w="583" w:type="pct"/>
            <w:tcBorders>
              <w:top w:val="nil"/>
              <w:left w:val="single" w:sz="4" w:space="0" w:color="979991"/>
              <w:bottom w:val="single" w:sz="4" w:space="0" w:color="979991"/>
              <w:right w:val="nil"/>
            </w:tcBorders>
            <w:shd w:val="clear" w:color="auto" w:fill="FFFFFF"/>
            <w:vAlign w:val="center"/>
            <w:hideMark/>
          </w:tcPr>
          <w:p w14:paraId="18CA7D01"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14,224</w:t>
            </w:r>
          </w:p>
        </w:tc>
        <w:tc>
          <w:tcPr>
            <w:tcW w:w="495" w:type="pct"/>
            <w:tcBorders>
              <w:top w:val="nil"/>
              <w:left w:val="single" w:sz="4" w:space="0" w:color="979991"/>
              <w:bottom w:val="single" w:sz="4" w:space="0" w:color="979991"/>
              <w:right w:val="nil"/>
            </w:tcBorders>
            <w:shd w:val="clear" w:color="auto" w:fill="FFFFFF"/>
            <w:vAlign w:val="center"/>
            <w:hideMark/>
          </w:tcPr>
          <w:p w14:paraId="2B2A4F6E"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82,965</w:t>
            </w:r>
          </w:p>
        </w:tc>
        <w:tc>
          <w:tcPr>
            <w:tcW w:w="583" w:type="pct"/>
            <w:tcBorders>
              <w:top w:val="nil"/>
              <w:left w:val="single" w:sz="4" w:space="0" w:color="979991"/>
              <w:bottom w:val="single" w:sz="4" w:space="0" w:color="979991"/>
              <w:right w:val="nil"/>
            </w:tcBorders>
            <w:shd w:val="clear" w:color="auto" w:fill="FFFFFF"/>
            <w:vAlign w:val="center"/>
            <w:hideMark/>
          </w:tcPr>
          <w:p w14:paraId="1135EE0E"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40,946</w:t>
            </w:r>
          </w:p>
        </w:tc>
        <w:tc>
          <w:tcPr>
            <w:tcW w:w="495" w:type="pct"/>
            <w:tcBorders>
              <w:top w:val="nil"/>
              <w:left w:val="single" w:sz="4" w:space="0" w:color="979991"/>
              <w:bottom w:val="single" w:sz="4" w:space="0" w:color="979991"/>
              <w:right w:val="nil"/>
            </w:tcBorders>
            <w:shd w:val="clear" w:color="auto" w:fill="FFFFFF"/>
            <w:vAlign w:val="center"/>
            <w:hideMark/>
          </w:tcPr>
          <w:p w14:paraId="5CFA4050"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156,167</w:t>
            </w:r>
          </w:p>
        </w:tc>
        <w:tc>
          <w:tcPr>
            <w:tcW w:w="583" w:type="pct"/>
            <w:tcBorders>
              <w:top w:val="nil"/>
              <w:left w:val="single" w:sz="4" w:space="0" w:color="979991"/>
              <w:bottom w:val="single" w:sz="4" w:space="0" w:color="979991"/>
              <w:right w:val="nil"/>
            </w:tcBorders>
            <w:shd w:val="clear" w:color="auto" w:fill="FFFFFF"/>
            <w:vAlign w:val="center"/>
            <w:hideMark/>
          </w:tcPr>
          <w:p w14:paraId="078223DE"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69,351</w:t>
            </w:r>
          </w:p>
        </w:tc>
        <w:tc>
          <w:tcPr>
            <w:tcW w:w="465" w:type="pct"/>
            <w:tcBorders>
              <w:top w:val="nil"/>
              <w:left w:val="single" w:sz="4" w:space="0" w:color="979991"/>
              <w:bottom w:val="single" w:sz="4" w:space="0" w:color="979991"/>
              <w:right w:val="single" w:sz="4" w:space="0" w:color="979991"/>
            </w:tcBorders>
            <w:shd w:val="clear" w:color="auto" w:fill="FFFFFF"/>
            <w:vAlign w:val="center"/>
            <w:hideMark/>
          </w:tcPr>
          <w:p w14:paraId="26A6B738"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70,756</w:t>
            </w:r>
          </w:p>
        </w:tc>
      </w:tr>
    </w:tbl>
    <w:p w14:paraId="0C935932" w14:textId="77777777" w:rsidR="002A6881" w:rsidRDefault="002A6881" w:rsidP="002A6881">
      <w:pPr>
        <w:contextualSpacing/>
        <w:rPr>
          <w:rFonts w:ascii="FrankRuehl" w:eastAsia="Calibri" w:hAnsi="FrankRuehl" w:cs="FrankRuehl"/>
          <w:b/>
          <w:bCs/>
          <w:sz w:val="26"/>
          <w:szCs w:val="26"/>
        </w:rPr>
      </w:pPr>
    </w:p>
    <w:p w14:paraId="0BD17D21" w14:textId="25BEEF15" w:rsidR="002A6881" w:rsidRDefault="002A6881" w:rsidP="002A6881">
      <w:pPr>
        <w:contextualSpacing/>
        <w:jc w:val="center"/>
        <w:rPr>
          <w:rFonts w:ascii="FrankRuehl" w:hAnsi="FrankRuehl" w:cs="FrankRuehl"/>
          <w:b/>
          <w:bCs/>
          <w:sz w:val="26"/>
          <w:szCs w:val="26"/>
          <w:rtl/>
        </w:rPr>
      </w:pPr>
      <w:r>
        <w:rPr>
          <w:rFonts w:ascii="FrankRuehl" w:hAnsi="FrankRuehl" w:cs="FrankRuehl"/>
          <w:b/>
          <w:bCs/>
          <w:sz w:val="26"/>
          <w:szCs w:val="26"/>
          <w:rtl/>
        </w:rPr>
        <w:t xml:space="preserve">היסטוריה תקציבית של הפנייה </w:t>
      </w:r>
      <w:r w:rsidR="00BC0C27">
        <w:rPr>
          <w:rFonts w:ascii="FrankRuehl" w:hAnsi="FrankRuehl" w:cs="FrankRuehl" w:hint="cs"/>
          <w:b/>
          <w:bCs/>
          <w:sz w:val="26"/>
          <w:szCs w:val="26"/>
          <w:rtl/>
        </w:rPr>
        <w:t>-</w:t>
      </w:r>
      <w:r>
        <w:rPr>
          <w:rFonts w:ascii="FrankRuehl" w:hAnsi="FrankRuehl" w:cs="FrankRuehl"/>
          <w:b/>
          <w:bCs/>
          <w:sz w:val="26"/>
          <w:szCs w:val="26"/>
          <w:rtl/>
        </w:rPr>
        <w:t xml:space="preserve"> הרשאה להתחייב</w:t>
      </w:r>
    </w:p>
    <w:p w14:paraId="444E3FA8" w14:textId="77777777" w:rsidR="002A6881" w:rsidRDefault="002A6881" w:rsidP="002A6881">
      <w:pPr>
        <w:contextualSpacing/>
        <w:jc w:val="center"/>
        <w:rPr>
          <w:rFonts w:ascii="FrankRuehl" w:hAnsi="FrankRuehl" w:cs="FrankRuehl"/>
          <w:b/>
          <w:bCs/>
          <w:sz w:val="26"/>
          <w:szCs w:val="26"/>
        </w:rPr>
      </w:pPr>
    </w:p>
    <w:tbl>
      <w:tblPr>
        <w:bidiVisual/>
        <w:tblW w:w="5000" w:type="pct"/>
        <w:tblLook w:val="04A0" w:firstRow="1" w:lastRow="0" w:firstColumn="1" w:lastColumn="0" w:noHBand="0" w:noVBand="1"/>
      </w:tblPr>
      <w:tblGrid>
        <w:gridCol w:w="1064"/>
        <w:gridCol w:w="1064"/>
        <w:gridCol w:w="926"/>
        <w:gridCol w:w="926"/>
        <w:gridCol w:w="926"/>
        <w:gridCol w:w="926"/>
        <w:gridCol w:w="926"/>
        <w:gridCol w:w="926"/>
        <w:gridCol w:w="839"/>
      </w:tblGrid>
      <w:tr w:rsidR="002A6881" w14:paraId="6967622B" w14:textId="77777777" w:rsidTr="002A6881">
        <w:trPr>
          <w:trHeight w:val="420"/>
        </w:trPr>
        <w:tc>
          <w:tcPr>
            <w:tcW w:w="624" w:type="pct"/>
            <w:tcBorders>
              <w:top w:val="single" w:sz="4" w:space="0" w:color="979991"/>
              <w:left w:val="single" w:sz="4" w:space="0" w:color="979991"/>
              <w:bottom w:val="nil"/>
              <w:right w:val="nil"/>
            </w:tcBorders>
            <w:shd w:val="clear" w:color="auto" w:fill="F0F4FA"/>
            <w:vAlign w:val="center"/>
            <w:hideMark/>
          </w:tcPr>
          <w:bookmarkEnd w:id="14"/>
          <w:p w14:paraId="7EBA03AC"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624" w:type="pct"/>
            <w:tcBorders>
              <w:top w:val="single" w:sz="4" w:space="0" w:color="979991"/>
              <w:left w:val="single" w:sz="4" w:space="0" w:color="979991"/>
              <w:bottom w:val="single" w:sz="4" w:space="0" w:color="979991"/>
              <w:right w:val="nil"/>
            </w:tcBorders>
            <w:shd w:val="clear" w:color="auto" w:fill="F0F4FA"/>
            <w:vAlign w:val="center"/>
            <w:hideMark/>
          </w:tcPr>
          <w:p w14:paraId="412BCF87" w14:textId="77777777" w:rsidR="002A6881" w:rsidRDefault="002A6881" w:rsidP="00394741">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8C53334"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504A1E77"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67FAD7F"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2B2FBB0D"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6127BA5C"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C25570E"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492"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4F8982AF" w14:textId="77777777" w:rsidR="002A6881" w:rsidRDefault="002A6881" w:rsidP="00394741">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2A6881" w14:paraId="69057745" w14:textId="77777777" w:rsidTr="002A6881">
        <w:trPr>
          <w:trHeight w:val="290"/>
        </w:trPr>
        <w:tc>
          <w:tcPr>
            <w:tcW w:w="624" w:type="pct"/>
            <w:tcBorders>
              <w:top w:val="single" w:sz="4" w:space="0" w:color="979991"/>
              <w:left w:val="single" w:sz="4" w:space="0" w:color="979991"/>
              <w:bottom w:val="single" w:sz="4" w:space="0" w:color="979991"/>
              <w:right w:val="nil"/>
            </w:tcBorders>
            <w:shd w:val="clear" w:color="auto" w:fill="F0F4FA"/>
            <w:vAlign w:val="center"/>
            <w:hideMark/>
          </w:tcPr>
          <w:p w14:paraId="3E2DE95B" w14:textId="77777777" w:rsidR="002A6881" w:rsidRDefault="002A6881" w:rsidP="00394741">
            <w:pPr>
              <w:bidi w:val="0"/>
              <w:jc w:val="center"/>
              <w:rPr>
                <w:rFonts w:ascii="Calibri" w:hAnsi="Calibri" w:cs="Calibri"/>
                <w:color w:val="000000"/>
                <w:sz w:val="16"/>
                <w:szCs w:val="16"/>
                <w:rtl/>
              </w:rPr>
            </w:pPr>
            <w:r>
              <w:rPr>
                <w:rFonts w:ascii="Calibri" w:hAnsi="Calibri" w:cs="Calibri"/>
                <w:color w:val="000000"/>
                <w:sz w:val="16"/>
                <w:szCs w:val="16"/>
              </w:rPr>
              <w:t>161605</w:t>
            </w:r>
          </w:p>
        </w:tc>
        <w:tc>
          <w:tcPr>
            <w:tcW w:w="624" w:type="pct"/>
            <w:tcBorders>
              <w:top w:val="nil"/>
              <w:left w:val="single" w:sz="4" w:space="0" w:color="979991"/>
              <w:bottom w:val="single" w:sz="4" w:space="0" w:color="979991"/>
              <w:right w:val="nil"/>
            </w:tcBorders>
            <w:shd w:val="clear" w:color="auto" w:fill="FFFFFF"/>
            <w:vAlign w:val="center"/>
            <w:hideMark/>
          </w:tcPr>
          <w:p w14:paraId="025E2AD1" w14:textId="77777777" w:rsidR="002A6881" w:rsidRDefault="002A6881" w:rsidP="00394741">
            <w:pPr>
              <w:bidi w:val="0"/>
              <w:jc w:val="center"/>
              <w:rPr>
                <w:rFonts w:ascii="Calibri" w:hAnsi="Calibri" w:cs="Calibri"/>
                <w:color w:val="000000"/>
                <w:sz w:val="16"/>
                <w:szCs w:val="16"/>
                <w:rtl/>
              </w:rPr>
            </w:pPr>
            <w:r>
              <w:rPr>
                <w:rFonts w:ascii="Calibri" w:hAnsi="Calibri" w:cs="Calibri"/>
                <w:color w:val="000000"/>
                <w:sz w:val="16"/>
                <w:szCs w:val="16"/>
              </w:rPr>
              <w:t>330,000</w:t>
            </w:r>
          </w:p>
        </w:tc>
        <w:tc>
          <w:tcPr>
            <w:tcW w:w="543" w:type="pct"/>
            <w:tcBorders>
              <w:top w:val="nil"/>
              <w:left w:val="single" w:sz="4" w:space="0" w:color="979991"/>
              <w:bottom w:val="single" w:sz="4" w:space="0" w:color="979991"/>
              <w:right w:val="nil"/>
            </w:tcBorders>
            <w:shd w:val="clear" w:color="auto" w:fill="FFFFFF"/>
            <w:vAlign w:val="center"/>
            <w:hideMark/>
          </w:tcPr>
          <w:p w14:paraId="719D56D6"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520,000</w:t>
            </w:r>
          </w:p>
        </w:tc>
        <w:tc>
          <w:tcPr>
            <w:tcW w:w="543" w:type="pct"/>
            <w:tcBorders>
              <w:top w:val="nil"/>
              <w:left w:val="single" w:sz="4" w:space="0" w:color="979991"/>
              <w:bottom w:val="single" w:sz="4" w:space="0" w:color="979991"/>
              <w:right w:val="nil"/>
            </w:tcBorders>
            <w:shd w:val="clear" w:color="auto" w:fill="FFFFFF"/>
            <w:vAlign w:val="center"/>
            <w:hideMark/>
          </w:tcPr>
          <w:p w14:paraId="3C193174"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1,236,100</w:t>
            </w:r>
          </w:p>
        </w:tc>
        <w:tc>
          <w:tcPr>
            <w:tcW w:w="543" w:type="pct"/>
            <w:tcBorders>
              <w:top w:val="nil"/>
              <w:left w:val="single" w:sz="4" w:space="0" w:color="979991"/>
              <w:bottom w:val="single" w:sz="4" w:space="0" w:color="979991"/>
              <w:right w:val="nil"/>
            </w:tcBorders>
            <w:shd w:val="clear" w:color="auto" w:fill="FFFFFF"/>
            <w:vAlign w:val="center"/>
            <w:hideMark/>
          </w:tcPr>
          <w:p w14:paraId="2D8AF44D"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1,254,000</w:t>
            </w:r>
          </w:p>
        </w:tc>
        <w:tc>
          <w:tcPr>
            <w:tcW w:w="543" w:type="pct"/>
            <w:tcBorders>
              <w:top w:val="nil"/>
              <w:left w:val="single" w:sz="4" w:space="0" w:color="979991"/>
              <w:bottom w:val="single" w:sz="4" w:space="0" w:color="979991"/>
              <w:right w:val="nil"/>
            </w:tcBorders>
            <w:shd w:val="clear" w:color="auto" w:fill="FFFFFF"/>
            <w:vAlign w:val="center"/>
            <w:hideMark/>
          </w:tcPr>
          <w:p w14:paraId="46CAFA8D"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1,098,628</w:t>
            </w:r>
          </w:p>
        </w:tc>
        <w:tc>
          <w:tcPr>
            <w:tcW w:w="543" w:type="pct"/>
            <w:tcBorders>
              <w:top w:val="nil"/>
              <w:left w:val="single" w:sz="4" w:space="0" w:color="979991"/>
              <w:bottom w:val="single" w:sz="4" w:space="0" w:color="979991"/>
              <w:right w:val="nil"/>
            </w:tcBorders>
            <w:shd w:val="clear" w:color="auto" w:fill="FFFFFF"/>
            <w:vAlign w:val="center"/>
            <w:hideMark/>
          </w:tcPr>
          <w:p w14:paraId="73FABF1F"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1,098,628</w:t>
            </w:r>
          </w:p>
        </w:tc>
        <w:tc>
          <w:tcPr>
            <w:tcW w:w="543" w:type="pct"/>
            <w:tcBorders>
              <w:top w:val="nil"/>
              <w:left w:val="single" w:sz="4" w:space="0" w:color="979991"/>
              <w:bottom w:val="single" w:sz="4" w:space="0" w:color="979991"/>
              <w:right w:val="nil"/>
            </w:tcBorders>
            <w:shd w:val="clear" w:color="auto" w:fill="FFFFFF"/>
            <w:vAlign w:val="center"/>
            <w:hideMark/>
          </w:tcPr>
          <w:p w14:paraId="75830889"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110,000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3EEB6EC6" w14:textId="77777777" w:rsidR="002A6881" w:rsidRDefault="002A6881" w:rsidP="00394741">
            <w:pPr>
              <w:bidi w:val="0"/>
              <w:jc w:val="center"/>
              <w:rPr>
                <w:rFonts w:ascii="Calibri" w:hAnsi="Calibri" w:cs="Calibri"/>
                <w:color w:val="000000"/>
                <w:sz w:val="16"/>
                <w:szCs w:val="16"/>
              </w:rPr>
            </w:pPr>
            <w:r>
              <w:rPr>
                <w:rFonts w:ascii="Calibri" w:hAnsi="Calibri" w:cs="Calibri"/>
                <w:color w:val="000000"/>
                <w:sz w:val="16"/>
                <w:szCs w:val="16"/>
              </w:rPr>
              <w:t>100,000</w:t>
            </w:r>
          </w:p>
        </w:tc>
      </w:tr>
    </w:tbl>
    <w:p w14:paraId="616144F1" w14:textId="6B9ECE01" w:rsidR="002A6881" w:rsidRDefault="002A6881">
      <w:pPr>
        <w:rPr>
          <w:rFonts w:cs="FrankRuehl"/>
          <w:sz w:val="26"/>
          <w:szCs w:val="26"/>
          <w:rtl/>
        </w:rPr>
      </w:pPr>
    </w:p>
    <w:p w14:paraId="4651F140" w14:textId="50A10BE0" w:rsidR="002A6881" w:rsidRDefault="002A6881">
      <w:pPr>
        <w:rPr>
          <w:rFonts w:cs="FrankRuehl"/>
          <w:sz w:val="26"/>
          <w:szCs w:val="26"/>
          <w:rtl/>
        </w:rPr>
      </w:pPr>
    </w:p>
    <w:p w14:paraId="4D51723B" w14:textId="489823D0" w:rsidR="002A6881" w:rsidRDefault="002A6881">
      <w:pPr>
        <w:rPr>
          <w:rFonts w:cs="FrankRuehl"/>
          <w:sz w:val="26"/>
          <w:szCs w:val="26"/>
          <w:rtl/>
        </w:rPr>
      </w:pPr>
    </w:p>
    <w:p w14:paraId="0FA2CF5D" w14:textId="73F9CC5E" w:rsidR="002A6881" w:rsidRDefault="002A6881">
      <w:pPr>
        <w:rPr>
          <w:rFonts w:cs="FrankRuehl"/>
          <w:sz w:val="26"/>
          <w:szCs w:val="26"/>
          <w:rtl/>
        </w:rPr>
      </w:pPr>
    </w:p>
    <w:p w14:paraId="51222B15" w14:textId="26DBA510" w:rsidR="002A6881" w:rsidRDefault="002A6881">
      <w:pPr>
        <w:rPr>
          <w:rFonts w:cs="FrankRuehl"/>
          <w:sz w:val="26"/>
          <w:szCs w:val="26"/>
          <w:rtl/>
        </w:rPr>
      </w:pPr>
    </w:p>
    <w:p w14:paraId="535827E2" w14:textId="77FEF778" w:rsidR="002A6881" w:rsidRDefault="002A6881">
      <w:pPr>
        <w:rPr>
          <w:rFonts w:cs="FrankRuehl"/>
          <w:sz w:val="26"/>
          <w:szCs w:val="26"/>
          <w:rtl/>
        </w:rPr>
      </w:pPr>
    </w:p>
    <w:p w14:paraId="0B68A5CA" w14:textId="77777777" w:rsidR="002A6881" w:rsidRPr="002E1D22" w:rsidRDefault="002A6881">
      <w:pPr>
        <w:rPr>
          <w:rFonts w:cs="FrankRuehl"/>
          <w:sz w:val="26"/>
          <w:szCs w:val="26"/>
          <w:rtl/>
        </w:rPr>
      </w:pPr>
    </w:p>
    <w:sectPr w:rsidR="002A6881" w:rsidRPr="002E1D22" w:rsidSect="004374A5">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05148" w14:textId="77777777" w:rsidR="002A6AE1" w:rsidRDefault="002A6AE1" w:rsidP="004374A5">
      <w:r>
        <w:separator/>
      </w:r>
    </w:p>
  </w:endnote>
  <w:endnote w:type="continuationSeparator" w:id="0">
    <w:p w14:paraId="7C7D472D" w14:textId="77777777" w:rsidR="002A6AE1" w:rsidRDefault="002A6AE1"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D9E9"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01F15"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499B"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1F6BD" w14:textId="77777777" w:rsidR="002A6AE1" w:rsidRDefault="002A6AE1" w:rsidP="004374A5">
      <w:r>
        <w:separator/>
      </w:r>
    </w:p>
  </w:footnote>
  <w:footnote w:type="continuationSeparator" w:id="0">
    <w:p w14:paraId="7073DEB2" w14:textId="77777777" w:rsidR="002A6AE1" w:rsidRDefault="002A6AE1"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BDE60"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0860" w14:textId="77777777" w:rsidR="004374A5" w:rsidRDefault="002A6AE1">
    <w:pPr>
      <w:pStyle w:val="a4"/>
    </w:pPr>
    <w:r>
      <w:rPr>
        <w:noProof/>
      </w:rPr>
      <w:pict w14:anchorId="72B49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F1CD"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1E18B8"/>
    <w:rsid w:val="001F6D02"/>
    <w:rsid w:val="00235242"/>
    <w:rsid w:val="002634E4"/>
    <w:rsid w:val="002A6881"/>
    <w:rsid w:val="002A6AE1"/>
    <w:rsid w:val="002E1D22"/>
    <w:rsid w:val="00436E4E"/>
    <w:rsid w:val="004374A5"/>
    <w:rsid w:val="007847C9"/>
    <w:rsid w:val="007C275A"/>
    <w:rsid w:val="00A559BC"/>
    <w:rsid w:val="00AC2EE6"/>
    <w:rsid w:val="00B0145B"/>
    <w:rsid w:val="00B42666"/>
    <w:rsid w:val="00B61EA5"/>
    <w:rsid w:val="00BB3BA1"/>
    <w:rsid w:val="00BC0C27"/>
    <w:rsid w:val="00C13197"/>
    <w:rsid w:val="00C91031"/>
    <w:rsid w:val="00D90422"/>
    <w:rsid w:val="00DD0DEF"/>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A73D47B"/>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character" w:styleId="Hyperlink">
    <w:name w:val="Hyperlink"/>
    <w:uiPriority w:val="99"/>
    <w:semiHidden/>
    <w:unhideWhenUsed/>
    <w:rsid w:val="002A688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40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il/he/pages/dec4195-2026"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441</Words>
  <Characters>2206</Characters>
  <Application>Microsoft Office Word</Application>
  <DocSecurity>0</DocSecurity>
  <Lines>18</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10</cp:revision>
  <cp:lastPrinted>1899-12-31T22:00:00Z</cp:lastPrinted>
  <dcterms:created xsi:type="dcterms:W3CDTF">2026-07-28T03:58:00Z</dcterms:created>
  <dcterms:modified xsi:type="dcterms:W3CDTF">2026-07-28T04:34:00Z</dcterms:modified>
</cp:coreProperties>
</file>