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F12CC" w14:textId="77777777" w:rsidR="00CB133E" w:rsidRDefault="00CB133E">
      <w:pPr>
        <w:pStyle w:val="a6"/>
        <w:rPr>
          <w:rFonts w:hint="cs"/>
          <w:rtl/>
        </w:rPr>
      </w:pPr>
    </w:p>
    <w:p w14:paraId="67C0E9A8" w14:textId="77777777" w:rsidR="00CB133E" w:rsidRDefault="00CB133E">
      <w:pPr>
        <w:pStyle w:val="a6"/>
        <w:rPr>
          <w:rtl/>
        </w:rPr>
      </w:pPr>
      <w:r>
        <w:rPr>
          <w:rtl/>
        </w:rPr>
        <w:t>מדינת ישראל</w:t>
      </w:r>
    </w:p>
    <w:p w14:paraId="6ED0D228" w14:textId="77777777" w:rsidR="00CB133E" w:rsidRDefault="00CB133E">
      <w:pPr>
        <w:pStyle w:val="a6"/>
        <w:rPr>
          <w:szCs w:val="24"/>
          <w:rtl/>
        </w:rPr>
      </w:pPr>
      <w:r>
        <w:rPr>
          <w:rtl/>
        </w:rPr>
        <w:t>האוצר - אגף התקציבים</w:t>
      </w:r>
    </w:p>
    <w:p w14:paraId="5C1B3999" w14:textId="77777777" w:rsidR="00CB133E" w:rsidRDefault="00CB133E">
      <w:pPr>
        <w:rPr>
          <w:rtl/>
        </w:rPr>
      </w:pPr>
    </w:p>
    <w:p w14:paraId="1B7D802C" w14:textId="77777777" w:rsidR="00CB133E" w:rsidRDefault="00CB133E" w:rsidP="006A7A7A">
      <w:pPr>
        <w:tabs>
          <w:tab w:val="left" w:pos="5613"/>
        </w:tabs>
        <w:rPr>
          <w:rtl/>
        </w:rPr>
      </w:pPr>
    </w:p>
    <w:p w14:paraId="38AAC671" w14:textId="36FAC37E" w:rsidR="00CB133E" w:rsidRDefault="00CB133E" w:rsidP="006A7A7A">
      <w:pPr>
        <w:tabs>
          <w:tab w:val="left" w:pos="5613"/>
        </w:tabs>
        <w:rPr>
          <w:rtl/>
        </w:rPr>
      </w:pPr>
      <w:r>
        <w:rPr>
          <w:rtl/>
        </w:rPr>
        <w:tab/>
      </w:r>
      <w:bookmarkStart w:id="0" w:name="TAKZIV8"/>
      <w:r w:rsidR="00ED0D8D">
        <w:rPr>
          <w:rtl/>
        </w:rPr>
        <w:t>תקציב רגיל</w:t>
      </w:r>
      <w:bookmarkEnd w:id="0"/>
    </w:p>
    <w:p w14:paraId="0A8BA835" w14:textId="77777777" w:rsidR="00CB133E" w:rsidRPr="00161010" w:rsidRDefault="00CB133E" w:rsidP="006A7A7A">
      <w:pPr>
        <w:tabs>
          <w:tab w:val="left" w:pos="5613"/>
        </w:tabs>
        <w:rPr>
          <w:rFonts w:cs="FrankRuehl"/>
          <w:sz w:val="26"/>
          <w:szCs w:val="26"/>
          <w:rtl/>
        </w:rPr>
      </w:pPr>
      <w:r>
        <w:rPr>
          <w:rtl/>
        </w:rPr>
        <w:tab/>
      </w:r>
    </w:p>
    <w:p w14:paraId="2AC0B3D9" w14:textId="77777777"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ירושלים, </w:t>
      </w:r>
      <w:bookmarkStart w:id="1" w:name="TAKZIV9"/>
      <w:bookmarkEnd w:id="1"/>
    </w:p>
    <w:p w14:paraId="3DC06752" w14:textId="2FD6BCF8" w:rsidR="00CB133E" w:rsidRPr="00161010" w:rsidRDefault="00CB133E" w:rsidP="00904D11">
      <w:pPr>
        <w:tabs>
          <w:tab w:val="left" w:pos="5613"/>
        </w:tabs>
        <w:jc w:val="right"/>
        <w:rPr>
          <w:rFonts w:cs="FrankRuehl" w:hint="cs"/>
          <w:sz w:val="26"/>
          <w:szCs w:val="26"/>
          <w:rtl/>
        </w:rPr>
      </w:pPr>
      <w:r w:rsidRPr="00161010">
        <w:rPr>
          <w:rFonts w:cs="FrankRuehl"/>
          <w:sz w:val="26"/>
          <w:szCs w:val="26"/>
          <w:rtl/>
        </w:rPr>
        <w:tab/>
        <w:t xml:space="preserve">בקשה מספר </w:t>
      </w:r>
      <w:bookmarkStart w:id="2" w:name="TAKZIV4"/>
      <w:r w:rsidR="00ED0D8D">
        <w:rPr>
          <w:rFonts w:cs="FrankRuehl"/>
          <w:sz w:val="26"/>
          <w:szCs w:val="26"/>
          <w:rtl/>
        </w:rPr>
        <w:t>215</w:t>
      </w:r>
      <w:bookmarkEnd w:id="2"/>
      <w:r w:rsidRPr="00161010">
        <w:rPr>
          <w:rFonts w:cs="FrankRuehl"/>
          <w:sz w:val="26"/>
          <w:szCs w:val="26"/>
          <w:rtl/>
        </w:rPr>
        <w:t xml:space="preserve"> </w:t>
      </w:r>
      <w:r w:rsidR="00904D11">
        <w:rPr>
          <w:rFonts w:cs="FrankRuehl" w:hint="cs"/>
          <w:sz w:val="26"/>
          <w:szCs w:val="26"/>
          <w:rtl/>
        </w:rPr>
        <w:t>-</w:t>
      </w:r>
      <w:r w:rsidRPr="00161010">
        <w:rPr>
          <w:rFonts w:cs="FrankRuehl"/>
          <w:sz w:val="26"/>
          <w:szCs w:val="26"/>
          <w:rtl/>
        </w:rPr>
        <w:t xml:space="preserve"> </w:t>
      </w:r>
      <w:bookmarkStart w:id="3" w:name="TAKZIV3"/>
      <w:r w:rsidR="00ED0D8D">
        <w:rPr>
          <w:rFonts w:cs="FrankRuehl"/>
          <w:sz w:val="26"/>
          <w:szCs w:val="26"/>
          <w:rtl/>
        </w:rPr>
        <w:t>15</w:t>
      </w:r>
      <w:bookmarkEnd w:id="3"/>
      <w:r w:rsidR="00904D11">
        <w:rPr>
          <w:rFonts w:cs="FrankRuehl" w:hint="cs"/>
          <w:sz w:val="26"/>
          <w:szCs w:val="26"/>
          <w:rtl/>
        </w:rPr>
        <w:t>, 36-207, 68-207, 04-231</w:t>
      </w:r>
    </w:p>
    <w:p w14:paraId="19488650" w14:textId="114EC6F4"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מספר פניה </w:t>
      </w:r>
      <w:proofErr w:type="spellStart"/>
      <w:r w:rsidRPr="00161010">
        <w:rPr>
          <w:rFonts w:cs="FrankRuehl"/>
          <w:sz w:val="26"/>
          <w:szCs w:val="26"/>
          <w:rtl/>
        </w:rPr>
        <w:t>לועדה</w:t>
      </w:r>
      <w:proofErr w:type="spellEnd"/>
      <w:r w:rsidRPr="00161010">
        <w:rPr>
          <w:rFonts w:cs="FrankRuehl"/>
          <w:sz w:val="26"/>
          <w:szCs w:val="26"/>
          <w:rtl/>
        </w:rPr>
        <w:t xml:space="preserve">: </w:t>
      </w:r>
      <w:bookmarkStart w:id="4" w:name="TAKZIV11"/>
      <w:r w:rsidR="00ED0D8D">
        <w:rPr>
          <w:rFonts w:cs="FrankRuehl"/>
          <w:sz w:val="26"/>
          <w:szCs w:val="26"/>
          <w:rtl/>
        </w:rPr>
        <w:t>164</w:t>
      </w:r>
      <w:bookmarkEnd w:id="4"/>
      <w:r w:rsidR="00904D11">
        <w:rPr>
          <w:rFonts w:cs="FrankRuehl" w:hint="cs"/>
          <w:sz w:val="26"/>
          <w:szCs w:val="26"/>
          <w:rtl/>
        </w:rPr>
        <w:t xml:space="preserve"> עד 167</w:t>
      </w:r>
      <w:r w:rsidRPr="00161010">
        <w:rPr>
          <w:rFonts w:cs="FrankRuehl"/>
          <w:sz w:val="26"/>
          <w:szCs w:val="26"/>
          <w:rtl/>
        </w:rPr>
        <w:tab/>
      </w:r>
    </w:p>
    <w:p w14:paraId="0E557685" w14:textId="77777777" w:rsidR="00CB133E" w:rsidRPr="00161010" w:rsidRDefault="00CB133E">
      <w:pPr>
        <w:rPr>
          <w:rFonts w:cs="FrankRuehl"/>
          <w:sz w:val="26"/>
          <w:szCs w:val="26"/>
          <w:rtl/>
        </w:rPr>
      </w:pPr>
      <w:r w:rsidRPr="00161010">
        <w:rPr>
          <w:rFonts w:cs="FrankRuehl"/>
          <w:sz w:val="26"/>
          <w:szCs w:val="26"/>
          <w:rtl/>
        </w:rPr>
        <w:t>לכבוד,</w:t>
      </w:r>
    </w:p>
    <w:p w14:paraId="7FB07C6B" w14:textId="77777777" w:rsidR="00CB133E" w:rsidRPr="00161010" w:rsidRDefault="00CB133E">
      <w:pPr>
        <w:rPr>
          <w:rFonts w:cs="FrankRuehl"/>
          <w:sz w:val="26"/>
          <w:szCs w:val="26"/>
          <w:rtl/>
        </w:rPr>
      </w:pPr>
      <w:r w:rsidRPr="00161010">
        <w:rPr>
          <w:rFonts w:cs="FrankRuehl"/>
          <w:sz w:val="26"/>
          <w:szCs w:val="26"/>
          <w:rtl/>
        </w:rPr>
        <w:t>יו"ר ועדת הכספים</w:t>
      </w:r>
    </w:p>
    <w:p w14:paraId="30A2063D" w14:textId="77777777" w:rsidR="00CB133E" w:rsidRPr="00161010" w:rsidRDefault="00CB133E">
      <w:pPr>
        <w:rPr>
          <w:rFonts w:cs="FrankRuehl"/>
          <w:sz w:val="26"/>
          <w:szCs w:val="26"/>
          <w:rtl/>
        </w:rPr>
      </w:pPr>
      <w:r w:rsidRPr="00161010">
        <w:rPr>
          <w:rFonts w:cs="FrankRuehl"/>
          <w:sz w:val="26"/>
          <w:szCs w:val="26"/>
          <w:rtl/>
        </w:rPr>
        <w:t>של הכנסת</w:t>
      </w:r>
    </w:p>
    <w:p w14:paraId="52D62541" w14:textId="77777777" w:rsidR="00CB133E" w:rsidRPr="00161010" w:rsidRDefault="00CB133E">
      <w:pPr>
        <w:rPr>
          <w:rFonts w:cs="FrankRuehl"/>
          <w:sz w:val="26"/>
          <w:szCs w:val="26"/>
          <w:rtl/>
        </w:rPr>
      </w:pPr>
    </w:p>
    <w:p w14:paraId="7C60194F" w14:textId="77777777" w:rsidR="00CB133E" w:rsidRPr="00161010" w:rsidRDefault="00CB133E">
      <w:pPr>
        <w:rPr>
          <w:rFonts w:cs="FrankRuehl"/>
          <w:sz w:val="26"/>
          <w:szCs w:val="26"/>
          <w:rtl/>
        </w:rPr>
      </w:pPr>
      <w:r w:rsidRPr="00161010">
        <w:rPr>
          <w:rFonts w:cs="FrankRuehl"/>
          <w:sz w:val="26"/>
          <w:szCs w:val="26"/>
          <w:rtl/>
        </w:rPr>
        <w:t>א.נ.,</w:t>
      </w:r>
    </w:p>
    <w:p w14:paraId="0DB7DEB8" w14:textId="77777777" w:rsidR="00CB133E" w:rsidRPr="00161010" w:rsidRDefault="00CB133E">
      <w:pPr>
        <w:rPr>
          <w:rFonts w:cs="FrankRuehl"/>
          <w:sz w:val="26"/>
          <w:szCs w:val="26"/>
          <w:rtl/>
        </w:rPr>
      </w:pPr>
    </w:p>
    <w:p w14:paraId="61E7E56D" w14:textId="3505C69C" w:rsidR="00CB133E" w:rsidRPr="00161010" w:rsidRDefault="00CB133E">
      <w:pPr>
        <w:pStyle w:val="a7"/>
        <w:rPr>
          <w:rFonts w:cs="FrankRuehl"/>
          <w:sz w:val="26"/>
          <w:rtl/>
        </w:rPr>
      </w:pPr>
      <w:r w:rsidRPr="00161010">
        <w:rPr>
          <w:rFonts w:cs="FrankRuehl"/>
          <w:bCs w:val="0"/>
          <w:sz w:val="26"/>
          <w:u w:val="none"/>
          <w:rtl/>
        </w:rPr>
        <w:t xml:space="preserve">הנדון: </w:t>
      </w:r>
      <w:r w:rsidRPr="00161010">
        <w:rPr>
          <w:rFonts w:cs="FrankRuehl"/>
          <w:bCs w:val="0"/>
          <w:sz w:val="26"/>
          <w:rtl/>
        </w:rPr>
        <w:t>שינויים בין סעיפים לשנת</w:t>
      </w:r>
      <w:r w:rsidRPr="00161010">
        <w:rPr>
          <w:rFonts w:cs="FrankRuehl"/>
          <w:sz w:val="26"/>
          <w:rtl/>
        </w:rPr>
        <w:t xml:space="preserve"> </w:t>
      </w:r>
      <w:bookmarkStart w:id="5" w:name="TAKZIV1"/>
      <w:r w:rsidR="00ED0D8D">
        <w:rPr>
          <w:rFonts w:cs="FrankRuehl"/>
          <w:sz w:val="26"/>
          <w:rtl/>
        </w:rPr>
        <w:t>2026</w:t>
      </w:r>
      <w:bookmarkEnd w:id="5"/>
      <w:r w:rsidRPr="00161010">
        <w:rPr>
          <w:rFonts w:cs="FrankRuehl"/>
          <w:sz w:val="26"/>
          <w:rtl/>
        </w:rPr>
        <w:t xml:space="preserve">    </w:t>
      </w:r>
    </w:p>
    <w:p w14:paraId="1859635D" w14:textId="77777777" w:rsidR="00CB133E" w:rsidRPr="00161010" w:rsidRDefault="00CB133E">
      <w:pPr>
        <w:rPr>
          <w:rFonts w:cs="FrankRuehl"/>
          <w:sz w:val="26"/>
          <w:szCs w:val="26"/>
          <w:rtl/>
        </w:rPr>
      </w:pPr>
    </w:p>
    <w:p w14:paraId="38459551" w14:textId="47FC347F" w:rsidR="00CB133E" w:rsidRPr="00161010" w:rsidRDefault="00CB133E" w:rsidP="00904D11">
      <w:pPr>
        <w:jc w:val="both"/>
        <w:rPr>
          <w:rFonts w:cs="FrankRuehl"/>
          <w:sz w:val="26"/>
          <w:szCs w:val="26"/>
          <w:rtl/>
        </w:rPr>
      </w:pPr>
      <w:r w:rsidRPr="00161010">
        <w:rPr>
          <w:rFonts w:cs="FrankRuehl"/>
          <w:sz w:val="26"/>
          <w:szCs w:val="26"/>
          <w:rtl/>
        </w:rPr>
        <w:t xml:space="preserve">שר האוצר מבקש את אישורה של ועדת הכספים של הכנסת להעברת סכום של </w:t>
      </w:r>
      <w:r w:rsidR="00904D11">
        <w:rPr>
          <w:rFonts w:cs="FrankRuehl" w:hint="cs"/>
          <w:sz w:val="26"/>
          <w:szCs w:val="26"/>
          <w:rtl/>
        </w:rPr>
        <w:t>42,138</w:t>
      </w:r>
      <w:r w:rsidRPr="00161010">
        <w:rPr>
          <w:rFonts w:cs="FrankRuehl"/>
          <w:sz w:val="26"/>
          <w:szCs w:val="26"/>
          <w:rtl/>
        </w:rPr>
        <w:t xml:space="preserve"> אלפי שקלים חדשים</w:t>
      </w:r>
      <w:r w:rsidR="00904D11">
        <w:rPr>
          <w:rFonts w:cs="FrankRuehl" w:hint="cs"/>
          <w:sz w:val="26"/>
          <w:szCs w:val="26"/>
          <w:rtl/>
        </w:rPr>
        <w:t xml:space="preserve"> וסך של 2 תקני כוח אדם</w:t>
      </w:r>
      <w:r w:rsidRPr="00161010">
        <w:rPr>
          <w:rFonts w:cs="FrankRuehl"/>
          <w:sz w:val="26"/>
          <w:szCs w:val="26"/>
          <w:rtl/>
        </w:rPr>
        <w:t xml:space="preserve"> מסעיף </w:t>
      </w:r>
      <w:bookmarkStart w:id="6" w:name="TAKZIV3_1"/>
      <w:bookmarkEnd w:id="6"/>
      <w:r w:rsidR="00904D11">
        <w:rPr>
          <w:rFonts w:cs="FrankRuehl" w:hint="cs"/>
          <w:sz w:val="26"/>
          <w:szCs w:val="26"/>
          <w:rtl/>
        </w:rPr>
        <w:t>15</w:t>
      </w:r>
      <w:r w:rsidRPr="00161010">
        <w:rPr>
          <w:rFonts w:cs="FrankRuehl"/>
          <w:sz w:val="26"/>
          <w:szCs w:val="26"/>
          <w:rtl/>
        </w:rPr>
        <w:t xml:space="preserve"> - </w:t>
      </w:r>
      <w:bookmarkStart w:id="7" w:name="TAKZIV6"/>
      <w:r w:rsidR="00ED0D8D">
        <w:rPr>
          <w:rFonts w:cs="FrankRuehl"/>
          <w:sz w:val="26"/>
          <w:szCs w:val="26"/>
          <w:rtl/>
        </w:rPr>
        <w:t>משרד הביטחון</w:t>
      </w:r>
      <w:bookmarkEnd w:id="7"/>
      <w:r w:rsidRPr="00161010">
        <w:rPr>
          <w:rFonts w:cs="FrankRuehl"/>
          <w:sz w:val="26"/>
          <w:szCs w:val="26"/>
          <w:rtl/>
        </w:rPr>
        <w:t>,</w:t>
      </w:r>
      <w:r w:rsidR="00904D11">
        <w:rPr>
          <w:rFonts w:cs="FrankRuehl" w:hint="cs"/>
          <w:sz w:val="26"/>
          <w:szCs w:val="26"/>
          <w:rtl/>
        </w:rPr>
        <w:t xml:space="preserve"> 36 - תעסוקה, 68 - רשות האוכלוסין,</w:t>
      </w:r>
      <w:r w:rsidRPr="00161010">
        <w:rPr>
          <w:rFonts w:cs="FrankRuehl"/>
          <w:sz w:val="26"/>
          <w:szCs w:val="26"/>
          <w:rtl/>
        </w:rPr>
        <w:t xml:space="preserve"> לסעיף 47 - רזרבה כללית, בהתאם לסעיף 11 (ה) לחוק יסודות התקציב </w:t>
      </w:r>
      <w:proofErr w:type="spellStart"/>
      <w:r w:rsidRPr="00161010">
        <w:rPr>
          <w:rFonts w:cs="FrankRuehl"/>
          <w:sz w:val="26"/>
          <w:szCs w:val="26"/>
          <w:rtl/>
        </w:rPr>
        <w:t>התשמ"ה</w:t>
      </w:r>
      <w:proofErr w:type="spellEnd"/>
      <w:r w:rsidRPr="00161010">
        <w:rPr>
          <w:rFonts w:cs="FrankRuehl"/>
          <w:sz w:val="26"/>
          <w:szCs w:val="26"/>
          <w:rtl/>
        </w:rPr>
        <w:t xml:space="preserve"> - 1985.</w:t>
      </w:r>
    </w:p>
    <w:p w14:paraId="607E168C" w14:textId="77777777" w:rsidR="00CB133E" w:rsidRPr="00161010" w:rsidRDefault="00CB133E" w:rsidP="00904D11">
      <w:pPr>
        <w:jc w:val="both"/>
        <w:rPr>
          <w:rFonts w:cs="FrankRuehl"/>
          <w:sz w:val="26"/>
          <w:szCs w:val="26"/>
          <w:rtl/>
        </w:rPr>
      </w:pPr>
    </w:p>
    <w:p w14:paraId="3F99E987" w14:textId="768B7BA1" w:rsidR="00CB133E" w:rsidRPr="00161010" w:rsidRDefault="00CB133E" w:rsidP="00904D11">
      <w:pPr>
        <w:jc w:val="both"/>
        <w:rPr>
          <w:rFonts w:cs="FrankRuehl"/>
          <w:sz w:val="26"/>
          <w:szCs w:val="26"/>
          <w:rtl/>
        </w:rPr>
      </w:pPr>
      <w:r w:rsidRPr="00161010">
        <w:rPr>
          <w:rFonts w:cs="FrankRuehl"/>
          <w:sz w:val="26"/>
          <w:szCs w:val="26"/>
          <w:rtl/>
        </w:rPr>
        <w:t>כמו כן, מבקש שר האוצר את אישורה של ועדת הכספים של הכנסת להעברת סכום של</w:t>
      </w:r>
      <w:r w:rsidR="00904D11">
        <w:rPr>
          <w:rFonts w:cs="FrankRuehl" w:hint="cs"/>
          <w:sz w:val="26"/>
          <w:szCs w:val="26"/>
          <w:rtl/>
        </w:rPr>
        <w:t xml:space="preserve"> </w:t>
      </w:r>
      <w:r w:rsidR="00904D11">
        <w:rPr>
          <w:rFonts w:cs="FrankRuehl" w:hint="cs"/>
          <w:sz w:val="26"/>
          <w:szCs w:val="26"/>
          <w:rtl/>
        </w:rPr>
        <w:t>42,138</w:t>
      </w:r>
      <w:r w:rsidR="00904D11">
        <w:rPr>
          <w:rFonts w:cs="FrankRuehl" w:hint="cs"/>
          <w:sz w:val="26"/>
          <w:szCs w:val="26"/>
          <w:rtl/>
        </w:rPr>
        <w:t xml:space="preserve"> </w:t>
      </w:r>
      <w:r w:rsidRPr="00161010">
        <w:rPr>
          <w:rFonts w:cs="FrankRuehl"/>
          <w:sz w:val="26"/>
          <w:szCs w:val="26"/>
          <w:rtl/>
        </w:rPr>
        <w:t>אלפי שקלים חדשים</w:t>
      </w:r>
      <w:r w:rsidR="00904D11">
        <w:rPr>
          <w:rFonts w:cs="FrankRuehl" w:hint="cs"/>
          <w:sz w:val="26"/>
          <w:szCs w:val="26"/>
          <w:rtl/>
        </w:rPr>
        <w:t xml:space="preserve"> </w:t>
      </w:r>
      <w:r w:rsidR="00904D11">
        <w:rPr>
          <w:rFonts w:cs="FrankRuehl" w:hint="cs"/>
          <w:sz w:val="26"/>
          <w:szCs w:val="26"/>
          <w:rtl/>
        </w:rPr>
        <w:t>וסך של 2 תקני כוח אדם</w:t>
      </w:r>
      <w:r w:rsidRPr="00161010">
        <w:rPr>
          <w:rFonts w:cs="FrankRuehl"/>
          <w:sz w:val="26"/>
          <w:szCs w:val="26"/>
          <w:rtl/>
        </w:rPr>
        <w:t xml:space="preserve"> מסעיף 47 - רזרבה כללית לסעיף  </w:t>
      </w:r>
      <w:r w:rsidR="00904D11">
        <w:rPr>
          <w:rFonts w:ascii="FrankRuehl" w:hAnsi="FrankRuehl" w:cs="FrankRuehl"/>
          <w:sz w:val="26"/>
          <w:szCs w:val="26"/>
          <w:rtl/>
        </w:rPr>
        <w:t xml:space="preserve">04 </w:t>
      </w:r>
      <w:r w:rsidR="00904D11">
        <w:rPr>
          <w:rFonts w:ascii="FrankRuehl" w:hAnsi="FrankRuehl" w:cs="FrankRuehl" w:hint="cs"/>
          <w:sz w:val="26"/>
          <w:szCs w:val="26"/>
          <w:rtl/>
        </w:rPr>
        <w:t>-</w:t>
      </w:r>
      <w:r w:rsidR="00904D11">
        <w:rPr>
          <w:rFonts w:ascii="FrankRuehl" w:hAnsi="FrankRuehl" w:cs="FrankRuehl"/>
          <w:sz w:val="26"/>
          <w:szCs w:val="26"/>
          <w:rtl/>
        </w:rPr>
        <w:t xml:space="preserve"> משרד ראש הממשלה</w:t>
      </w:r>
      <w:r w:rsidRPr="00161010">
        <w:rPr>
          <w:rFonts w:cs="FrankRuehl"/>
          <w:sz w:val="26"/>
          <w:szCs w:val="26"/>
          <w:rtl/>
        </w:rPr>
        <w:t xml:space="preserve"> בהתאם לסעיף 12 (א)</w:t>
      </w:r>
      <w:r w:rsidR="00904D11">
        <w:rPr>
          <w:rFonts w:cs="FrankRuehl" w:hint="cs"/>
          <w:sz w:val="26"/>
          <w:szCs w:val="26"/>
          <w:rtl/>
        </w:rPr>
        <w:t xml:space="preserve"> </w:t>
      </w:r>
      <w:r w:rsidRPr="00161010">
        <w:rPr>
          <w:rFonts w:cs="FrankRuehl"/>
          <w:sz w:val="26"/>
          <w:szCs w:val="26"/>
          <w:rtl/>
        </w:rPr>
        <w:t xml:space="preserve">לחוק יסודות התקציב, </w:t>
      </w:r>
      <w:proofErr w:type="spellStart"/>
      <w:r w:rsidRPr="00161010">
        <w:rPr>
          <w:rFonts w:cs="FrankRuehl"/>
          <w:sz w:val="26"/>
          <w:szCs w:val="26"/>
          <w:rtl/>
        </w:rPr>
        <w:t>התשמ"ה</w:t>
      </w:r>
      <w:proofErr w:type="spellEnd"/>
      <w:r w:rsidRPr="00161010">
        <w:rPr>
          <w:rFonts w:cs="FrankRuehl"/>
          <w:sz w:val="26"/>
          <w:szCs w:val="26"/>
          <w:rtl/>
        </w:rPr>
        <w:t xml:space="preserve"> - 1985, כמפורט בתדפיס המצורף בזה.</w:t>
      </w:r>
    </w:p>
    <w:p w14:paraId="0EA0AE0C" w14:textId="3847F4F2" w:rsidR="00CB133E" w:rsidRDefault="00CB133E" w:rsidP="00904D11">
      <w:pPr>
        <w:jc w:val="both"/>
        <w:rPr>
          <w:rFonts w:cs="FrankRuehl"/>
          <w:sz w:val="26"/>
          <w:szCs w:val="26"/>
          <w:rtl/>
        </w:rPr>
      </w:pPr>
    </w:p>
    <w:p w14:paraId="5CF96826" w14:textId="265974AA" w:rsidR="00904D11" w:rsidRDefault="00904D11" w:rsidP="00904D11">
      <w:pPr>
        <w:jc w:val="both"/>
        <w:rPr>
          <w:rFonts w:ascii="FrankRuehl" w:hAnsi="FrankRuehl" w:cs="FrankRuehl"/>
          <w:b/>
          <w:bCs/>
          <w:sz w:val="26"/>
          <w:szCs w:val="26"/>
          <w:rtl/>
          <w:lang w:eastAsia="en-US"/>
        </w:rPr>
      </w:pPr>
      <w:bookmarkStart w:id="8" w:name="_Hlk235616458"/>
      <w:r>
        <w:rPr>
          <w:rFonts w:ascii="FrankRuehl" w:hAnsi="FrankRuehl" w:cs="FrankRuehl"/>
          <w:b/>
          <w:bCs/>
          <w:sz w:val="26"/>
          <w:szCs w:val="26"/>
          <w:rtl/>
        </w:rPr>
        <w:t xml:space="preserve">הבקשה דנה בסעיף תקציבי: </w:t>
      </w:r>
      <w:r>
        <w:rPr>
          <w:rFonts w:ascii="FrankRuehl" w:hAnsi="FrankRuehl" w:cs="FrankRuehl"/>
          <w:sz w:val="26"/>
          <w:szCs w:val="26"/>
          <w:rtl/>
        </w:rPr>
        <w:t xml:space="preserve">04 </w:t>
      </w:r>
      <w:r>
        <w:rPr>
          <w:rFonts w:ascii="FrankRuehl" w:hAnsi="FrankRuehl" w:cs="FrankRuehl" w:hint="cs"/>
          <w:sz w:val="26"/>
          <w:szCs w:val="26"/>
          <w:rtl/>
        </w:rPr>
        <w:t>-</w:t>
      </w:r>
      <w:r>
        <w:rPr>
          <w:rFonts w:ascii="FrankRuehl" w:hAnsi="FrankRuehl" w:cs="FrankRuehl"/>
          <w:sz w:val="26"/>
          <w:szCs w:val="26"/>
          <w:rtl/>
        </w:rPr>
        <w:t xml:space="preserve"> משרד ראש הממשלה</w:t>
      </w:r>
    </w:p>
    <w:p w14:paraId="50DD5A13" w14:textId="77777777" w:rsidR="00904D11" w:rsidRDefault="00904D11" w:rsidP="00904D11">
      <w:pPr>
        <w:jc w:val="both"/>
        <w:rPr>
          <w:rFonts w:ascii="FrankRuehl" w:hAnsi="FrankRuehl" w:cs="FrankRuehl"/>
          <w:b/>
          <w:bCs/>
          <w:sz w:val="26"/>
          <w:szCs w:val="26"/>
          <w:lang w:eastAsia="en-US"/>
        </w:rPr>
      </w:pPr>
    </w:p>
    <w:p w14:paraId="671D6F4A" w14:textId="77777777" w:rsidR="00904D11" w:rsidRDefault="00904D11" w:rsidP="00904D11">
      <w:pPr>
        <w:jc w:val="both"/>
        <w:rPr>
          <w:rFonts w:cs="FrankRuehl"/>
          <w:b/>
          <w:bCs/>
          <w:sz w:val="26"/>
          <w:szCs w:val="26"/>
        </w:rPr>
      </w:pPr>
      <w:r>
        <w:rPr>
          <w:rFonts w:cs="FrankRuehl"/>
          <w:b/>
          <w:bCs/>
          <w:sz w:val="26"/>
          <w:szCs w:val="26"/>
          <w:rtl/>
        </w:rPr>
        <w:t>עיקרי הפנייה:</w:t>
      </w:r>
    </w:p>
    <w:p w14:paraId="6F4362E4" w14:textId="77777777" w:rsidR="00904D11" w:rsidRDefault="00904D11" w:rsidP="00904D11">
      <w:pPr>
        <w:jc w:val="both"/>
        <w:rPr>
          <w:rFonts w:cs="FrankRuehl"/>
          <w:sz w:val="26"/>
          <w:szCs w:val="26"/>
          <w:rtl/>
        </w:rPr>
      </w:pPr>
      <w:r>
        <w:rPr>
          <w:rFonts w:ascii="FrankRuehl" w:hAnsi="FrankRuehl" w:cs="FrankRuehl"/>
          <w:sz w:val="26"/>
          <w:szCs w:val="26"/>
          <w:rtl/>
        </w:rPr>
        <w:t xml:space="preserve">הפנייה התקציבית נועדה לתקצוב סך </w:t>
      </w:r>
      <w:r>
        <w:rPr>
          <w:rFonts w:cs="FrankRuehl"/>
          <w:sz w:val="26"/>
          <w:szCs w:val="26"/>
          <w:rtl/>
        </w:rPr>
        <w:t xml:space="preserve">של 42,138 אלפי ש"ח בהוצאה ו-2 תקני שיא כוח אדם לצד התאמות לביצוע בתקציב משרד ראש הממשלה.  </w:t>
      </w:r>
    </w:p>
    <w:p w14:paraId="0735AC15" w14:textId="77777777" w:rsidR="00904D11" w:rsidRDefault="00904D11" w:rsidP="00904D11">
      <w:pPr>
        <w:jc w:val="both"/>
        <w:rPr>
          <w:rFonts w:cs="FrankRuehl"/>
          <w:b/>
          <w:bCs/>
          <w:sz w:val="26"/>
          <w:szCs w:val="26"/>
          <w:rtl/>
        </w:rPr>
      </w:pPr>
    </w:p>
    <w:p w14:paraId="311760CB" w14:textId="77777777" w:rsidR="00904D11" w:rsidRPr="00904D11" w:rsidRDefault="00904D11" w:rsidP="00904D11">
      <w:pPr>
        <w:jc w:val="both"/>
        <w:rPr>
          <w:rFonts w:eastAsia="Calibri" w:cs="FrankRuehl"/>
          <w:b/>
          <w:bCs/>
          <w:sz w:val="26"/>
          <w:szCs w:val="26"/>
          <w:rtl/>
          <w:lang w:eastAsia="en-US"/>
        </w:rPr>
      </w:pPr>
      <w:r w:rsidRPr="00904D11">
        <w:rPr>
          <w:rFonts w:cs="FrankRuehl"/>
          <w:b/>
          <w:bCs/>
          <w:sz w:val="26"/>
          <w:szCs w:val="26"/>
          <w:rtl/>
        </w:rPr>
        <w:t xml:space="preserve">עיקרי הפנייה התקציבית בחלוקה </w:t>
      </w:r>
      <w:proofErr w:type="spellStart"/>
      <w:r w:rsidRPr="00904D11">
        <w:rPr>
          <w:rFonts w:cs="FrankRuehl"/>
          <w:b/>
          <w:bCs/>
          <w:sz w:val="26"/>
          <w:szCs w:val="26"/>
          <w:rtl/>
        </w:rPr>
        <w:t>לתכניות</w:t>
      </w:r>
      <w:proofErr w:type="spellEnd"/>
      <w:r w:rsidRPr="00904D11">
        <w:rPr>
          <w:rFonts w:cs="FrankRuehl"/>
          <w:b/>
          <w:bCs/>
          <w:sz w:val="26"/>
          <w:szCs w:val="26"/>
          <w:rtl/>
        </w:rPr>
        <w:t xml:space="preserve"> מובאים להלן:</w:t>
      </w:r>
    </w:p>
    <w:p w14:paraId="68E92A4E" w14:textId="77777777" w:rsidR="00904D11" w:rsidRDefault="00904D11" w:rsidP="00904D11">
      <w:pPr>
        <w:jc w:val="both"/>
        <w:rPr>
          <w:rFonts w:ascii="FrankRuehl" w:hAnsi="FrankRuehl" w:cs="FrankRuehl"/>
          <w:b/>
          <w:bCs/>
          <w:sz w:val="26"/>
          <w:szCs w:val="26"/>
          <w:rtl/>
        </w:rPr>
      </w:pPr>
      <w:r>
        <w:rPr>
          <w:rFonts w:ascii="FrankRuehl" w:hAnsi="FrankRuehl" w:cs="FrankRuehl"/>
          <w:b/>
          <w:bCs/>
          <w:sz w:val="26"/>
          <w:szCs w:val="26"/>
          <w:rtl/>
        </w:rPr>
        <w:t>תוכנית 045108: מערך הסייבר  הלאומי – 42,138 אלפי ש"ח ו-2 תקני שיא כוח אדם</w:t>
      </w:r>
    </w:p>
    <w:p w14:paraId="5408D504" w14:textId="77777777" w:rsidR="00904D11" w:rsidRDefault="00904D11" w:rsidP="00904D11">
      <w:pPr>
        <w:jc w:val="both"/>
        <w:rPr>
          <w:rFonts w:ascii="FrankRuehl" w:hAnsi="FrankRuehl" w:cs="FrankRuehl"/>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התוכנית כוללת את תקציב השכר והפעילות השוטפת של מערך הסייבר הלאומי.</w:t>
      </w:r>
    </w:p>
    <w:p w14:paraId="71E0DCC2" w14:textId="77777777" w:rsidR="00904D11" w:rsidRDefault="00904D11" w:rsidP="00904D11">
      <w:pPr>
        <w:jc w:val="both"/>
        <w:rPr>
          <w:rFonts w:ascii="FrankRuehl" w:hAnsi="FrankRuehl" w:cs="FrankRuehl"/>
          <w:b/>
          <w:bCs/>
          <w:sz w:val="26"/>
          <w:szCs w:val="26"/>
          <w:rtl/>
        </w:rPr>
      </w:pPr>
      <w:r>
        <w:rPr>
          <w:rFonts w:ascii="FrankRuehl" w:hAnsi="FrankRuehl" w:cs="FrankRuehl"/>
          <w:b/>
          <w:bCs/>
          <w:sz w:val="26"/>
          <w:szCs w:val="26"/>
          <w:rtl/>
        </w:rPr>
        <w:t>מטרת השינוי:</w:t>
      </w:r>
    </w:p>
    <w:p w14:paraId="5A81E44E" w14:textId="77777777" w:rsidR="00904D11" w:rsidRDefault="00904D11" w:rsidP="00904D11">
      <w:pPr>
        <w:jc w:val="both"/>
        <w:rPr>
          <w:rFonts w:ascii="FrankRuehl" w:hAnsi="FrankRuehl" w:cs="FrankRuehl"/>
          <w:sz w:val="26"/>
          <w:szCs w:val="26"/>
        </w:rPr>
      </w:pPr>
      <w:r>
        <w:rPr>
          <w:rFonts w:ascii="FrankRuehl" w:hAnsi="FrankRuehl" w:cs="FrankRuehl"/>
          <w:sz w:val="26"/>
          <w:szCs w:val="26"/>
          <w:rtl/>
        </w:rPr>
        <w:t xml:space="preserve">הפנייה נועדה לתגבור תקציב הפעולות של מערך הסייבר הלאומי בהתאם להתגברות האיומים במרחב </w:t>
      </w:r>
      <w:proofErr w:type="spellStart"/>
      <w:r>
        <w:rPr>
          <w:rFonts w:ascii="FrankRuehl" w:hAnsi="FrankRuehl" w:cs="FrankRuehl"/>
          <w:sz w:val="26"/>
          <w:szCs w:val="26"/>
          <w:rtl/>
        </w:rPr>
        <w:t>הקברניטי</w:t>
      </w:r>
      <w:proofErr w:type="spellEnd"/>
      <w:r>
        <w:rPr>
          <w:rFonts w:ascii="FrankRuehl" w:hAnsi="FrankRuehl" w:cs="FrankRuehl"/>
          <w:sz w:val="26"/>
          <w:szCs w:val="26"/>
          <w:rtl/>
        </w:rPr>
        <w:t>. בין הפעולות קניית רישיונות לתוכנות ייעודיות להגנה בסייבר, רכישת מקורות מודיעין וכן תקצוב פרויקטים בהתאם לאבני דרך.</w:t>
      </w:r>
      <w:r>
        <w:rPr>
          <w:rFonts w:ascii="FrankRuehl" w:hAnsi="FrankRuehl" w:cs="FrankRuehl"/>
          <w:b/>
          <w:bCs/>
          <w:sz w:val="26"/>
          <w:szCs w:val="26"/>
          <w:rtl/>
        </w:rPr>
        <w:t xml:space="preserve"> </w:t>
      </w:r>
      <w:r>
        <w:rPr>
          <w:rFonts w:ascii="FrankRuehl" w:hAnsi="FrankRuehl" w:cs="FrankRuehl"/>
          <w:sz w:val="26"/>
          <w:szCs w:val="26"/>
          <w:rtl/>
        </w:rPr>
        <w:t>נוסף לזאת, תוספת בסך של 2,500 אלפי ש"ח עבור יישום החלטה מספר 3474 של הממשלה מיום 09.11.2025 בנושא פיתוח וחיזוק באר שבע כעיר הליבה של מטרופולין הדרום ותיקון החלטת ממשלה, וכן תוספת של 2 תקני שיא כוח אדם ו 3,000 אלפי ש"ח בהוצאה לחיזוק היחידה להזדהות וליישום ביומטרי בהתאם להחלטת ממשלה מספר 3573 מיום  04.12.2025 בנושא דיגיטציה: שיפור השירות לאזרח והאצת העברות מידע בין גופים ציבוריים ותיקון החלטות ממשלה.</w:t>
      </w:r>
    </w:p>
    <w:p w14:paraId="27EF3FDA" w14:textId="77777777" w:rsidR="00904D11" w:rsidRDefault="00904D11" w:rsidP="00904D11">
      <w:pPr>
        <w:jc w:val="both"/>
        <w:rPr>
          <w:rFonts w:ascii="FrankRuehl" w:hAnsi="FrankRuehl" w:cs="FrankRuehl"/>
          <w:b/>
          <w:bCs/>
          <w:sz w:val="26"/>
          <w:szCs w:val="26"/>
          <w:rtl/>
        </w:rPr>
      </w:pPr>
    </w:p>
    <w:p w14:paraId="20714785" w14:textId="77777777" w:rsidR="00904D11" w:rsidRDefault="00904D11" w:rsidP="00904D11">
      <w:pPr>
        <w:jc w:val="both"/>
        <w:rPr>
          <w:rFonts w:ascii="FrankRuehl" w:hAnsi="FrankRuehl" w:cs="FrankRuehl"/>
          <w:b/>
          <w:bCs/>
          <w:sz w:val="26"/>
          <w:szCs w:val="26"/>
          <w:rtl/>
        </w:rPr>
      </w:pPr>
      <w:r>
        <w:rPr>
          <w:rFonts w:ascii="FrankRuehl" w:hAnsi="FrankRuehl" w:cs="FrankRuehl"/>
          <w:b/>
          <w:bCs/>
          <w:sz w:val="26"/>
          <w:szCs w:val="26"/>
          <w:rtl/>
        </w:rPr>
        <w:t xml:space="preserve">תוכנית 045215: מערך </w:t>
      </w:r>
      <w:proofErr w:type="spellStart"/>
      <w:r>
        <w:rPr>
          <w:rFonts w:ascii="FrankRuehl" w:hAnsi="FrankRuehl" w:cs="FrankRuehl"/>
          <w:b/>
          <w:bCs/>
          <w:sz w:val="26"/>
          <w:szCs w:val="26"/>
          <w:rtl/>
        </w:rPr>
        <w:t>הדיגיטל</w:t>
      </w:r>
      <w:proofErr w:type="spellEnd"/>
      <w:r>
        <w:rPr>
          <w:rFonts w:ascii="FrankRuehl" w:hAnsi="FrankRuehl" w:cs="FrankRuehl"/>
          <w:b/>
          <w:bCs/>
          <w:sz w:val="26"/>
          <w:szCs w:val="26"/>
          <w:rtl/>
        </w:rPr>
        <w:t xml:space="preserve"> הלאומי – 7,227 אלפי ש"ח </w:t>
      </w:r>
    </w:p>
    <w:p w14:paraId="34D16B12" w14:textId="56D56D35" w:rsidR="00904D11" w:rsidRDefault="00904D11" w:rsidP="00904D11">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השכר, התפעול הפעולות ופרויקטים בתחום </w:t>
      </w:r>
      <w:proofErr w:type="spellStart"/>
      <w:r>
        <w:rPr>
          <w:rFonts w:ascii="FrankRuehl" w:hAnsi="FrankRuehl" w:cs="FrankRuehl"/>
          <w:sz w:val="26"/>
          <w:szCs w:val="26"/>
          <w:rtl/>
        </w:rPr>
        <w:t>הדיגיטל</w:t>
      </w:r>
      <w:proofErr w:type="spellEnd"/>
      <w:r>
        <w:rPr>
          <w:rFonts w:ascii="FrankRuehl" w:hAnsi="FrankRuehl" w:cs="FrankRuehl"/>
          <w:sz w:val="26"/>
          <w:szCs w:val="26"/>
          <w:rtl/>
        </w:rPr>
        <w:t xml:space="preserve"> של מערך </w:t>
      </w:r>
      <w:proofErr w:type="spellStart"/>
      <w:r>
        <w:rPr>
          <w:rFonts w:ascii="FrankRuehl" w:hAnsi="FrankRuehl" w:cs="FrankRuehl"/>
          <w:sz w:val="26"/>
          <w:szCs w:val="26"/>
          <w:rtl/>
        </w:rPr>
        <w:t>הדיגיטל</w:t>
      </w:r>
      <w:proofErr w:type="spellEnd"/>
      <w:r>
        <w:rPr>
          <w:rFonts w:ascii="FrankRuehl" w:hAnsi="FrankRuehl" w:cs="FrankRuehl"/>
          <w:sz w:val="26"/>
          <w:szCs w:val="26"/>
          <w:rtl/>
        </w:rPr>
        <w:t xml:space="preserve"> הלאומי</w:t>
      </w:r>
    </w:p>
    <w:p w14:paraId="54CB7015" w14:textId="1B97A9B3" w:rsidR="00904D11" w:rsidRDefault="00904D11" w:rsidP="00904D11">
      <w:pPr>
        <w:jc w:val="both"/>
        <w:rPr>
          <w:rFonts w:ascii="FrankRuehl" w:hAnsi="FrankRuehl" w:cs="FrankRuehl"/>
          <w:sz w:val="26"/>
          <w:szCs w:val="26"/>
          <w:rtl/>
        </w:rPr>
      </w:pPr>
    </w:p>
    <w:p w14:paraId="24560A3A" w14:textId="77777777" w:rsidR="00904D11" w:rsidRDefault="00904D11" w:rsidP="00904D11">
      <w:pPr>
        <w:jc w:val="both"/>
        <w:rPr>
          <w:rFonts w:ascii="FrankRuehl" w:hAnsi="FrankRuehl" w:cs="FrankRuehl"/>
          <w:sz w:val="26"/>
          <w:szCs w:val="26"/>
          <w:rtl/>
        </w:rPr>
      </w:pPr>
    </w:p>
    <w:p w14:paraId="61055C64" w14:textId="77777777" w:rsidR="00904D11" w:rsidRDefault="00904D11" w:rsidP="00904D11">
      <w:pPr>
        <w:jc w:val="both"/>
        <w:rPr>
          <w:rFonts w:ascii="FrankRuehl" w:hAnsi="FrankRuehl" w:cs="FrankRuehl"/>
          <w:b/>
          <w:bCs/>
          <w:sz w:val="26"/>
          <w:szCs w:val="26"/>
          <w:rtl/>
        </w:rPr>
      </w:pPr>
      <w:r>
        <w:rPr>
          <w:rFonts w:ascii="FrankRuehl" w:hAnsi="FrankRuehl" w:cs="FrankRuehl"/>
          <w:b/>
          <w:bCs/>
          <w:sz w:val="26"/>
          <w:szCs w:val="26"/>
          <w:rtl/>
        </w:rPr>
        <w:lastRenderedPageBreak/>
        <w:t>מטרת השינוי:</w:t>
      </w:r>
    </w:p>
    <w:p w14:paraId="25B653C7" w14:textId="77777777" w:rsidR="00904D11" w:rsidRDefault="00904D11" w:rsidP="00904D11">
      <w:pPr>
        <w:jc w:val="both"/>
        <w:rPr>
          <w:rFonts w:ascii="FrankRuehl" w:hAnsi="FrankRuehl" w:cs="FrankRuehl"/>
          <w:sz w:val="26"/>
          <w:szCs w:val="26"/>
        </w:rPr>
      </w:pPr>
      <w:r>
        <w:rPr>
          <w:rFonts w:ascii="FrankRuehl" w:hAnsi="FrankRuehl" w:cs="FrankRuehl"/>
          <w:sz w:val="26"/>
          <w:szCs w:val="26"/>
          <w:rtl/>
        </w:rPr>
        <w:t>תגבור תקציב הקניות עבור רישיונות, נותני שירותי מחשוב ורכש טכנולוגי בפרויקטים דיגיטליים לשיפור השירות לאזרח והמעבר לענן הממשלתי.</w:t>
      </w:r>
    </w:p>
    <w:p w14:paraId="5EB8BEE6" w14:textId="77777777" w:rsidR="00904D11" w:rsidRDefault="00904D11" w:rsidP="00904D11">
      <w:pPr>
        <w:bidi w:val="0"/>
        <w:ind w:left="720"/>
        <w:contextualSpacing/>
        <w:jc w:val="both"/>
        <w:rPr>
          <w:rFonts w:ascii="FrankRuehl" w:eastAsia="Calibri" w:hAnsi="FrankRuehl" w:cs="FrankRuehl"/>
          <w:sz w:val="26"/>
          <w:szCs w:val="26"/>
          <w:lang w:eastAsia="en-US"/>
        </w:rPr>
      </w:pPr>
    </w:p>
    <w:p w14:paraId="708073F0" w14:textId="77777777" w:rsidR="00904D11" w:rsidRDefault="00904D11" w:rsidP="00904D11">
      <w:pPr>
        <w:jc w:val="both"/>
        <w:rPr>
          <w:rFonts w:ascii="FrankRuehl" w:hAnsi="FrankRuehl" w:cs="FrankRuehl"/>
          <w:b/>
          <w:bCs/>
          <w:sz w:val="26"/>
          <w:szCs w:val="26"/>
        </w:rPr>
      </w:pPr>
      <w:r>
        <w:rPr>
          <w:rFonts w:ascii="FrankRuehl" w:hAnsi="FrankRuehl" w:cs="FrankRuehl"/>
          <w:b/>
          <w:bCs/>
          <w:sz w:val="26"/>
          <w:szCs w:val="26"/>
          <w:rtl/>
        </w:rPr>
        <w:t xml:space="preserve">תוכנית 045301: הלשכה המרכזית לסטטיסטיקה – 42,722 אלפי ש"ח בהוצאה </w:t>
      </w:r>
    </w:p>
    <w:p w14:paraId="0AECBE18" w14:textId="77777777" w:rsidR="00904D11" w:rsidRDefault="00904D11" w:rsidP="00904D11">
      <w:pPr>
        <w:jc w:val="both"/>
        <w:rPr>
          <w:rFonts w:cs="FrankRuehl"/>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תכנית זו כוללת את תקציב השכר והקניות הנועד לביצוע הסקרים והאומדנים הקבועים שבאחריות הלשכה המרכזית לסטטיסטיקה</w:t>
      </w:r>
      <w:r>
        <w:rPr>
          <w:rFonts w:cs="FrankRuehl"/>
          <w:sz w:val="26"/>
          <w:szCs w:val="26"/>
          <w:rtl/>
        </w:rPr>
        <w:t>.</w:t>
      </w:r>
    </w:p>
    <w:p w14:paraId="37455498" w14:textId="77777777" w:rsidR="00904D11" w:rsidRDefault="00904D11" w:rsidP="00904D11">
      <w:pPr>
        <w:jc w:val="both"/>
        <w:rPr>
          <w:rFonts w:ascii="FrankRuehl" w:hAnsi="FrankRuehl" w:cs="FrankRuehl"/>
          <w:b/>
          <w:bCs/>
          <w:sz w:val="26"/>
          <w:szCs w:val="26"/>
        </w:rPr>
      </w:pPr>
      <w:r>
        <w:rPr>
          <w:rFonts w:ascii="FrankRuehl" w:hAnsi="FrankRuehl" w:cs="FrankRuehl"/>
          <w:b/>
          <w:bCs/>
          <w:sz w:val="26"/>
          <w:szCs w:val="26"/>
          <w:rtl/>
        </w:rPr>
        <w:t>מטרת השינוי:</w:t>
      </w:r>
    </w:p>
    <w:p w14:paraId="79CB15B2" w14:textId="77777777" w:rsidR="00904D11" w:rsidRDefault="00904D11" w:rsidP="00904D11">
      <w:pPr>
        <w:jc w:val="both"/>
        <w:rPr>
          <w:rFonts w:ascii="FrankRuehl" w:hAnsi="FrankRuehl" w:cs="FrankRuehl"/>
          <w:sz w:val="26"/>
          <w:szCs w:val="26"/>
        </w:rPr>
      </w:pPr>
      <w:r>
        <w:rPr>
          <w:rFonts w:ascii="FrankRuehl" w:hAnsi="FrankRuehl" w:cs="FrankRuehl"/>
          <w:sz w:val="26"/>
          <w:szCs w:val="26"/>
          <w:rtl/>
        </w:rPr>
        <w:t>תגבור תקציב הלשכה המרכזית לסטטיסטיקה עבור התאמת תקציב השכר ופעולות שונות לפי ביצוע אבני דרך ביניהם שדרוג מערכות מידע ואבטחת מידע, דיגיטציה של אומדנים סטטיסטיים, התאמת סקרי הלשכה המרכזית לסטטיסטיקה לסיווגים חדשים והקמת תשתית לשיפור הנתונים אודות הוצאות משקי הבית בישראל לשיפור זמינות ואיכות סקרי מפקד אוכלוסין.</w:t>
      </w:r>
    </w:p>
    <w:p w14:paraId="7F0C3CA1" w14:textId="77777777" w:rsidR="00904D11" w:rsidRDefault="00904D11" w:rsidP="00904D11">
      <w:pPr>
        <w:jc w:val="both"/>
        <w:rPr>
          <w:rFonts w:ascii="Calibri" w:hAnsi="Calibri" w:cs="FrankRuehl"/>
          <w:sz w:val="26"/>
          <w:szCs w:val="26"/>
          <w:rtl/>
        </w:rPr>
      </w:pPr>
      <w:r>
        <w:rPr>
          <w:rFonts w:ascii="David" w:hAnsi="David" w:cs="FrankRuehl"/>
          <w:sz w:val="26"/>
          <w:szCs w:val="26"/>
          <w:rtl/>
        </w:rPr>
        <w:t xml:space="preserve">  </w:t>
      </w:r>
    </w:p>
    <w:p w14:paraId="137EED25" w14:textId="77777777" w:rsidR="00904D11" w:rsidRDefault="00904D11" w:rsidP="00904D11">
      <w:pPr>
        <w:jc w:val="both"/>
        <w:rPr>
          <w:rFonts w:ascii="David" w:hAnsi="David" w:cs="FrankRuehl"/>
          <w:b/>
          <w:bCs/>
          <w:sz w:val="26"/>
          <w:szCs w:val="26"/>
          <w:rtl/>
        </w:rPr>
      </w:pPr>
      <w:r>
        <w:rPr>
          <w:rFonts w:ascii="FrankRuehl" w:hAnsi="FrankRuehl" w:cs="FrankRuehl"/>
          <w:b/>
          <w:bCs/>
          <w:sz w:val="26"/>
          <w:szCs w:val="26"/>
          <w:rtl/>
        </w:rPr>
        <w:t xml:space="preserve">תוכנית </w:t>
      </w:r>
      <w:r>
        <w:rPr>
          <w:rFonts w:ascii="David" w:hAnsi="David" w:cs="FrankRuehl"/>
          <w:b/>
          <w:bCs/>
          <w:sz w:val="26"/>
          <w:szCs w:val="26"/>
          <w:rtl/>
        </w:rPr>
        <w:t>045901:</w:t>
      </w:r>
      <w:r>
        <w:rPr>
          <w:rFonts w:ascii="FrankRuehl" w:hAnsi="FrankRuehl" w:cs="FrankRuehl"/>
          <w:b/>
          <w:bCs/>
          <w:sz w:val="26"/>
          <w:szCs w:val="26"/>
          <w:rtl/>
        </w:rPr>
        <w:t xml:space="preserve"> </w:t>
      </w:r>
      <w:r>
        <w:rPr>
          <w:rFonts w:ascii="David" w:hAnsi="David" w:cs="FrankRuehl"/>
          <w:b/>
          <w:bCs/>
          <w:sz w:val="26"/>
          <w:szCs w:val="26"/>
          <w:rtl/>
        </w:rPr>
        <w:t>לשכת הקשר נתיב – 7,800 אלפי ש"ח בהוצאה</w:t>
      </w:r>
    </w:p>
    <w:p w14:paraId="075C5346" w14:textId="77777777" w:rsidR="00904D11" w:rsidRDefault="00904D11" w:rsidP="00904D11">
      <w:pPr>
        <w:jc w:val="both"/>
        <w:rPr>
          <w:rFonts w:ascii="FrankRuehl" w:hAnsi="FrankRuehl" w:cs="FrankRuehl"/>
          <w:sz w:val="26"/>
          <w:szCs w:val="26"/>
          <w:rtl/>
        </w:rPr>
      </w:pPr>
      <w:r>
        <w:rPr>
          <w:rFonts w:ascii="David" w:hAnsi="David" w:cs="FrankRuehl"/>
          <w:b/>
          <w:bCs/>
          <w:sz w:val="26"/>
          <w:szCs w:val="26"/>
          <w:rtl/>
        </w:rPr>
        <w:t>תיאור התוכנית</w:t>
      </w:r>
      <w:r>
        <w:rPr>
          <w:rFonts w:ascii="FrankRuehl" w:hAnsi="FrankRuehl" w:cs="FrankRuehl"/>
          <w:b/>
          <w:bCs/>
          <w:sz w:val="26"/>
          <w:szCs w:val="26"/>
          <w:rtl/>
        </w:rPr>
        <w:t xml:space="preserve">: </w:t>
      </w:r>
      <w:r>
        <w:rPr>
          <w:rFonts w:ascii="David" w:hAnsi="David" w:cs="FrankRuehl"/>
          <w:sz w:val="26"/>
          <w:szCs w:val="26"/>
          <w:rtl/>
        </w:rPr>
        <w:t xml:space="preserve">תכנית זו משמשת לתקצוב כלל פעילותה של לשכת הקשר נתיב. </w:t>
      </w:r>
      <w:r>
        <w:rPr>
          <w:rFonts w:ascii="FrankRuehl" w:hAnsi="FrankRuehl" w:cs="FrankRuehl"/>
          <w:sz w:val="26"/>
          <w:szCs w:val="26"/>
          <w:rtl/>
        </w:rPr>
        <w:t xml:space="preserve">ארגון "נתיב" הוא גוף הפועל בקרב יהודים וזכאי עלייה במדינות ברית המועצות לשעבר, ויוצאי מדינות ברית המועצות לשעבר בכל העולם. </w:t>
      </w:r>
    </w:p>
    <w:p w14:paraId="7BF36C0F" w14:textId="77777777" w:rsidR="00904D11" w:rsidRDefault="00904D11" w:rsidP="00904D11">
      <w:pPr>
        <w:jc w:val="both"/>
        <w:rPr>
          <w:rFonts w:ascii="David" w:hAnsi="David" w:cs="FrankRuehl"/>
          <w:sz w:val="26"/>
          <w:szCs w:val="26"/>
        </w:rPr>
      </w:pPr>
      <w:r>
        <w:rPr>
          <w:rFonts w:ascii="David" w:hAnsi="David" w:cs="FrankRuehl"/>
          <w:b/>
          <w:bCs/>
          <w:sz w:val="26"/>
          <w:szCs w:val="26"/>
          <w:rtl/>
        </w:rPr>
        <w:t>מטרת השינוי</w:t>
      </w:r>
      <w:r>
        <w:rPr>
          <w:rFonts w:ascii="FrankRuehl" w:hAnsi="David" w:cs="FrankRuehl"/>
          <w:sz w:val="26"/>
          <w:szCs w:val="26"/>
          <w:rtl/>
        </w:rPr>
        <w:t xml:space="preserve">: </w:t>
      </w:r>
    </w:p>
    <w:p w14:paraId="44856E2A" w14:textId="563765A8" w:rsidR="00904D11" w:rsidRDefault="00904D11" w:rsidP="00904D11">
      <w:pPr>
        <w:jc w:val="both"/>
        <w:rPr>
          <w:rFonts w:ascii="FrankRuehl" w:hAnsi="FrankRuehl" w:cs="FrankRuehl"/>
          <w:sz w:val="26"/>
          <w:szCs w:val="26"/>
          <w:rtl/>
        </w:rPr>
      </w:pPr>
      <w:r>
        <w:rPr>
          <w:rFonts w:ascii="FrankRuehl" w:hAnsi="FrankRuehl" w:cs="FrankRuehl"/>
          <w:sz w:val="26"/>
          <w:szCs w:val="26"/>
          <w:rtl/>
        </w:rPr>
        <w:t xml:space="preserve">תגבור תקציב נתיב עבור עליה בהוצאות אבטחה בנציגויות בחו"ל, הגברת פעילות הארגון במדינות מזרח אירופה וכן </w:t>
      </w:r>
      <w:r>
        <w:rPr>
          <w:rFonts w:ascii="FrankRuehl" w:hAnsi="FrankRuehl" w:cs="FrankRuehl" w:hint="cs"/>
          <w:sz w:val="26"/>
          <w:szCs w:val="26"/>
          <w:rtl/>
        </w:rPr>
        <w:t>עבור</w:t>
      </w:r>
      <w:r>
        <w:rPr>
          <w:rFonts w:ascii="FrankRuehl" w:hAnsi="FrankRuehl" w:cs="FrankRuehl"/>
          <w:sz w:val="26"/>
          <w:szCs w:val="26"/>
          <w:rtl/>
        </w:rPr>
        <w:t xml:space="preserve"> מימוש תוכנית הדיגיטציה הארגונית למעבר לענן, שדרוג מערכות המחשוב ושיפור השירות.</w:t>
      </w:r>
    </w:p>
    <w:p w14:paraId="4DE01EB1" w14:textId="77777777" w:rsidR="00904D11" w:rsidRDefault="00904D11" w:rsidP="00904D11">
      <w:pPr>
        <w:jc w:val="both"/>
        <w:rPr>
          <w:rFonts w:cs="FrankRuehl"/>
          <w:sz w:val="26"/>
          <w:szCs w:val="26"/>
        </w:rPr>
      </w:pPr>
    </w:p>
    <w:p w14:paraId="2A06598C" w14:textId="77777777" w:rsidR="00904D11" w:rsidRDefault="00904D11" w:rsidP="00904D11">
      <w:pPr>
        <w:jc w:val="both"/>
        <w:rPr>
          <w:rFonts w:eastAsia="Calibri" w:cs="FrankRuehl"/>
          <w:sz w:val="26"/>
          <w:szCs w:val="26"/>
          <w:rtl/>
          <w:lang w:eastAsia="en-US"/>
        </w:rPr>
      </w:pPr>
      <w:r>
        <w:rPr>
          <w:rFonts w:cs="FrankRuehl"/>
          <w:b/>
          <w:bCs/>
          <w:sz w:val="26"/>
          <w:szCs w:val="26"/>
          <w:rtl/>
        </w:rPr>
        <w:t xml:space="preserve">השפעה על כוח אדם: </w:t>
      </w:r>
      <w:r>
        <w:rPr>
          <w:rFonts w:cs="FrankRuehl"/>
          <w:sz w:val="26"/>
          <w:szCs w:val="26"/>
          <w:rtl/>
        </w:rPr>
        <w:t>תוספת של 2 תקני שיא כוח אדם כמפורט בהחלטה.</w:t>
      </w:r>
    </w:p>
    <w:bookmarkEnd w:id="8"/>
    <w:p w14:paraId="4541B935" w14:textId="77777777" w:rsidR="00CB133E" w:rsidRPr="00161010" w:rsidRDefault="00CB133E" w:rsidP="00904D11">
      <w:pPr>
        <w:jc w:val="both"/>
        <w:rPr>
          <w:rFonts w:cs="FrankRuehl"/>
          <w:sz w:val="26"/>
          <w:szCs w:val="26"/>
          <w:rtl/>
        </w:rPr>
      </w:pPr>
    </w:p>
    <w:p w14:paraId="056AFE99" w14:textId="77777777" w:rsidR="00CB133E" w:rsidRPr="00161010" w:rsidRDefault="00CB133E" w:rsidP="00904D11">
      <w:pPr>
        <w:jc w:val="both"/>
        <w:rPr>
          <w:rFonts w:cs="FrankRuehl"/>
          <w:sz w:val="26"/>
          <w:szCs w:val="26"/>
          <w:rtl/>
        </w:rPr>
      </w:pPr>
      <w:r w:rsidRPr="00161010">
        <w:rPr>
          <w:rFonts w:cs="FrankRuehl"/>
          <w:sz w:val="26"/>
          <w:szCs w:val="26"/>
          <w:rtl/>
        </w:rPr>
        <w:t>בשינוי זה אין שימוש ברזרבה כללית.</w:t>
      </w:r>
    </w:p>
    <w:p w14:paraId="74B5ECF9" w14:textId="77777777" w:rsidR="00CB133E" w:rsidRPr="00161010" w:rsidRDefault="00CB133E">
      <w:pPr>
        <w:rPr>
          <w:rFonts w:cs="FrankRuehl"/>
          <w:sz w:val="26"/>
          <w:szCs w:val="26"/>
          <w:rtl/>
        </w:rPr>
      </w:pPr>
    </w:p>
    <w:p w14:paraId="025111E9" w14:textId="77777777" w:rsidR="00CB133E" w:rsidRPr="00161010" w:rsidRDefault="00CB133E">
      <w:pPr>
        <w:rPr>
          <w:rFonts w:cs="FrankRuehl"/>
          <w:sz w:val="26"/>
          <w:szCs w:val="26"/>
          <w:rtl/>
        </w:rPr>
      </w:pPr>
    </w:p>
    <w:p w14:paraId="7B28B816" w14:textId="77777777" w:rsidR="00CB133E" w:rsidRDefault="00CB133E">
      <w:pPr>
        <w:tabs>
          <w:tab w:val="center" w:pos="6867"/>
        </w:tabs>
        <w:rPr>
          <w:rFonts w:cs="FrankRuehl"/>
          <w:sz w:val="26"/>
          <w:szCs w:val="26"/>
          <w:rtl/>
        </w:rPr>
      </w:pPr>
      <w:r w:rsidRPr="00161010">
        <w:rPr>
          <w:rFonts w:cs="FrankRuehl"/>
          <w:sz w:val="26"/>
          <w:szCs w:val="26"/>
          <w:rtl/>
        </w:rPr>
        <w:tab/>
        <w:t>בכבוד רב,</w:t>
      </w:r>
    </w:p>
    <w:p w14:paraId="642B16C8" w14:textId="77777777" w:rsidR="00462897" w:rsidRDefault="00462897">
      <w:pPr>
        <w:tabs>
          <w:tab w:val="center" w:pos="6867"/>
        </w:tabs>
        <w:rPr>
          <w:rFonts w:cs="FrankRuehl"/>
          <w:sz w:val="26"/>
          <w:szCs w:val="26"/>
          <w:rtl/>
        </w:rPr>
      </w:pPr>
      <w:r>
        <w:rPr>
          <w:rFonts w:cs="FrankRuehl"/>
          <w:sz w:val="26"/>
          <w:szCs w:val="26"/>
          <w:rtl/>
        </w:rPr>
        <w:tab/>
      </w:r>
    </w:p>
    <w:p w14:paraId="6415F210" w14:textId="77777777" w:rsidR="00462897" w:rsidRPr="00161010" w:rsidRDefault="00462897">
      <w:pPr>
        <w:tabs>
          <w:tab w:val="center" w:pos="6867"/>
        </w:tabs>
        <w:rPr>
          <w:rFonts w:cs="FrankRuehl"/>
          <w:sz w:val="26"/>
          <w:szCs w:val="26"/>
        </w:rPr>
      </w:pPr>
      <w:r>
        <w:rPr>
          <w:rFonts w:cs="FrankRuehl"/>
          <w:sz w:val="26"/>
          <w:szCs w:val="26"/>
          <w:rtl/>
        </w:rPr>
        <w:tab/>
      </w:r>
      <w:bookmarkStart w:id="9" w:name="Sign_Image"/>
      <w:bookmarkEnd w:id="9"/>
    </w:p>
    <w:p w14:paraId="38F42FDF" w14:textId="77777777" w:rsidR="00CB133E" w:rsidRPr="00161010" w:rsidRDefault="00CB133E">
      <w:pPr>
        <w:tabs>
          <w:tab w:val="center" w:pos="6867"/>
        </w:tabs>
        <w:rPr>
          <w:rFonts w:cs="FrankRuehl"/>
          <w:sz w:val="26"/>
          <w:szCs w:val="26"/>
          <w:rtl/>
        </w:rPr>
      </w:pPr>
      <w:r w:rsidRPr="00161010">
        <w:rPr>
          <w:rFonts w:cs="FrankRuehl"/>
          <w:sz w:val="26"/>
          <w:szCs w:val="26"/>
          <w:rtl/>
        </w:rPr>
        <w:tab/>
      </w:r>
    </w:p>
    <w:p w14:paraId="0ADD529C" w14:textId="77777777" w:rsidR="00CB133E" w:rsidRPr="00161010" w:rsidRDefault="00CB133E">
      <w:pPr>
        <w:tabs>
          <w:tab w:val="center" w:pos="6867"/>
        </w:tabs>
        <w:rPr>
          <w:rFonts w:cs="FrankRuehl"/>
          <w:sz w:val="26"/>
          <w:szCs w:val="26"/>
          <w:rtl/>
        </w:rPr>
      </w:pPr>
      <w:r w:rsidRPr="00161010">
        <w:rPr>
          <w:rFonts w:cs="FrankRuehl"/>
          <w:sz w:val="26"/>
          <w:szCs w:val="26"/>
          <w:rtl/>
        </w:rPr>
        <w:tab/>
      </w:r>
    </w:p>
    <w:p w14:paraId="67B6E0EB" w14:textId="77777777" w:rsidR="00CB133E" w:rsidRPr="00161010" w:rsidRDefault="00CB133E" w:rsidP="00360BD3">
      <w:pPr>
        <w:tabs>
          <w:tab w:val="center" w:pos="6867"/>
        </w:tabs>
        <w:rPr>
          <w:rFonts w:cs="FrankRuehl"/>
          <w:sz w:val="26"/>
          <w:szCs w:val="26"/>
          <w:rtl/>
        </w:rPr>
      </w:pPr>
      <w:r w:rsidRPr="00161010">
        <w:rPr>
          <w:rFonts w:cs="FrankRuehl"/>
          <w:sz w:val="26"/>
          <w:szCs w:val="26"/>
          <w:rtl/>
        </w:rPr>
        <w:tab/>
      </w:r>
    </w:p>
    <w:p w14:paraId="6DDF84B0" w14:textId="77777777" w:rsidR="00CB133E" w:rsidRPr="00161010" w:rsidRDefault="00CB133E">
      <w:pPr>
        <w:rPr>
          <w:rFonts w:cs="FrankRuehl"/>
          <w:sz w:val="26"/>
          <w:szCs w:val="26"/>
          <w:rtl/>
        </w:rPr>
      </w:pPr>
    </w:p>
    <w:p w14:paraId="32F254AA" w14:textId="77777777" w:rsidR="00CB133E" w:rsidRPr="00161010" w:rsidRDefault="00CB133E">
      <w:pPr>
        <w:rPr>
          <w:rFonts w:cs="FrankRuehl"/>
          <w:sz w:val="26"/>
          <w:szCs w:val="26"/>
          <w:rtl/>
        </w:rPr>
      </w:pPr>
      <w:r w:rsidRPr="00161010">
        <w:rPr>
          <w:rFonts w:cs="FrankRuehl"/>
          <w:sz w:val="26"/>
          <w:szCs w:val="26"/>
          <w:rtl/>
        </w:rPr>
        <w:t>העתק:</w:t>
      </w:r>
    </w:p>
    <w:p w14:paraId="15A6D9FF" w14:textId="77777777" w:rsidR="00CB133E" w:rsidRPr="00161010" w:rsidRDefault="00CB133E">
      <w:pPr>
        <w:rPr>
          <w:rFonts w:cs="FrankRuehl"/>
          <w:sz w:val="26"/>
          <w:szCs w:val="26"/>
          <w:rtl/>
        </w:rPr>
      </w:pPr>
      <w:r w:rsidRPr="00161010">
        <w:rPr>
          <w:rFonts w:cs="FrankRuehl"/>
          <w:sz w:val="26"/>
          <w:szCs w:val="26"/>
          <w:rtl/>
        </w:rPr>
        <w:t>החשב הכללי</w:t>
      </w:r>
    </w:p>
    <w:p w14:paraId="3D05D61E" w14:textId="77777777" w:rsidR="00CB133E" w:rsidRPr="00161010" w:rsidRDefault="00CB133E">
      <w:pPr>
        <w:rPr>
          <w:rFonts w:cs="FrankRuehl"/>
          <w:sz w:val="26"/>
          <w:szCs w:val="26"/>
          <w:rtl/>
        </w:rPr>
      </w:pPr>
      <w:r w:rsidRPr="00161010">
        <w:rPr>
          <w:rFonts w:cs="FrankRuehl"/>
          <w:sz w:val="26"/>
          <w:szCs w:val="26"/>
          <w:rtl/>
        </w:rPr>
        <w:t>מבקר המדינה (2)</w:t>
      </w:r>
    </w:p>
    <w:p w14:paraId="178EECC1" w14:textId="77777777" w:rsidR="00ED0D8D" w:rsidRDefault="00ED0D8D">
      <w:pPr>
        <w:rPr>
          <w:rFonts w:cs="FrankRuehl"/>
          <w:sz w:val="26"/>
          <w:szCs w:val="26"/>
          <w:rtl/>
        </w:rPr>
      </w:pPr>
      <w:bookmarkStart w:id="10" w:name="TAKZIV22"/>
      <w:r>
        <w:rPr>
          <w:rFonts w:cs="FrankRuehl"/>
          <w:sz w:val="26"/>
          <w:szCs w:val="26"/>
          <w:rtl/>
        </w:rPr>
        <w:t>חשב החשב הכללי</w:t>
      </w:r>
    </w:p>
    <w:p w14:paraId="23F40582" w14:textId="611D69F9" w:rsidR="00CB133E" w:rsidRPr="00161010" w:rsidRDefault="00ED0D8D">
      <w:pPr>
        <w:rPr>
          <w:rFonts w:cs="FrankRuehl"/>
          <w:sz w:val="26"/>
          <w:szCs w:val="26"/>
          <w:rtl/>
        </w:rPr>
      </w:pPr>
      <w:r>
        <w:rPr>
          <w:rFonts w:cs="FrankRuehl"/>
          <w:sz w:val="26"/>
          <w:szCs w:val="26"/>
          <w:rtl/>
        </w:rPr>
        <w:t>חשב משרד הבטחון</w:t>
      </w:r>
      <w:bookmarkEnd w:id="10"/>
    </w:p>
    <w:p w14:paraId="63840013" w14:textId="22E6E307" w:rsidR="00CB133E" w:rsidRPr="00161010" w:rsidRDefault="00CB133E">
      <w:pPr>
        <w:rPr>
          <w:rFonts w:cs="FrankRuehl"/>
          <w:sz w:val="26"/>
          <w:szCs w:val="26"/>
          <w:rtl/>
        </w:rPr>
      </w:pPr>
      <w:r w:rsidRPr="00161010">
        <w:rPr>
          <w:rFonts w:cs="FrankRuehl"/>
          <w:sz w:val="26"/>
          <w:szCs w:val="26"/>
          <w:rtl/>
        </w:rPr>
        <w:t xml:space="preserve">קצין תקציבים </w:t>
      </w:r>
      <w:bookmarkStart w:id="11" w:name="TAKZIV6_1"/>
      <w:r w:rsidR="00ED0D8D">
        <w:rPr>
          <w:rFonts w:cs="FrankRuehl"/>
          <w:sz w:val="26"/>
          <w:szCs w:val="26"/>
          <w:rtl/>
        </w:rPr>
        <w:t>משרד הביטחון</w:t>
      </w:r>
      <w:bookmarkEnd w:id="11"/>
    </w:p>
    <w:p w14:paraId="5A03CD6A" w14:textId="0EA04EC6" w:rsidR="00CB133E" w:rsidRPr="00161010" w:rsidRDefault="00CB133E">
      <w:pPr>
        <w:rPr>
          <w:rFonts w:cs="FrankRuehl"/>
          <w:sz w:val="26"/>
          <w:szCs w:val="26"/>
          <w:rtl/>
        </w:rPr>
      </w:pPr>
      <w:r w:rsidRPr="00161010">
        <w:rPr>
          <w:rFonts w:cs="FrankRuehl"/>
          <w:sz w:val="26"/>
          <w:szCs w:val="26"/>
          <w:rtl/>
        </w:rPr>
        <w:t xml:space="preserve">רפרנט </w:t>
      </w:r>
      <w:bookmarkStart w:id="12" w:name="TAKZIV6_2"/>
      <w:r w:rsidR="00ED0D8D">
        <w:rPr>
          <w:rFonts w:cs="FrankRuehl"/>
          <w:sz w:val="26"/>
          <w:szCs w:val="26"/>
          <w:rtl/>
        </w:rPr>
        <w:t>משרד הביטחון</w:t>
      </w:r>
      <w:bookmarkEnd w:id="12"/>
    </w:p>
    <w:p w14:paraId="5EEC46A7" w14:textId="77777777" w:rsidR="00CB133E" w:rsidRPr="00161010" w:rsidRDefault="00CB133E">
      <w:pPr>
        <w:rPr>
          <w:rFonts w:cs="FrankRuehl"/>
          <w:sz w:val="26"/>
          <w:szCs w:val="26"/>
          <w:rtl/>
        </w:rPr>
      </w:pPr>
      <w:bookmarkStart w:id="13" w:name="TAKZIV23"/>
      <w:bookmarkEnd w:id="13"/>
    </w:p>
    <w:p w14:paraId="295F6B22" w14:textId="77777777" w:rsidR="00CB133E" w:rsidRPr="00161010" w:rsidRDefault="00CB133E">
      <w:pPr>
        <w:rPr>
          <w:rFonts w:cs="FrankRuehl"/>
          <w:sz w:val="26"/>
          <w:szCs w:val="26"/>
          <w:rtl/>
        </w:rPr>
      </w:pPr>
    </w:p>
    <w:p w14:paraId="4C9DB17F" w14:textId="4F4806B7" w:rsidR="00CB133E" w:rsidRDefault="00CB133E">
      <w:pPr>
        <w:rPr>
          <w:rFonts w:cs="FrankRuehl"/>
          <w:sz w:val="26"/>
          <w:szCs w:val="26"/>
          <w:rtl/>
        </w:rPr>
      </w:pPr>
      <w:bookmarkStart w:id="14" w:name="TAKZIV25"/>
      <w:bookmarkEnd w:id="14"/>
    </w:p>
    <w:p w14:paraId="193671ED" w14:textId="58BD4399" w:rsidR="00904D11" w:rsidRDefault="00904D11">
      <w:pPr>
        <w:rPr>
          <w:rFonts w:cs="FrankRuehl"/>
          <w:sz w:val="26"/>
          <w:szCs w:val="26"/>
          <w:rtl/>
        </w:rPr>
      </w:pPr>
    </w:p>
    <w:p w14:paraId="6FD72EC1" w14:textId="2D298AB7" w:rsidR="00904D11" w:rsidRDefault="00904D11">
      <w:pPr>
        <w:rPr>
          <w:rFonts w:cs="FrankRuehl"/>
          <w:sz w:val="26"/>
          <w:szCs w:val="26"/>
          <w:rtl/>
        </w:rPr>
      </w:pPr>
    </w:p>
    <w:p w14:paraId="2DBB57D6" w14:textId="07257FEB" w:rsidR="00904D11" w:rsidRDefault="00904D11">
      <w:pPr>
        <w:rPr>
          <w:rFonts w:cs="FrankRuehl"/>
          <w:sz w:val="26"/>
          <w:szCs w:val="26"/>
          <w:rtl/>
        </w:rPr>
      </w:pPr>
    </w:p>
    <w:p w14:paraId="44A8FF50" w14:textId="22576898" w:rsidR="00904D11" w:rsidRDefault="00904D11">
      <w:pPr>
        <w:rPr>
          <w:rFonts w:cs="FrankRuehl"/>
          <w:sz w:val="26"/>
          <w:szCs w:val="26"/>
          <w:rtl/>
        </w:rPr>
      </w:pPr>
    </w:p>
    <w:p w14:paraId="0E546278" w14:textId="56524180" w:rsidR="00904D11" w:rsidRDefault="00904D11">
      <w:pPr>
        <w:rPr>
          <w:rFonts w:cs="FrankRuehl"/>
          <w:sz w:val="26"/>
          <w:szCs w:val="26"/>
          <w:rtl/>
        </w:rPr>
      </w:pPr>
    </w:p>
    <w:p w14:paraId="2CA7B646" w14:textId="39086F0D" w:rsidR="00904D11" w:rsidRDefault="00904D11">
      <w:pPr>
        <w:rPr>
          <w:rFonts w:cs="FrankRuehl"/>
          <w:sz w:val="26"/>
          <w:szCs w:val="26"/>
          <w:rtl/>
        </w:rPr>
      </w:pPr>
    </w:p>
    <w:p w14:paraId="1399147A" w14:textId="72B33C1F" w:rsidR="00904D11" w:rsidRDefault="00904D11">
      <w:pPr>
        <w:rPr>
          <w:rFonts w:cs="FrankRuehl"/>
          <w:sz w:val="26"/>
          <w:szCs w:val="26"/>
          <w:rtl/>
        </w:rPr>
      </w:pPr>
    </w:p>
    <w:p w14:paraId="61166D1E" w14:textId="3464FB7B" w:rsidR="00904D11" w:rsidRDefault="00904D11">
      <w:pPr>
        <w:rPr>
          <w:rFonts w:cs="FrankRuehl"/>
          <w:sz w:val="26"/>
          <w:szCs w:val="26"/>
          <w:rtl/>
        </w:rPr>
      </w:pPr>
    </w:p>
    <w:p w14:paraId="68AF99E4" w14:textId="3C90D336" w:rsidR="00904D11" w:rsidRPr="00904D11" w:rsidRDefault="00904D11" w:rsidP="00904D11">
      <w:pPr>
        <w:jc w:val="center"/>
        <w:rPr>
          <w:rFonts w:cs="FrankRuehl"/>
          <w:b/>
          <w:bCs/>
          <w:sz w:val="26"/>
          <w:szCs w:val="26"/>
          <w:u w:val="single"/>
          <w:rtl/>
        </w:rPr>
      </w:pPr>
      <w:r w:rsidRPr="00904D11">
        <w:rPr>
          <w:rFonts w:cs="FrankRuehl" w:hint="cs"/>
          <w:b/>
          <w:bCs/>
          <w:sz w:val="26"/>
          <w:szCs w:val="26"/>
          <w:u w:val="single"/>
          <w:rtl/>
        </w:rPr>
        <w:lastRenderedPageBreak/>
        <w:t>נספח לדברי ההסבר</w:t>
      </w:r>
    </w:p>
    <w:p w14:paraId="1B03A1E6" w14:textId="7566C1E1" w:rsidR="00904D11" w:rsidRDefault="00904D11">
      <w:pPr>
        <w:rPr>
          <w:rFonts w:cs="FrankRuehl"/>
          <w:sz w:val="26"/>
          <w:szCs w:val="26"/>
          <w:rtl/>
        </w:rPr>
      </w:pPr>
    </w:p>
    <w:p w14:paraId="70591782" w14:textId="0B4CF3E7" w:rsidR="00904D11" w:rsidRDefault="00904D11" w:rsidP="00904D11">
      <w:pPr>
        <w:jc w:val="center"/>
        <w:rPr>
          <w:rFonts w:cs="FrankRuehl"/>
          <w:b/>
          <w:bCs/>
          <w:sz w:val="26"/>
          <w:szCs w:val="26"/>
          <w:rtl/>
        </w:rPr>
      </w:pPr>
      <w:r w:rsidRPr="00904D11">
        <w:rPr>
          <w:rFonts w:cs="FrankRuehl"/>
          <w:b/>
          <w:bCs/>
          <w:sz w:val="26"/>
          <w:szCs w:val="26"/>
          <w:rtl/>
        </w:rPr>
        <w:t>היסטוריה תקציבית של הפנייה - הוצאה נטו</w:t>
      </w:r>
    </w:p>
    <w:p w14:paraId="2235ACDA" w14:textId="77777777" w:rsidR="00904D11" w:rsidRPr="00904D11" w:rsidRDefault="00904D11" w:rsidP="00904D11">
      <w:pPr>
        <w:jc w:val="center"/>
        <w:rPr>
          <w:rFonts w:cs="FrankRuehl"/>
          <w:b/>
          <w:bCs/>
          <w:sz w:val="26"/>
          <w:szCs w:val="26"/>
          <w:rtl/>
        </w:rPr>
      </w:pPr>
    </w:p>
    <w:tbl>
      <w:tblPr>
        <w:tblW w:w="5000" w:type="pct"/>
        <w:tblLook w:val="04A0" w:firstRow="1" w:lastRow="0" w:firstColumn="1" w:lastColumn="0" w:noHBand="0" w:noVBand="1"/>
      </w:tblPr>
      <w:tblGrid>
        <w:gridCol w:w="988"/>
        <w:gridCol w:w="1231"/>
        <w:gridCol w:w="849"/>
        <w:gridCol w:w="987"/>
        <w:gridCol w:w="849"/>
        <w:gridCol w:w="987"/>
        <w:gridCol w:w="849"/>
        <w:gridCol w:w="987"/>
        <w:gridCol w:w="796"/>
      </w:tblGrid>
      <w:tr w:rsidR="00904D11" w14:paraId="44134F3C" w14:textId="77777777" w:rsidTr="00904D11">
        <w:trPr>
          <w:trHeight w:val="675"/>
        </w:trPr>
        <w:tc>
          <w:tcPr>
            <w:tcW w:w="579" w:type="pct"/>
            <w:tcBorders>
              <w:top w:val="single" w:sz="4" w:space="0" w:color="979991"/>
              <w:left w:val="single" w:sz="4" w:space="0" w:color="979991"/>
              <w:bottom w:val="nil"/>
              <w:right w:val="nil"/>
            </w:tcBorders>
            <w:shd w:val="clear" w:color="auto" w:fill="F0F4FA"/>
            <w:vAlign w:val="center"/>
            <w:hideMark/>
          </w:tcPr>
          <w:p w14:paraId="24E7B996" w14:textId="77777777" w:rsidR="00904D11" w:rsidRDefault="00904D11" w:rsidP="00A40800">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722" w:type="pct"/>
            <w:tcBorders>
              <w:top w:val="single" w:sz="4" w:space="0" w:color="979991"/>
              <w:left w:val="single" w:sz="4" w:space="0" w:color="979991"/>
              <w:bottom w:val="single" w:sz="4" w:space="0" w:color="979991"/>
              <w:right w:val="nil"/>
            </w:tcBorders>
            <w:shd w:val="clear" w:color="auto" w:fill="F0F4FA"/>
            <w:vAlign w:val="center"/>
            <w:hideMark/>
          </w:tcPr>
          <w:p w14:paraId="68C77480" w14:textId="77777777" w:rsidR="00904D11" w:rsidRDefault="00904D11" w:rsidP="00A40800">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498" w:type="pct"/>
            <w:tcBorders>
              <w:top w:val="single" w:sz="4" w:space="0" w:color="979991"/>
              <w:left w:val="single" w:sz="4" w:space="0" w:color="979991"/>
              <w:bottom w:val="single" w:sz="4" w:space="0" w:color="979991"/>
              <w:right w:val="nil"/>
            </w:tcBorders>
            <w:shd w:val="clear" w:color="auto" w:fill="F0F4FA"/>
            <w:vAlign w:val="center"/>
            <w:hideMark/>
          </w:tcPr>
          <w:p w14:paraId="46CD3781" w14:textId="77777777" w:rsidR="00904D11" w:rsidRDefault="00904D11" w:rsidP="00A40800">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579" w:type="pct"/>
            <w:tcBorders>
              <w:top w:val="single" w:sz="4" w:space="0" w:color="979991"/>
              <w:left w:val="single" w:sz="4" w:space="0" w:color="979991"/>
              <w:bottom w:val="single" w:sz="4" w:space="0" w:color="979991"/>
              <w:right w:val="nil"/>
            </w:tcBorders>
            <w:shd w:val="clear" w:color="auto" w:fill="F0F4FA"/>
            <w:vAlign w:val="center"/>
            <w:hideMark/>
          </w:tcPr>
          <w:p w14:paraId="49D72402" w14:textId="77777777" w:rsidR="00904D11" w:rsidRDefault="00904D11" w:rsidP="00A40800">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498" w:type="pct"/>
            <w:tcBorders>
              <w:top w:val="single" w:sz="4" w:space="0" w:color="979991"/>
              <w:left w:val="single" w:sz="4" w:space="0" w:color="979991"/>
              <w:bottom w:val="single" w:sz="4" w:space="0" w:color="979991"/>
              <w:right w:val="nil"/>
            </w:tcBorders>
            <w:shd w:val="clear" w:color="auto" w:fill="F0F4FA"/>
            <w:vAlign w:val="center"/>
            <w:hideMark/>
          </w:tcPr>
          <w:p w14:paraId="5D8D39E4" w14:textId="77777777" w:rsidR="00904D11" w:rsidRDefault="00904D11" w:rsidP="00A40800">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79" w:type="pct"/>
            <w:tcBorders>
              <w:top w:val="single" w:sz="4" w:space="0" w:color="979991"/>
              <w:left w:val="single" w:sz="4" w:space="0" w:color="979991"/>
              <w:bottom w:val="single" w:sz="4" w:space="0" w:color="979991"/>
              <w:right w:val="nil"/>
            </w:tcBorders>
            <w:shd w:val="clear" w:color="auto" w:fill="F0F4FA"/>
            <w:vAlign w:val="center"/>
            <w:hideMark/>
          </w:tcPr>
          <w:p w14:paraId="0DF2BF84" w14:textId="77777777" w:rsidR="00904D11" w:rsidRDefault="00904D11" w:rsidP="00A40800">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498" w:type="pct"/>
            <w:tcBorders>
              <w:top w:val="single" w:sz="4" w:space="0" w:color="979991"/>
              <w:left w:val="single" w:sz="4" w:space="0" w:color="979991"/>
              <w:bottom w:val="single" w:sz="4" w:space="0" w:color="979991"/>
              <w:right w:val="nil"/>
            </w:tcBorders>
            <w:shd w:val="clear" w:color="auto" w:fill="F0F4FA"/>
            <w:vAlign w:val="center"/>
            <w:hideMark/>
          </w:tcPr>
          <w:p w14:paraId="34A9DCB5" w14:textId="77777777" w:rsidR="00904D11" w:rsidRDefault="00904D11" w:rsidP="00A40800">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79" w:type="pct"/>
            <w:tcBorders>
              <w:top w:val="single" w:sz="4" w:space="0" w:color="979991"/>
              <w:left w:val="single" w:sz="4" w:space="0" w:color="979991"/>
              <w:bottom w:val="single" w:sz="4" w:space="0" w:color="979991"/>
              <w:right w:val="nil"/>
            </w:tcBorders>
            <w:shd w:val="clear" w:color="auto" w:fill="F0F4FA"/>
            <w:vAlign w:val="center"/>
            <w:hideMark/>
          </w:tcPr>
          <w:p w14:paraId="7384D69B" w14:textId="77777777" w:rsidR="00904D11" w:rsidRDefault="00904D11" w:rsidP="00A40800">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467"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4A29E3C1" w14:textId="77777777" w:rsidR="00904D11" w:rsidRDefault="00904D11" w:rsidP="00A40800">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904D11" w14:paraId="05369C5D" w14:textId="77777777" w:rsidTr="00904D11">
        <w:trPr>
          <w:trHeight w:val="300"/>
        </w:trPr>
        <w:tc>
          <w:tcPr>
            <w:tcW w:w="579" w:type="pct"/>
            <w:tcBorders>
              <w:top w:val="single" w:sz="4" w:space="0" w:color="979991"/>
              <w:left w:val="single" w:sz="4" w:space="0" w:color="979991"/>
              <w:bottom w:val="single" w:sz="4" w:space="0" w:color="979991"/>
              <w:right w:val="nil"/>
            </w:tcBorders>
            <w:shd w:val="clear" w:color="auto" w:fill="F0F4FA"/>
            <w:vAlign w:val="center"/>
            <w:hideMark/>
          </w:tcPr>
          <w:p w14:paraId="33D38EC2" w14:textId="77777777" w:rsidR="00904D11" w:rsidRDefault="00904D11" w:rsidP="00A40800">
            <w:pPr>
              <w:bidi w:val="0"/>
              <w:jc w:val="center"/>
              <w:rPr>
                <w:rFonts w:ascii="Calibri" w:hAnsi="Calibri" w:cs="Calibri"/>
                <w:color w:val="000000"/>
                <w:sz w:val="16"/>
                <w:szCs w:val="16"/>
                <w:rtl/>
              </w:rPr>
            </w:pPr>
            <w:r>
              <w:rPr>
                <w:rFonts w:ascii="Calibri" w:hAnsi="Calibri" w:cs="Calibri"/>
                <w:color w:val="000000"/>
                <w:sz w:val="16"/>
                <w:szCs w:val="16"/>
              </w:rPr>
              <w:t>045101</w:t>
            </w:r>
          </w:p>
        </w:tc>
        <w:tc>
          <w:tcPr>
            <w:tcW w:w="722" w:type="pct"/>
            <w:tcBorders>
              <w:top w:val="nil"/>
              <w:left w:val="single" w:sz="4" w:space="0" w:color="979991"/>
              <w:bottom w:val="single" w:sz="4" w:space="0" w:color="979991"/>
              <w:right w:val="nil"/>
            </w:tcBorders>
            <w:shd w:val="clear" w:color="auto" w:fill="FFFFFF"/>
            <w:vAlign w:val="center"/>
            <w:hideMark/>
          </w:tcPr>
          <w:p w14:paraId="561879C6" w14:textId="77777777" w:rsidR="00904D11" w:rsidRDefault="00904D11" w:rsidP="00A40800">
            <w:pPr>
              <w:bidi w:val="0"/>
              <w:jc w:val="center"/>
              <w:rPr>
                <w:rFonts w:ascii="Calibri" w:hAnsi="Calibri" w:cs="Calibri"/>
                <w:color w:val="000000"/>
                <w:sz w:val="16"/>
                <w:szCs w:val="16"/>
                <w:rtl/>
              </w:rPr>
            </w:pPr>
            <w:r>
              <w:rPr>
                <w:rFonts w:ascii="Calibri" w:hAnsi="Calibri" w:cs="Calibri"/>
                <w:color w:val="000000"/>
                <w:sz w:val="16"/>
                <w:szCs w:val="16"/>
              </w:rPr>
              <w:t>-18,786</w:t>
            </w:r>
          </w:p>
        </w:tc>
        <w:tc>
          <w:tcPr>
            <w:tcW w:w="498" w:type="pct"/>
            <w:tcBorders>
              <w:top w:val="nil"/>
              <w:left w:val="single" w:sz="4" w:space="0" w:color="979991"/>
              <w:bottom w:val="single" w:sz="4" w:space="0" w:color="979991"/>
              <w:right w:val="nil"/>
            </w:tcBorders>
            <w:shd w:val="clear" w:color="auto" w:fill="FFFFFF"/>
            <w:vAlign w:val="center"/>
            <w:hideMark/>
          </w:tcPr>
          <w:p w14:paraId="04047DD8"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786,257</w:t>
            </w:r>
          </w:p>
        </w:tc>
        <w:tc>
          <w:tcPr>
            <w:tcW w:w="579" w:type="pct"/>
            <w:tcBorders>
              <w:top w:val="nil"/>
              <w:left w:val="single" w:sz="4" w:space="0" w:color="979991"/>
              <w:bottom w:val="single" w:sz="4" w:space="0" w:color="979991"/>
              <w:right w:val="nil"/>
            </w:tcBorders>
            <w:shd w:val="clear" w:color="auto" w:fill="FFFFFF"/>
            <w:vAlign w:val="center"/>
            <w:hideMark/>
          </w:tcPr>
          <w:p w14:paraId="3B5C83F0"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1,024,421</w:t>
            </w:r>
          </w:p>
        </w:tc>
        <w:tc>
          <w:tcPr>
            <w:tcW w:w="498" w:type="pct"/>
            <w:tcBorders>
              <w:top w:val="nil"/>
              <w:left w:val="single" w:sz="4" w:space="0" w:color="979991"/>
              <w:bottom w:val="single" w:sz="4" w:space="0" w:color="979991"/>
              <w:right w:val="nil"/>
            </w:tcBorders>
            <w:shd w:val="clear" w:color="auto" w:fill="FFFFFF"/>
            <w:vAlign w:val="center"/>
            <w:hideMark/>
          </w:tcPr>
          <w:p w14:paraId="673E5811"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790,506</w:t>
            </w:r>
          </w:p>
        </w:tc>
        <w:tc>
          <w:tcPr>
            <w:tcW w:w="579" w:type="pct"/>
            <w:tcBorders>
              <w:top w:val="nil"/>
              <w:left w:val="single" w:sz="4" w:space="0" w:color="979991"/>
              <w:bottom w:val="single" w:sz="4" w:space="0" w:color="979991"/>
              <w:right w:val="nil"/>
            </w:tcBorders>
            <w:shd w:val="clear" w:color="auto" w:fill="FFFFFF"/>
            <w:vAlign w:val="center"/>
            <w:hideMark/>
          </w:tcPr>
          <w:p w14:paraId="5DC561C2"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679,254</w:t>
            </w:r>
          </w:p>
        </w:tc>
        <w:tc>
          <w:tcPr>
            <w:tcW w:w="498" w:type="pct"/>
            <w:tcBorders>
              <w:top w:val="nil"/>
              <w:left w:val="single" w:sz="4" w:space="0" w:color="979991"/>
              <w:bottom w:val="single" w:sz="4" w:space="0" w:color="979991"/>
              <w:right w:val="nil"/>
            </w:tcBorders>
            <w:shd w:val="clear" w:color="auto" w:fill="FFFFFF"/>
            <w:vAlign w:val="center"/>
            <w:hideMark/>
          </w:tcPr>
          <w:p w14:paraId="78444AA8"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717,355</w:t>
            </w:r>
          </w:p>
        </w:tc>
        <w:tc>
          <w:tcPr>
            <w:tcW w:w="579" w:type="pct"/>
            <w:tcBorders>
              <w:top w:val="nil"/>
              <w:left w:val="single" w:sz="4" w:space="0" w:color="979991"/>
              <w:bottom w:val="single" w:sz="4" w:space="0" w:color="979991"/>
              <w:right w:val="nil"/>
            </w:tcBorders>
            <w:shd w:val="clear" w:color="auto" w:fill="FFFFFF"/>
            <w:vAlign w:val="center"/>
            <w:hideMark/>
          </w:tcPr>
          <w:p w14:paraId="6EF1008C"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658,909</w:t>
            </w:r>
          </w:p>
        </w:tc>
        <w:tc>
          <w:tcPr>
            <w:tcW w:w="467" w:type="pct"/>
            <w:tcBorders>
              <w:top w:val="nil"/>
              <w:left w:val="single" w:sz="4" w:space="0" w:color="979991"/>
              <w:bottom w:val="single" w:sz="4" w:space="0" w:color="979991"/>
              <w:right w:val="single" w:sz="4" w:space="0" w:color="979991"/>
            </w:tcBorders>
            <w:shd w:val="clear" w:color="auto" w:fill="FFFFFF"/>
            <w:vAlign w:val="center"/>
            <w:hideMark/>
          </w:tcPr>
          <w:p w14:paraId="2EAEDBE5"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589,864</w:t>
            </w:r>
          </w:p>
        </w:tc>
      </w:tr>
      <w:tr w:rsidR="00904D11" w14:paraId="7BFD81AF" w14:textId="77777777" w:rsidTr="00904D11">
        <w:trPr>
          <w:trHeight w:val="300"/>
        </w:trPr>
        <w:tc>
          <w:tcPr>
            <w:tcW w:w="579" w:type="pct"/>
            <w:tcBorders>
              <w:top w:val="nil"/>
              <w:left w:val="single" w:sz="4" w:space="0" w:color="979991"/>
              <w:bottom w:val="single" w:sz="4" w:space="0" w:color="979991"/>
              <w:right w:val="nil"/>
            </w:tcBorders>
            <w:shd w:val="clear" w:color="auto" w:fill="F0F4FA"/>
            <w:vAlign w:val="center"/>
            <w:hideMark/>
          </w:tcPr>
          <w:p w14:paraId="1B1949CB"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045108</w:t>
            </w:r>
          </w:p>
        </w:tc>
        <w:tc>
          <w:tcPr>
            <w:tcW w:w="722" w:type="pct"/>
            <w:tcBorders>
              <w:top w:val="nil"/>
              <w:left w:val="single" w:sz="4" w:space="0" w:color="979991"/>
              <w:bottom w:val="single" w:sz="4" w:space="0" w:color="979991"/>
              <w:right w:val="nil"/>
            </w:tcBorders>
            <w:shd w:val="clear" w:color="auto" w:fill="FFFFFF"/>
            <w:vAlign w:val="center"/>
            <w:hideMark/>
          </w:tcPr>
          <w:p w14:paraId="3430B874"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42,138</w:t>
            </w:r>
          </w:p>
        </w:tc>
        <w:tc>
          <w:tcPr>
            <w:tcW w:w="498" w:type="pct"/>
            <w:tcBorders>
              <w:top w:val="nil"/>
              <w:left w:val="single" w:sz="4" w:space="0" w:color="979991"/>
              <w:bottom w:val="single" w:sz="4" w:space="0" w:color="979991"/>
              <w:right w:val="nil"/>
            </w:tcBorders>
            <w:shd w:val="clear" w:color="auto" w:fill="FFFFFF"/>
            <w:vAlign w:val="center"/>
            <w:hideMark/>
          </w:tcPr>
          <w:p w14:paraId="4C210D76"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299,764</w:t>
            </w:r>
          </w:p>
        </w:tc>
        <w:tc>
          <w:tcPr>
            <w:tcW w:w="579" w:type="pct"/>
            <w:tcBorders>
              <w:top w:val="nil"/>
              <w:left w:val="single" w:sz="4" w:space="0" w:color="979991"/>
              <w:bottom w:val="single" w:sz="4" w:space="0" w:color="979991"/>
              <w:right w:val="nil"/>
            </w:tcBorders>
            <w:shd w:val="clear" w:color="auto" w:fill="FFFFFF"/>
            <w:vAlign w:val="center"/>
            <w:hideMark/>
          </w:tcPr>
          <w:p w14:paraId="2B0E411C"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331,557</w:t>
            </w:r>
          </w:p>
        </w:tc>
        <w:tc>
          <w:tcPr>
            <w:tcW w:w="498" w:type="pct"/>
            <w:tcBorders>
              <w:top w:val="nil"/>
              <w:left w:val="single" w:sz="4" w:space="0" w:color="979991"/>
              <w:bottom w:val="single" w:sz="4" w:space="0" w:color="979991"/>
              <w:right w:val="nil"/>
            </w:tcBorders>
            <w:shd w:val="clear" w:color="auto" w:fill="FFFFFF"/>
            <w:vAlign w:val="center"/>
            <w:hideMark/>
          </w:tcPr>
          <w:p w14:paraId="5CE48F75"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248,050</w:t>
            </w:r>
          </w:p>
        </w:tc>
        <w:tc>
          <w:tcPr>
            <w:tcW w:w="579" w:type="pct"/>
            <w:tcBorders>
              <w:top w:val="nil"/>
              <w:left w:val="single" w:sz="4" w:space="0" w:color="979991"/>
              <w:bottom w:val="single" w:sz="4" w:space="0" w:color="979991"/>
              <w:right w:val="nil"/>
            </w:tcBorders>
            <w:shd w:val="clear" w:color="auto" w:fill="FFFFFF"/>
            <w:vAlign w:val="center"/>
            <w:hideMark/>
          </w:tcPr>
          <w:p w14:paraId="476075DD"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220,335</w:t>
            </w:r>
          </w:p>
        </w:tc>
        <w:tc>
          <w:tcPr>
            <w:tcW w:w="498" w:type="pct"/>
            <w:tcBorders>
              <w:top w:val="nil"/>
              <w:left w:val="single" w:sz="4" w:space="0" w:color="979991"/>
              <w:bottom w:val="single" w:sz="4" w:space="0" w:color="979991"/>
              <w:right w:val="nil"/>
            </w:tcBorders>
            <w:shd w:val="clear" w:color="auto" w:fill="FFFFFF"/>
            <w:vAlign w:val="center"/>
            <w:hideMark/>
          </w:tcPr>
          <w:p w14:paraId="5A966A83"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185,894</w:t>
            </w:r>
          </w:p>
        </w:tc>
        <w:tc>
          <w:tcPr>
            <w:tcW w:w="579" w:type="pct"/>
            <w:tcBorders>
              <w:top w:val="nil"/>
              <w:left w:val="single" w:sz="4" w:space="0" w:color="979991"/>
              <w:bottom w:val="single" w:sz="4" w:space="0" w:color="979991"/>
              <w:right w:val="nil"/>
            </w:tcBorders>
            <w:shd w:val="clear" w:color="auto" w:fill="FFFFFF"/>
            <w:vAlign w:val="center"/>
            <w:hideMark/>
          </w:tcPr>
          <w:p w14:paraId="57810B84"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240,840</w:t>
            </w:r>
          </w:p>
        </w:tc>
        <w:tc>
          <w:tcPr>
            <w:tcW w:w="467" w:type="pct"/>
            <w:tcBorders>
              <w:top w:val="nil"/>
              <w:left w:val="single" w:sz="4" w:space="0" w:color="979991"/>
              <w:bottom w:val="single" w:sz="4" w:space="0" w:color="979991"/>
              <w:right w:val="single" w:sz="4" w:space="0" w:color="979991"/>
            </w:tcBorders>
            <w:shd w:val="clear" w:color="auto" w:fill="FFFFFF"/>
            <w:vAlign w:val="center"/>
            <w:hideMark/>
          </w:tcPr>
          <w:p w14:paraId="0CA39E53"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227,662</w:t>
            </w:r>
          </w:p>
        </w:tc>
      </w:tr>
      <w:tr w:rsidR="00904D11" w14:paraId="3CFFF921" w14:textId="77777777" w:rsidTr="00904D11">
        <w:trPr>
          <w:trHeight w:val="300"/>
        </w:trPr>
        <w:tc>
          <w:tcPr>
            <w:tcW w:w="579" w:type="pct"/>
            <w:tcBorders>
              <w:top w:val="nil"/>
              <w:left w:val="single" w:sz="4" w:space="0" w:color="979991"/>
              <w:bottom w:val="single" w:sz="4" w:space="0" w:color="979991"/>
              <w:right w:val="nil"/>
            </w:tcBorders>
            <w:shd w:val="clear" w:color="auto" w:fill="F0F4FA"/>
            <w:vAlign w:val="center"/>
            <w:hideMark/>
          </w:tcPr>
          <w:p w14:paraId="476504DE"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045215</w:t>
            </w:r>
          </w:p>
        </w:tc>
        <w:tc>
          <w:tcPr>
            <w:tcW w:w="722" w:type="pct"/>
            <w:tcBorders>
              <w:top w:val="nil"/>
              <w:left w:val="single" w:sz="4" w:space="0" w:color="979991"/>
              <w:bottom w:val="single" w:sz="4" w:space="0" w:color="979991"/>
              <w:right w:val="nil"/>
            </w:tcBorders>
            <w:shd w:val="clear" w:color="auto" w:fill="FFFFFF"/>
            <w:vAlign w:val="center"/>
            <w:hideMark/>
          </w:tcPr>
          <w:p w14:paraId="0978A0E1"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7,227</w:t>
            </w:r>
          </w:p>
        </w:tc>
        <w:tc>
          <w:tcPr>
            <w:tcW w:w="498" w:type="pct"/>
            <w:tcBorders>
              <w:top w:val="nil"/>
              <w:left w:val="single" w:sz="4" w:space="0" w:color="979991"/>
              <w:bottom w:val="single" w:sz="4" w:space="0" w:color="979991"/>
              <w:right w:val="nil"/>
            </w:tcBorders>
            <w:shd w:val="clear" w:color="auto" w:fill="FFFFFF"/>
            <w:vAlign w:val="center"/>
            <w:hideMark/>
          </w:tcPr>
          <w:p w14:paraId="73C07E40"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534,400</w:t>
            </w:r>
          </w:p>
        </w:tc>
        <w:tc>
          <w:tcPr>
            <w:tcW w:w="579" w:type="pct"/>
            <w:tcBorders>
              <w:top w:val="nil"/>
              <w:left w:val="single" w:sz="4" w:space="0" w:color="979991"/>
              <w:bottom w:val="single" w:sz="4" w:space="0" w:color="979991"/>
              <w:right w:val="nil"/>
            </w:tcBorders>
            <w:shd w:val="clear" w:color="auto" w:fill="FFFFFF"/>
            <w:vAlign w:val="center"/>
            <w:hideMark/>
          </w:tcPr>
          <w:p w14:paraId="3AB84507"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607,942</w:t>
            </w:r>
          </w:p>
        </w:tc>
        <w:tc>
          <w:tcPr>
            <w:tcW w:w="498" w:type="pct"/>
            <w:tcBorders>
              <w:top w:val="nil"/>
              <w:left w:val="single" w:sz="4" w:space="0" w:color="979991"/>
              <w:bottom w:val="single" w:sz="4" w:space="0" w:color="979991"/>
              <w:right w:val="nil"/>
            </w:tcBorders>
            <w:shd w:val="clear" w:color="auto" w:fill="FFFFFF"/>
            <w:vAlign w:val="center"/>
            <w:hideMark/>
          </w:tcPr>
          <w:p w14:paraId="4A3CE70C"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384,455</w:t>
            </w:r>
          </w:p>
        </w:tc>
        <w:tc>
          <w:tcPr>
            <w:tcW w:w="579" w:type="pct"/>
            <w:tcBorders>
              <w:top w:val="nil"/>
              <w:left w:val="single" w:sz="4" w:space="0" w:color="979991"/>
              <w:bottom w:val="single" w:sz="4" w:space="0" w:color="979991"/>
              <w:right w:val="nil"/>
            </w:tcBorders>
            <w:shd w:val="clear" w:color="auto" w:fill="FFFFFF"/>
            <w:vAlign w:val="center"/>
            <w:hideMark/>
          </w:tcPr>
          <w:p w14:paraId="1D789878"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288,618</w:t>
            </w:r>
          </w:p>
        </w:tc>
        <w:tc>
          <w:tcPr>
            <w:tcW w:w="498" w:type="pct"/>
            <w:tcBorders>
              <w:top w:val="nil"/>
              <w:left w:val="single" w:sz="4" w:space="0" w:color="979991"/>
              <w:bottom w:val="single" w:sz="4" w:space="0" w:color="979991"/>
              <w:right w:val="nil"/>
            </w:tcBorders>
            <w:shd w:val="clear" w:color="auto" w:fill="FFFFFF"/>
            <w:vAlign w:val="center"/>
            <w:hideMark/>
          </w:tcPr>
          <w:p w14:paraId="367DF6A8"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272,683</w:t>
            </w:r>
          </w:p>
        </w:tc>
        <w:tc>
          <w:tcPr>
            <w:tcW w:w="579" w:type="pct"/>
            <w:tcBorders>
              <w:top w:val="nil"/>
              <w:left w:val="single" w:sz="4" w:space="0" w:color="979991"/>
              <w:bottom w:val="single" w:sz="4" w:space="0" w:color="979991"/>
              <w:right w:val="nil"/>
            </w:tcBorders>
            <w:shd w:val="clear" w:color="auto" w:fill="FFFFFF"/>
            <w:vAlign w:val="center"/>
            <w:hideMark/>
          </w:tcPr>
          <w:p w14:paraId="196C5450"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296,903</w:t>
            </w:r>
          </w:p>
        </w:tc>
        <w:tc>
          <w:tcPr>
            <w:tcW w:w="467" w:type="pct"/>
            <w:tcBorders>
              <w:top w:val="nil"/>
              <w:left w:val="single" w:sz="4" w:space="0" w:color="979991"/>
              <w:bottom w:val="single" w:sz="4" w:space="0" w:color="979991"/>
              <w:right w:val="single" w:sz="4" w:space="0" w:color="979991"/>
            </w:tcBorders>
            <w:shd w:val="clear" w:color="auto" w:fill="FFFFFF"/>
            <w:vAlign w:val="center"/>
            <w:hideMark/>
          </w:tcPr>
          <w:p w14:paraId="6BEB4D43"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389,793</w:t>
            </w:r>
          </w:p>
        </w:tc>
      </w:tr>
      <w:tr w:rsidR="00904D11" w14:paraId="13A85BFF" w14:textId="77777777" w:rsidTr="00904D11">
        <w:trPr>
          <w:trHeight w:val="300"/>
        </w:trPr>
        <w:tc>
          <w:tcPr>
            <w:tcW w:w="579" w:type="pct"/>
            <w:tcBorders>
              <w:top w:val="nil"/>
              <w:left w:val="single" w:sz="4" w:space="0" w:color="979991"/>
              <w:bottom w:val="single" w:sz="4" w:space="0" w:color="979991"/>
              <w:right w:val="nil"/>
            </w:tcBorders>
            <w:shd w:val="clear" w:color="auto" w:fill="F0F4FA"/>
            <w:vAlign w:val="center"/>
            <w:hideMark/>
          </w:tcPr>
          <w:p w14:paraId="43052F25"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045301</w:t>
            </w:r>
          </w:p>
        </w:tc>
        <w:tc>
          <w:tcPr>
            <w:tcW w:w="722" w:type="pct"/>
            <w:tcBorders>
              <w:top w:val="nil"/>
              <w:left w:val="single" w:sz="4" w:space="0" w:color="979991"/>
              <w:bottom w:val="single" w:sz="4" w:space="0" w:color="979991"/>
              <w:right w:val="nil"/>
            </w:tcBorders>
            <w:shd w:val="clear" w:color="auto" w:fill="FFFFFF"/>
            <w:vAlign w:val="center"/>
            <w:hideMark/>
          </w:tcPr>
          <w:p w14:paraId="38EE7536"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42,722</w:t>
            </w:r>
          </w:p>
        </w:tc>
        <w:tc>
          <w:tcPr>
            <w:tcW w:w="498" w:type="pct"/>
            <w:tcBorders>
              <w:top w:val="nil"/>
              <w:left w:val="single" w:sz="4" w:space="0" w:color="979991"/>
              <w:bottom w:val="single" w:sz="4" w:space="0" w:color="979991"/>
              <w:right w:val="nil"/>
            </w:tcBorders>
            <w:shd w:val="clear" w:color="auto" w:fill="FFFFFF"/>
            <w:vAlign w:val="center"/>
            <w:hideMark/>
          </w:tcPr>
          <w:p w14:paraId="2F135922"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334,811</w:t>
            </w:r>
          </w:p>
        </w:tc>
        <w:tc>
          <w:tcPr>
            <w:tcW w:w="579" w:type="pct"/>
            <w:tcBorders>
              <w:top w:val="nil"/>
              <w:left w:val="single" w:sz="4" w:space="0" w:color="979991"/>
              <w:bottom w:val="single" w:sz="4" w:space="0" w:color="979991"/>
              <w:right w:val="nil"/>
            </w:tcBorders>
            <w:shd w:val="clear" w:color="auto" w:fill="FFFFFF"/>
            <w:vAlign w:val="center"/>
            <w:hideMark/>
          </w:tcPr>
          <w:p w14:paraId="144F2FE4"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405,105</w:t>
            </w:r>
          </w:p>
        </w:tc>
        <w:tc>
          <w:tcPr>
            <w:tcW w:w="498" w:type="pct"/>
            <w:tcBorders>
              <w:top w:val="nil"/>
              <w:left w:val="single" w:sz="4" w:space="0" w:color="979991"/>
              <w:bottom w:val="single" w:sz="4" w:space="0" w:color="979991"/>
              <w:right w:val="nil"/>
            </w:tcBorders>
            <w:shd w:val="clear" w:color="auto" w:fill="FFFFFF"/>
            <w:vAlign w:val="center"/>
            <w:hideMark/>
          </w:tcPr>
          <w:p w14:paraId="3CECFCB2"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294,923</w:t>
            </w:r>
          </w:p>
        </w:tc>
        <w:tc>
          <w:tcPr>
            <w:tcW w:w="579" w:type="pct"/>
            <w:tcBorders>
              <w:top w:val="nil"/>
              <w:left w:val="single" w:sz="4" w:space="0" w:color="979991"/>
              <w:bottom w:val="single" w:sz="4" w:space="0" w:color="979991"/>
              <w:right w:val="nil"/>
            </w:tcBorders>
            <w:shd w:val="clear" w:color="auto" w:fill="FFFFFF"/>
            <w:vAlign w:val="center"/>
            <w:hideMark/>
          </w:tcPr>
          <w:p w14:paraId="6AA6FB59"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316,064</w:t>
            </w:r>
          </w:p>
        </w:tc>
        <w:tc>
          <w:tcPr>
            <w:tcW w:w="498" w:type="pct"/>
            <w:tcBorders>
              <w:top w:val="nil"/>
              <w:left w:val="single" w:sz="4" w:space="0" w:color="979991"/>
              <w:bottom w:val="single" w:sz="4" w:space="0" w:color="979991"/>
              <w:right w:val="nil"/>
            </w:tcBorders>
            <w:shd w:val="clear" w:color="auto" w:fill="FFFFFF"/>
            <w:vAlign w:val="center"/>
            <w:hideMark/>
          </w:tcPr>
          <w:p w14:paraId="23057880"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285,476</w:t>
            </w:r>
          </w:p>
        </w:tc>
        <w:tc>
          <w:tcPr>
            <w:tcW w:w="579" w:type="pct"/>
            <w:tcBorders>
              <w:top w:val="nil"/>
              <w:left w:val="single" w:sz="4" w:space="0" w:color="979991"/>
              <w:bottom w:val="single" w:sz="4" w:space="0" w:color="979991"/>
              <w:right w:val="nil"/>
            </w:tcBorders>
            <w:shd w:val="clear" w:color="auto" w:fill="FFFFFF"/>
            <w:vAlign w:val="center"/>
            <w:hideMark/>
          </w:tcPr>
          <w:p w14:paraId="23EC80F2"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329,191</w:t>
            </w:r>
          </w:p>
        </w:tc>
        <w:tc>
          <w:tcPr>
            <w:tcW w:w="467" w:type="pct"/>
            <w:tcBorders>
              <w:top w:val="nil"/>
              <w:left w:val="single" w:sz="4" w:space="0" w:color="979991"/>
              <w:bottom w:val="single" w:sz="4" w:space="0" w:color="979991"/>
              <w:right w:val="single" w:sz="4" w:space="0" w:color="979991"/>
            </w:tcBorders>
            <w:shd w:val="clear" w:color="auto" w:fill="FFFFFF"/>
            <w:vAlign w:val="center"/>
            <w:hideMark/>
          </w:tcPr>
          <w:p w14:paraId="431B9177"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323,906</w:t>
            </w:r>
          </w:p>
        </w:tc>
      </w:tr>
      <w:tr w:rsidR="00904D11" w14:paraId="2E5F511A" w14:textId="77777777" w:rsidTr="00904D11">
        <w:trPr>
          <w:trHeight w:val="300"/>
        </w:trPr>
        <w:tc>
          <w:tcPr>
            <w:tcW w:w="579" w:type="pct"/>
            <w:tcBorders>
              <w:top w:val="nil"/>
              <w:left w:val="single" w:sz="4" w:space="0" w:color="979991"/>
              <w:bottom w:val="single" w:sz="4" w:space="0" w:color="979991"/>
              <w:right w:val="nil"/>
            </w:tcBorders>
            <w:shd w:val="clear" w:color="auto" w:fill="F0F4FA"/>
            <w:vAlign w:val="center"/>
            <w:hideMark/>
          </w:tcPr>
          <w:p w14:paraId="3CDE1057"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045302</w:t>
            </w:r>
          </w:p>
        </w:tc>
        <w:tc>
          <w:tcPr>
            <w:tcW w:w="722" w:type="pct"/>
            <w:tcBorders>
              <w:top w:val="nil"/>
              <w:left w:val="single" w:sz="4" w:space="0" w:color="979991"/>
              <w:bottom w:val="single" w:sz="4" w:space="0" w:color="979991"/>
              <w:right w:val="nil"/>
            </w:tcBorders>
            <w:shd w:val="clear" w:color="auto" w:fill="FFFFFF"/>
            <w:vAlign w:val="center"/>
            <w:hideMark/>
          </w:tcPr>
          <w:p w14:paraId="2E25B71E"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-38,963</w:t>
            </w:r>
          </w:p>
        </w:tc>
        <w:tc>
          <w:tcPr>
            <w:tcW w:w="498" w:type="pct"/>
            <w:tcBorders>
              <w:top w:val="nil"/>
              <w:left w:val="single" w:sz="4" w:space="0" w:color="979991"/>
              <w:bottom w:val="single" w:sz="4" w:space="0" w:color="979991"/>
              <w:right w:val="nil"/>
            </w:tcBorders>
            <w:shd w:val="clear" w:color="auto" w:fill="FFFFFF"/>
            <w:vAlign w:val="center"/>
            <w:hideMark/>
          </w:tcPr>
          <w:p w14:paraId="77EEC7BF"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69,600</w:t>
            </w:r>
          </w:p>
        </w:tc>
        <w:tc>
          <w:tcPr>
            <w:tcW w:w="579" w:type="pct"/>
            <w:tcBorders>
              <w:top w:val="nil"/>
              <w:left w:val="single" w:sz="4" w:space="0" w:color="979991"/>
              <w:bottom w:val="single" w:sz="4" w:space="0" w:color="979991"/>
              <w:right w:val="nil"/>
            </w:tcBorders>
            <w:shd w:val="clear" w:color="auto" w:fill="FFFFFF"/>
            <w:vAlign w:val="center"/>
            <w:hideMark/>
          </w:tcPr>
          <w:p w14:paraId="1E71E007"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31,505</w:t>
            </w:r>
          </w:p>
        </w:tc>
        <w:tc>
          <w:tcPr>
            <w:tcW w:w="498" w:type="pct"/>
            <w:tcBorders>
              <w:top w:val="nil"/>
              <w:left w:val="single" w:sz="4" w:space="0" w:color="979991"/>
              <w:bottom w:val="single" w:sz="4" w:space="0" w:color="979991"/>
              <w:right w:val="nil"/>
            </w:tcBorders>
            <w:shd w:val="clear" w:color="auto" w:fill="FFFFFF"/>
            <w:vAlign w:val="center"/>
            <w:hideMark/>
          </w:tcPr>
          <w:p w14:paraId="11AC26EA"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90,598</w:t>
            </w:r>
          </w:p>
        </w:tc>
        <w:tc>
          <w:tcPr>
            <w:tcW w:w="579" w:type="pct"/>
            <w:tcBorders>
              <w:top w:val="nil"/>
              <w:left w:val="single" w:sz="4" w:space="0" w:color="979991"/>
              <w:bottom w:val="single" w:sz="4" w:space="0" w:color="979991"/>
              <w:right w:val="nil"/>
            </w:tcBorders>
            <w:shd w:val="clear" w:color="auto" w:fill="FFFFFF"/>
            <w:vAlign w:val="center"/>
            <w:hideMark/>
          </w:tcPr>
          <w:p w14:paraId="145DA598"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45,839</w:t>
            </w:r>
          </w:p>
        </w:tc>
        <w:tc>
          <w:tcPr>
            <w:tcW w:w="498" w:type="pct"/>
            <w:tcBorders>
              <w:top w:val="nil"/>
              <w:left w:val="single" w:sz="4" w:space="0" w:color="979991"/>
              <w:bottom w:val="single" w:sz="4" w:space="0" w:color="979991"/>
              <w:right w:val="nil"/>
            </w:tcBorders>
            <w:shd w:val="clear" w:color="auto" w:fill="FFFFFF"/>
            <w:vAlign w:val="center"/>
            <w:hideMark/>
          </w:tcPr>
          <w:p w14:paraId="67A66FBD"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94,365</w:t>
            </w:r>
          </w:p>
        </w:tc>
        <w:tc>
          <w:tcPr>
            <w:tcW w:w="579" w:type="pct"/>
            <w:tcBorders>
              <w:top w:val="nil"/>
              <w:left w:val="single" w:sz="4" w:space="0" w:color="979991"/>
              <w:bottom w:val="single" w:sz="4" w:space="0" w:color="979991"/>
              <w:right w:val="nil"/>
            </w:tcBorders>
            <w:shd w:val="clear" w:color="auto" w:fill="FFFFFF"/>
            <w:vAlign w:val="center"/>
            <w:hideMark/>
          </w:tcPr>
          <w:p w14:paraId="77199659"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55,084</w:t>
            </w:r>
          </w:p>
        </w:tc>
        <w:tc>
          <w:tcPr>
            <w:tcW w:w="467" w:type="pct"/>
            <w:tcBorders>
              <w:top w:val="nil"/>
              <w:left w:val="single" w:sz="4" w:space="0" w:color="979991"/>
              <w:bottom w:val="single" w:sz="4" w:space="0" w:color="979991"/>
              <w:right w:val="single" w:sz="4" w:space="0" w:color="979991"/>
            </w:tcBorders>
            <w:shd w:val="clear" w:color="auto" w:fill="FFFFFF"/>
            <w:vAlign w:val="center"/>
            <w:hideMark/>
          </w:tcPr>
          <w:p w14:paraId="2BA9DBBB"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99,497</w:t>
            </w:r>
          </w:p>
        </w:tc>
      </w:tr>
      <w:tr w:rsidR="00904D11" w14:paraId="349DFC8F" w14:textId="77777777" w:rsidTr="00904D11">
        <w:trPr>
          <w:trHeight w:val="300"/>
        </w:trPr>
        <w:tc>
          <w:tcPr>
            <w:tcW w:w="579" w:type="pct"/>
            <w:tcBorders>
              <w:top w:val="nil"/>
              <w:left w:val="single" w:sz="4" w:space="0" w:color="979991"/>
              <w:bottom w:val="single" w:sz="4" w:space="0" w:color="979991"/>
              <w:right w:val="nil"/>
            </w:tcBorders>
            <w:shd w:val="clear" w:color="auto" w:fill="F0F4FA"/>
            <w:vAlign w:val="center"/>
            <w:hideMark/>
          </w:tcPr>
          <w:p w14:paraId="19B726D1"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045901</w:t>
            </w:r>
          </w:p>
        </w:tc>
        <w:tc>
          <w:tcPr>
            <w:tcW w:w="722" w:type="pct"/>
            <w:tcBorders>
              <w:top w:val="nil"/>
              <w:left w:val="single" w:sz="4" w:space="0" w:color="979991"/>
              <w:bottom w:val="single" w:sz="4" w:space="0" w:color="979991"/>
              <w:right w:val="nil"/>
            </w:tcBorders>
            <w:shd w:val="clear" w:color="auto" w:fill="FFFFFF"/>
            <w:vAlign w:val="center"/>
            <w:hideMark/>
          </w:tcPr>
          <w:p w14:paraId="2258E7A2"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7,800</w:t>
            </w:r>
          </w:p>
        </w:tc>
        <w:tc>
          <w:tcPr>
            <w:tcW w:w="498" w:type="pct"/>
            <w:tcBorders>
              <w:top w:val="nil"/>
              <w:left w:val="single" w:sz="4" w:space="0" w:color="979991"/>
              <w:bottom w:val="single" w:sz="4" w:space="0" w:color="979991"/>
              <w:right w:val="nil"/>
            </w:tcBorders>
            <w:shd w:val="clear" w:color="auto" w:fill="FFFFFF"/>
            <w:vAlign w:val="center"/>
            <w:hideMark/>
          </w:tcPr>
          <w:p w14:paraId="47BB052C"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84,774</w:t>
            </w:r>
          </w:p>
        </w:tc>
        <w:tc>
          <w:tcPr>
            <w:tcW w:w="579" w:type="pct"/>
            <w:tcBorders>
              <w:top w:val="nil"/>
              <w:left w:val="single" w:sz="4" w:space="0" w:color="979991"/>
              <w:bottom w:val="single" w:sz="4" w:space="0" w:color="979991"/>
              <w:right w:val="nil"/>
            </w:tcBorders>
            <w:shd w:val="clear" w:color="auto" w:fill="FFFFFF"/>
            <w:vAlign w:val="center"/>
            <w:hideMark/>
          </w:tcPr>
          <w:p w14:paraId="6CC24239"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82,510</w:t>
            </w:r>
          </w:p>
        </w:tc>
        <w:tc>
          <w:tcPr>
            <w:tcW w:w="498" w:type="pct"/>
            <w:tcBorders>
              <w:top w:val="nil"/>
              <w:left w:val="single" w:sz="4" w:space="0" w:color="979991"/>
              <w:bottom w:val="single" w:sz="4" w:space="0" w:color="979991"/>
              <w:right w:val="nil"/>
            </w:tcBorders>
            <w:shd w:val="clear" w:color="auto" w:fill="FFFFFF"/>
            <w:vAlign w:val="center"/>
            <w:hideMark/>
          </w:tcPr>
          <w:p w14:paraId="73736B5B"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66,846</w:t>
            </w:r>
          </w:p>
        </w:tc>
        <w:tc>
          <w:tcPr>
            <w:tcW w:w="579" w:type="pct"/>
            <w:tcBorders>
              <w:top w:val="nil"/>
              <w:left w:val="single" w:sz="4" w:space="0" w:color="979991"/>
              <w:bottom w:val="single" w:sz="4" w:space="0" w:color="979991"/>
              <w:right w:val="nil"/>
            </w:tcBorders>
            <w:shd w:val="clear" w:color="auto" w:fill="FFFFFF"/>
            <w:vAlign w:val="center"/>
            <w:hideMark/>
          </w:tcPr>
          <w:p w14:paraId="2DEA7C91"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78,461</w:t>
            </w:r>
          </w:p>
        </w:tc>
        <w:tc>
          <w:tcPr>
            <w:tcW w:w="498" w:type="pct"/>
            <w:tcBorders>
              <w:top w:val="nil"/>
              <w:left w:val="single" w:sz="4" w:space="0" w:color="979991"/>
              <w:bottom w:val="single" w:sz="4" w:space="0" w:color="979991"/>
              <w:right w:val="nil"/>
            </w:tcBorders>
            <w:shd w:val="clear" w:color="auto" w:fill="FFFFFF"/>
            <w:vAlign w:val="center"/>
            <w:hideMark/>
          </w:tcPr>
          <w:p w14:paraId="17B99FEB"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66,258</w:t>
            </w:r>
          </w:p>
        </w:tc>
        <w:tc>
          <w:tcPr>
            <w:tcW w:w="579" w:type="pct"/>
            <w:tcBorders>
              <w:top w:val="nil"/>
              <w:left w:val="single" w:sz="4" w:space="0" w:color="979991"/>
              <w:bottom w:val="single" w:sz="4" w:space="0" w:color="979991"/>
              <w:right w:val="nil"/>
            </w:tcBorders>
            <w:shd w:val="clear" w:color="auto" w:fill="FFFFFF"/>
            <w:vAlign w:val="center"/>
            <w:hideMark/>
          </w:tcPr>
          <w:p w14:paraId="4738BAA9"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77,682</w:t>
            </w:r>
          </w:p>
        </w:tc>
        <w:tc>
          <w:tcPr>
            <w:tcW w:w="467" w:type="pct"/>
            <w:tcBorders>
              <w:top w:val="nil"/>
              <w:left w:val="single" w:sz="4" w:space="0" w:color="979991"/>
              <w:bottom w:val="single" w:sz="4" w:space="0" w:color="979991"/>
              <w:right w:val="single" w:sz="4" w:space="0" w:color="979991"/>
            </w:tcBorders>
            <w:shd w:val="clear" w:color="auto" w:fill="FFFFFF"/>
            <w:vAlign w:val="center"/>
            <w:hideMark/>
          </w:tcPr>
          <w:p w14:paraId="665DB963" w14:textId="77777777" w:rsidR="00904D11" w:rsidRDefault="00904D11" w:rsidP="00A40800">
            <w:pPr>
              <w:bidi w:val="0"/>
              <w:jc w:val="center"/>
              <w:rPr>
                <w:rFonts w:ascii="Calibri" w:hAnsi="Calibri" w:cs="Calibri"/>
                <w:color w:val="000000"/>
                <w:sz w:val="16"/>
                <w:szCs w:val="16"/>
              </w:rPr>
            </w:pPr>
            <w:r>
              <w:rPr>
                <w:rFonts w:ascii="Calibri" w:hAnsi="Calibri" w:cs="Calibri"/>
                <w:color w:val="000000"/>
                <w:sz w:val="16"/>
                <w:szCs w:val="16"/>
              </w:rPr>
              <w:t>68,165</w:t>
            </w:r>
          </w:p>
        </w:tc>
      </w:tr>
    </w:tbl>
    <w:p w14:paraId="0228BFF7" w14:textId="77777777" w:rsidR="00904D11" w:rsidRDefault="00904D11">
      <w:pPr>
        <w:rPr>
          <w:rFonts w:cs="FrankRuehl"/>
          <w:sz w:val="26"/>
          <w:szCs w:val="26"/>
          <w:rtl/>
        </w:rPr>
      </w:pPr>
    </w:p>
    <w:p w14:paraId="7278574B" w14:textId="0DB9D262" w:rsidR="00904D11" w:rsidRDefault="00904D11">
      <w:pPr>
        <w:rPr>
          <w:rFonts w:cs="FrankRuehl"/>
          <w:sz w:val="26"/>
          <w:szCs w:val="26"/>
          <w:rtl/>
        </w:rPr>
      </w:pPr>
    </w:p>
    <w:p w14:paraId="2CC8BB77" w14:textId="2BCC911C" w:rsidR="00904D11" w:rsidRDefault="00904D11">
      <w:pPr>
        <w:rPr>
          <w:rFonts w:cs="FrankRuehl"/>
          <w:sz w:val="26"/>
          <w:szCs w:val="26"/>
          <w:rtl/>
        </w:rPr>
      </w:pPr>
    </w:p>
    <w:p w14:paraId="61E7A095" w14:textId="0E0863ED" w:rsidR="00904D11" w:rsidRDefault="00904D11">
      <w:pPr>
        <w:rPr>
          <w:rFonts w:cs="FrankRuehl"/>
          <w:sz w:val="26"/>
          <w:szCs w:val="26"/>
          <w:rtl/>
        </w:rPr>
      </w:pPr>
    </w:p>
    <w:p w14:paraId="72EE2EDF" w14:textId="36890E8F" w:rsidR="00904D11" w:rsidRDefault="00904D11">
      <w:pPr>
        <w:rPr>
          <w:rFonts w:cs="FrankRuehl"/>
          <w:sz w:val="26"/>
          <w:szCs w:val="26"/>
          <w:rtl/>
        </w:rPr>
      </w:pPr>
    </w:p>
    <w:p w14:paraId="43004D01" w14:textId="7D96FD05" w:rsidR="00904D11" w:rsidRDefault="00904D11">
      <w:pPr>
        <w:rPr>
          <w:rFonts w:cs="FrankRuehl"/>
          <w:sz w:val="26"/>
          <w:szCs w:val="26"/>
          <w:rtl/>
        </w:rPr>
      </w:pPr>
    </w:p>
    <w:p w14:paraId="2475AAF8" w14:textId="512CB333" w:rsidR="00904D11" w:rsidRDefault="00904D11">
      <w:pPr>
        <w:rPr>
          <w:rFonts w:cs="FrankRuehl"/>
          <w:sz w:val="26"/>
          <w:szCs w:val="26"/>
          <w:rtl/>
        </w:rPr>
      </w:pPr>
    </w:p>
    <w:p w14:paraId="3AE393D4" w14:textId="77777777" w:rsidR="00904D11" w:rsidRPr="00161010" w:rsidRDefault="00904D11">
      <w:pPr>
        <w:rPr>
          <w:rFonts w:cs="FrankRuehl"/>
          <w:sz w:val="26"/>
          <w:szCs w:val="26"/>
          <w:rtl/>
        </w:rPr>
      </w:pPr>
    </w:p>
    <w:sectPr w:rsidR="00904D11" w:rsidRPr="00161010" w:rsidSect="00BC0F8E">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69814" w14:textId="77777777" w:rsidR="000A5C62" w:rsidRDefault="000A5C62" w:rsidP="00BC0F8E">
      <w:r>
        <w:separator/>
      </w:r>
    </w:p>
  </w:endnote>
  <w:endnote w:type="continuationSeparator" w:id="0">
    <w:p w14:paraId="0301F180" w14:textId="77777777" w:rsidR="000A5C62" w:rsidRDefault="000A5C62" w:rsidP="00BC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33DE0" w14:textId="77777777" w:rsidR="005431FE" w:rsidRDefault="005431F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BD38A" w14:textId="77777777" w:rsidR="005431FE" w:rsidRDefault="005431FE">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F7425" w14:textId="77777777" w:rsidR="005431FE" w:rsidRDefault="005431F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16C12" w14:textId="77777777" w:rsidR="000A5C62" w:rsidRDefault="000A5C62" w:rsidP="00BC0F8E">
      <w:r>
        <w:separator/>
      </w:r>
    </w:p>
  </w:footnote>
  <w:footnote w:type="continuationSeparator" w:id="0">
    <w:p w14:paraId="1FA4617E" w14:textId="77777777" w:rsidR="000A5C62" w:rsidRDefault="000A5C62" w:rsidP="00BC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EB480" w14:textId="77777777" w:rsidR="005431FE" w:rsidRDefault="005431F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4853A" w14:textId="77777777" w:rsidR="00BC0F8E" w:rsidRPr="00CB5FFD" w:rsidRDefault="000A5C62" w:rsidP="00BC0F8E">
    <w:pPr>
      <w:pStyle w:val="a4"/>
      <w:jc w:val="right"/>
      <w:rPr>
        <w:color w:val="4F81BD"/>
        <w:rtl/>
        <w:cs/>
      </w:rPr>
    </w:pPr>
    <w:r>
      <w:rPr>
        <w:noProof/>
        <w:rtl/>
      </w:rPr>
      <w:pict w14:anchorId="2D803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89.25pt;margin-top:-89.15pt;width:593.25pt;height:89.25pt;z-index:1;mso-position-horizontal-relative:margin;mso-position-vertical-relative:margin">
          <v:imagedata r:id="rId1" o:title="Header"/>
          <w10:wrap type="square" anchorx="margin" anchory="margin"/>
        </v:shape>
      </w:pict>
    </w:r>
  </w:p>
  <w:p w14:paraId="6F67EBDE" w14:textId="77777777" w:rsidR="00BC0F8E" w:rsidRPr="00CB5FFD" w:rsidRDefault="00BC0F8E" w:rsidP="00BC0F8E">
    <w:pPr>
      <w:pStyle w:val="a4"/>
      <w:jc w:val="right"/>
      <w:rPr>
        <w:color w:val="4F81BD"/>
        <w:rtl/>
        <w:cs/>
      </w:rPr>
    </w:pPr>
  </w:p>
  <w:p w14:paraId="00D08FC6" w14:textId="77777777" w:rsidR="00BC0F8E" w:rsidRDefault="00BC0F8E" w:rsidP="00BC0F8E">
    <w:pPr>
      <w:pStyle w:val="a4"/>
    </w:pPr>
  </w:p>
  <w:p w14:paraId="5C28569A" w14:textId="77777777" w:rsidR="00BC0F8E" w:rsidRDefault="00BC0F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A5483" w14:textId="77777777" w:rsidR="005431FE" w:rsidRDefault="005431F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1FD1"/>
    <w:rsid w:val="00082924"/>
    <w:rsid w:val="000A4830"/>
    <w:rsid w:val="000A5C62"/>
    <w:rsid w:val="00161010"/>
    <w:rsid w:val="00360BD3"/>
    <w:rsid w:val="003A4CAE"/>
    <w:rsid w:val="00462897"/>
    <w:rsid w:val="005431FE"/>
    <w:rsid w:val="005C7E8B"/>
    <w:rsid w:val="006A7A7A"/>
    <w:rsid w:val="007F3CB2"/>
    <w:rsid w:val="00904D11"/>
    <w:rsid w:val="00A06DF5"/>
    <w:rsid w:val="00A20F3B"/>
    <w:rsid w:val="00AF2BBF"/>
    <w:rsid w:val="00B94155"/>
    <w:rsid w:val="00BC0F8E"/>
    <w:rsid w:val="00CB133E"/>
    <w:rsid w:val="00CE2337"/>
    <w:rsid w:val="00E31FD1"/>
    <w:rsid w:val="00E40F3E"/>
    <w:rsid w:val="00ED0D8D"/>
    <w:rsid w:val="00F11513"/>
    <w:rsid w:val="00F4006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69E440D1"/>
  <w15:chartTrackingRefBased/>
  <w15:docId w15:val="{1C19B911-DB26-4E20-84CE-A448941ED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BC0F8E"/>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BC0F8E"/>
    <w:rPr>
      <w:rFonts w:cs="Narkisim"/>
      <w:szCs w:val="24"/>
      <w:lang w:eastAsia="he-IL"/>
    </w:rPr>
  </w:style>
  <w:style w:type="paragraph" w:styleId="a8">
    <w:name w:val="footer"/>
    <w:basedOn w:val="a"/>
    <w:link w:val="a9"/>
    <w:uiPriority w:val="99"/>
    <w:unhideWhenUsed/>
    <w:rsid w:val="00BC0F8E"/>
    <w:pPr>
      <w:tabs>
        <w:tab w:val="center" w:pos="4153"/>
        <w:tab w:val="right" w:pos="8306"/>
      </w:tabs>
    </w:pPr>
  </w:style>
  <w:style w:type="character" w:customStyle="1" w:styleId="a9">
    <w:name w:val="כותרת תחתונה תו"/>
    <w:link w:val="a8"/>
    <w:uiPriority w:val="99"/>
    <w:rsid w:val="00BC0F8E"/>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03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653</Words>
  <Characters>3267</Characters>
  <Application>Microsoft Office Word</Application>
  <DocSecurity>0</DocSecurity>
  <Lines>27</Lines>
  <Paragraphs>7</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cp:lastModifiedBy>שמרית יצחקי</cp:lastModifiedBy>
  <cp:revision>4</cp:revision>
  <cp:lastPrinted>1899-12-31T22:00:00Z</cp:lastPrinted>
  <dcterms:created xsi:type="dcterms:W3CDTF">2026-07-27T10:17:00Z</dcterms:created>
  <dcterms:modified xsi:type="dcterms:W3CDTF">2026-07-27T10:36:00Z</dcterms:modified>
</cp:coreProperties>
</file>