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776E9C" w14:textId="77777777" w:rsidR="00436E4E" w:rsidRDefault="00436E4E">
      <w:pPr>
        <w:pStyle w:val="a"/>
        <w:rPr>
          <w:rtl/>
        </w:rPr>
      </w:pPr>
    </w:p>
    <w:p w14:paraId="43DB111E" w14:textId="77777777" w:rsidR="00436E4E" w:rsidRDefault="00436E4E">
      <w:pPr>
        <w:pStyle w:val="a"/>
        <w:rPr>
          <w:rtl/>
        </w:rPr>
      </w:pPr>
      <w:r>
        <w:rPr>
          <w:rtl/>
        </w:rPr>
        <w:t>מדינת ישראל</w:t>
      </w:r>
    </w:p>
    <w:p w14:paraId="462C7973" w14:textId="77777777" w:rsidR="00436E4E" w:rsidRDefault="00436E4E">
      <w:pPr>
        <w:pStyle w:val="a"/>
        <w:rPr>
          <w:szCs w:val="24"/>
          <w:rtl/>
        </w:rPr>
      </w:pPr>
      <w:r>
        <w:rPr>
          <w:rtl/>
        </w:rPr>
        <w:t>האוצר - אגף התקציבים</w:t>
      </w:r>
    </w:p>
    <w:p w14:paraId="333C0A8B" w14:textId="77777777" w:rsidR="00436E4E" w:rsidRDefault="00436E4E">
      <w:pPr>
        <w:rPr>
          <w:rtl/>
        </w:rPr>
      </w:pPr>
    </w:p>
    <w:p w14:paraId="216D4134" w14:textId="77777777" w:rsidR="00436E4E" w:rsidRDefault="00436E4E">
      <w:pPr>
        <w:rPr>
          <w:rtl/>
        </w:rPr>
      </w:pPr>
    </w:p>
    <w:p w14:paraId="776B1F09" w14:textId="58944AAF" w:rsidR="00436E4E" w:rsidRDefault="00436E4E">
      <w:pPr>
        <w:tabs>
          <w:tab w:val="left" w:pos="6300"/>
        </w:tabs>
        <w:rPr>
          <w:rtl/>
        </w:rPr>
      </w:pPr>
      <w:r>
        <w:rPr>
          <w:rtl/>
        </w:rPr>
        <w:tab/>
      </w:r>
      <w:bookmarkStart w:id="0" w:name="TAKZIV8"/>
      <w:r w:rsidR="00D00166">
        <w:rPr>
          <w:rtl/>
        </w:rPr>
        <w:t>תקציב רגיל</w:t>
      </w:r>
      <w:bookmarkEnd w:id="0"/>
    </w:p>
    <w:p w14:paraId="6392907B" w14:textId="77777777" w:rsidR="00436E4E" w:rsidRDefault="00436E4E">
      <w:pPr>
        <w:tabs>
          <w:tab w:val="left" w:pos="6300"/>
        </w:tabs>
        <w:rPr>
          <w:rtl/>
        </w:rPr>
      </w:pPr>
      <w:r>
        <w:rPr>
          <w:rtl/>
        </w:rPr>
        <w:tab/>
      </w:r>
    </w:p>
    <w:p w14:paraId="08BDB466" w14:textId="77777777" w:rsidR="00436E4E" w:rsidRPr="002E1D22" w:rsidRDefault="00436E4E" w:rsidP="002E1D22">
      <w:pPr>
        <w:rPr>
          <w:rFonts w:cs="FrankRuehl"/>
          <w:sz w:val="26"/>
          <w:szCs w:val="26"/>
          <w:rtl/>
        </w:rPr>
      </w:pPr>
      <w:r>
        <w:rPr>
          <w:rtl/>
        </w:rPr>
        <w:tab/>
      </w:r>
      <w:r w:rsidR="002E1D22">
        <w:rPr>
          <w:rtl/>
        </w:rPr>
        <w:tab/>
      </w:r>
      <w:r w:rsidR="002E1D22">
        <w:rPr>
          <w:rtl/>
        </w:rPr>
        <w:tab/>
      </w:r>
      <w:r w:rsidR="002E1D22">
        <w:rPr>
          <w:rtl/>
        </w:rPr>
        <w:tab/>
      </w:r>
      <w:r w:rsidR="002E1D22">
        <w:rPr>
          <w:rtl/>
        </w:rPr>
        <w:tab/>
      </w:r>
      <w:r w:rsidR="002E1D22">
        <w:rPr>
          <w:rtl/>
        </w:rPr>
        <w:tab/>
      </w:r>
      <w:r w:rsidR="002E1D22">
        <w:rPr>
          <w:rtl/>
        </w:rPr>
        <w:tab/>
      </w:r>
      <w:r w:rsidR="002E1D22">
        <w:rPr>
          <w:rtl/>
        </w:rPr>
        <w:tab/>
      </w:r>
      <w:r w:rsidRPr="002E1D22">
        <w:rPr>
          <w:rFonts w:cs="FrankRuehl"/>
          <w:sz w:val="26"/>
          <w:szCs w:val="26"/>
          <w:rtl/>
        </w:rPr>
        <w:t xml:space="preserve">ירושלים, </w:t>
      </w:r>
      <w:bookmarkStart w:id="1" w:name="TAKZIV9"/>
      <w:bookmarkEnd w:id="1"/>
    </w:p>
    <w:p w14:paraId="70BE6E3D" w14:textId="60169684" w:rsidR="00436E4E" w:rsidRDefault="00436E4E" w:rsidP="002E1D22">
      <w:pPr>
        <w:tabs>
          <w:tab w:val="left" w:pos="5755"/>
        </w:tabs>
        <w:rPr>
          <w:rFonts w:cs="FrankRuehl"/>
          <w:sz w:val="26"/>
          <w:szCs w:val="26"/>
        </w:rPr>
      </w:pPr>
      <w:r w:rsidRPr="002E1D22">
        <w:rPr>
          <w:rFonts w:cs="FrankRuehl"/>
          <w:sz w:val="26"/>
          <w:szCs w:val="26"/>
          <w:rtl/>
        </w:rPr>
        <w:tab/>
        <w:t xml:space="preserve">בקשה מספר </w:t>
      </w:r>
      <w:bookmarkStart w:id="2" w:name="TAKZIV4"/>
      <w:r w:rsidR="00D00166">
        <w:rPr>
          <w:rFonts w:cs="FrankRuehl"/>
          <w:sz w:val="26"/>
          <w:szCs w:val="26"/>
          <w:rtl/>
        </w:rPr>
        <w:t>212</w:t>
      </w:r>
      <w:bookmarkEnd w:id="2"/>
      <w:r w:rsidRPr="002E1D22">
        <w:rPr>
          <w:rFonts w:cs="FrankRuehl"/>
          <w:sz w:val="26"/>
          <w:szCs w:val="26"/>
          <w:rtl/>
        </w:rPr>
        <w:t xml:space="preserve"> </w:t>
      </w:r>
      <w:r w:rsidR="00776062">
        <w:rPr>
          <w:rFonts w:cs="FrankRuehl"/>
          <w:sz w:val="26"/>
          <w:szCs w:val="26"/>
          <w:rtl/>
        </w:rPr>
        <w:t>–</w:t>
      </w:r>
      <w:r w:rsidRPr="002E1D22">
        <w:rPr>
          <w:rFonts w:cs="FrankRuehl"/>
          <w:sz w:val="26"/>
          <w:szCs w:val="26"/>
          <w:rtl/>
        </w:rPr>
        <w:t xml:space="preserve"> </w:t>
      </w:r>
      <w:bookmarkStart w:id="3" w:name="TAKZIV3"/>
      <w:r w:rsidR="00D00166">
        <w:rPr>
          <w:rFonts w:cs="FrankRuehl"/>
          <w:sz w:val="26"/>
          <w:szCs w:val="26"/>
          <w:rtl/>
        </w:rPr>
        <w:t>15</w:t>
      </w:r>
      <w:bookmarkEnd w:id="3"/>
    </w:p>
    <w:p w14:paraId="044E59C5" w14:textId="6973FBAB" w:rsidR="00776062" w:rsidRPr="002E1D22" w:rsidRDefault="00776062" w:rsidP="002E1D22">
      <w:pPr>
        <w:tabs>
          <w:tab w:val="left" w:pos="5755"/>
        </w:tabs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</w:rPr>
        <w:tab/>
      </w:r>
      <w:r>
        <w:rPr>
          <w:rFonts w:cs="FrankRuehl" w:hint="cs"/>
          <w:sz w:val="26"/>
          <w:szCs w:val="26"/>
          <w:rtl/>
        </w:rPr>
        <w:t>45-212</w:t>
      </w:r>
    </w:p>
    <w:p w14:paraId="54981B69" w14:textId="0EBA0A65" w:rsidR="00436E4E" w:rsidRPr="002E1D22" w:rsidRDefault="00436E4E" w:rsidP="002E1D22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ab/>
      </w:r>
      <w:r w:rsidR="002E1D22" w:rsidRPr="002E1D22">
        <w:rPr>
          <w:rFonts w:cs="FrankRuehl"/>
          <w:sz w:val="26"/>
          <w:szCs w:val="26"/>
          <w:rtl/>
        </w:rPr>
        <w:tab/>
      </w:r>
      <w:r w:rsidR="002E1D22" w:rsidRPr="002E1D22">
        <w:rPr>
          <w:rFonts w:cs="FrankRuehl"/>
          <w:sz w:val="26"/>
          <w:szCs w:val="26"/>
          <w:rtl/>
        </w:rPr>
        <w:tab/>
      </w:r>
      <w:r w:rsidR="002E1D22" w:rsidRPr="002E1D22">
        <w:rPr>
          <w:rFonts w:cs="FrankRuehl"/>
          <w:sz w:val="26"/>
          <w:szCs w:val="26"/>
          <w:rtl/>
        </w:rPr>
        <w:tab/>
      </w:r>
      <w:r w:rsidR="002E1D22" w:rsidRPr="002E1D22">
        <w:rPr>
          <w:rFonts w:cs="FrankRuehl"/>
          <w:sz w:val="26"/>
          <w:szCs w:val="26"/>
          <w:rtl/>
        </w:rPr>
        <w:tab/>
      </w:r>
      <w:r w:rsidR="002E1D22" w:rsidRPr="002E1D22">
        <w:rPr>
          <w:rFonts w:cs="FrankRuehl"/>
          <w:sz w:val="26"/>
          <w:szCs w:val="26"/>
          <w:rtl/>
        </w:rPr>
        <w:tab/>
      </w:r>
      <w:r w:rsidR="002E1D22" w:rsidRPr="002E1D22">
        <w:rPr>
          <w:rFonts w:cs="FrankRuehl"/>
          <w:sz w:val="26"/>
          <w:szCs w:val="26"/>
          <w:rtl/>
        </w:rPr>
        <w:tab/>
      </w:r>
      <w:r w:rsidR="002E1D22" w:rsidRPr="002E1D22">
        <w:rPr>
          <w:rFonts w:cs="FrankRuehl"/>
          <w:sz w:val="26"/>
          <w:szCs w:val="26"/>
          <w:rtl/>
        </w:rPr>
        <w:tab/>
      </w:r>
      <w:r w:rsidRPr="002E1D22">
        <w:rPr>
          <w:rFonts w:cs="FrankRuehl"/>
          <w:sz w:val="26"/>
          <w:szCs w:val="26"/>
          <w:rtl/>
        </w:rPr>
        <w:t xml:space="preserve">מספר פניה </w:t>
      </w:r>
      <w:r w:rsidR="00304F26" w:rsidRPr="002E1D22">
        <w:rPr>
          <w:rFonts w:cs="FrankRuehl" w:hint="cs"/>
          <w:sz w:val="26"/>
          <w:szCs w:val="26"/>
          <w:rtl/>
        </w:rPr>
        <w:t>לוועד</w:t>
      </w:r>
      <w:r w:rsidR="00304F26" w:rsidRPr="002E1D22">
        <w:rPr>
          <w:rFonts w:cs="FrankRuehl" w:hint="eastAsia"/>
          <w:sz w:val="26"/>
          <w:szCs w:val="26"/>
          <w:rtl/>
        </w:rPr>
        <w:t>ה</w:t>
      </w:r>
      <w:r w:rsidRPr="002E1D22">
        <w:rPr>
          <w:rFonts w:cs="FrankRuehl"/>
          <w:sz w:val="26"/>
          <w:szCs w:val="26"/>
          <w:rtl/>
        </w:rPr>
        <w:t>:</w:t>
      </w:r>
      <w:r w:rsidR="00776062">
        <w:rPr>
          <w:rFonts w:cs="FrankRuehl" w:hint="cs"/>
          <w:sz w:val="26"/>
          <w:szCs w:val="26"/>
          <w:rtl/>
        </w:rPr>
        <w:t xml:space="preserve"> 63 עד</w:t>
      </w:r>
      <w:r w:rsidRPr="002E1D22">
        <w:rPr>
          <w:rFonts w:cs="FrankRuehl"/>
          <w:sz w:val="26"/>
          <w:szCs w:val="26"/>
          <w:rtl/>
        </w:rPr>
        <w:t xml:space="preserve"> </w:t>
      </w:r>
      <w:bookmarkStart w:id="4" w:name="TAKZIV11"/>
      <w:r w:rsidR="00D00166">
        <w:rPr>
          <w:rFonts w:cs="FrankRuehl"/>
          <w:sz w:val="26"/>
          <w:szCs w:val="26"/>
          <w:rtl/>
        </w:rPr>
        <w:t>64</w:t>
      </w:r>
      <w:bookmarkEnd w:id="4"/>
      <w:r w:rsidRPr="002E1D22">
        <w:rPr>
          <w:rFonts w:cs="FrankRuehl"/>
          <w:sz w:val="26"/>
          <w:szCs w:val="26"/>
          <w:rtl/>
        </w:rPr>
        <w:tab/>
      </w:r>
    </w:p>
    <w:p w14:paraId="6A6071B8" w14:textId="77777777" w:rsidR="00436E4E" w:rsidRPr="002E1D22" w:rsidRDefault="00436E4E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>לכבוד,</w:t>
      </w:r>
    </w:p>
    <w:p w14:paraId="10F7933D" w14:textId="77777777" w:rsidR="00436E4E" w:rsidRPr="002E1D22" w:rsidRDefault="00436E4E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>יו"ר ועדת הכספים</w:t>
      </w:r>
    </w:p>
    <w:p w14:paraId="04D83426" w14:textId="77777777" w:rsidR="00436E4E" w:rsidRPr="002E1D22" w:rsidRDefault="00436E4E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>של הכנסת</w:t>
      </w:r>
    </w:p>
    <w:p w14:paraId="755556FD" w14:textId="77777777" w:rsidR="00436E4E" w:rsidRPr="002E1D22" w:rsidRDefault="00436E4E" w:rsidP="006A56F4">
      <w:pPr>
        <w:jc w:val="both"/>
        <w:rPr>
          <w:rFonts w:cs="FrankRuehl"/>
          <w:sz w:val="26"/>
          <w:szCs w:val="26"/>
          <w:rtl/>
        </w:rPr>
      </w:pPr>
    </w:p>
    <w:p w14:paraId="65F72929" w14:textId="77777777" w:rsidR="00436E4E" w:rsidRPr="002E1D22" w:rsidRDefault="00436E4E" w:rsidP="006A56F4">
      <w:pPr>
        <w:jc w:val="both"/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>א.נ.,</w:t>
      </w:r>
    </w:p>
    <w:p w14:paraId="55F2F078" w14:textId="77777777" w:rsidR="00436E4E" w:rsidRPr="002E1D22" w:rsidRDefault="00436E4E" w:rsidP="006A56F4">
      <w:pPr>
        <w:jc w:val="both"/>
        <w:rPr>
          <w:rFonts w:cs="FrankRuehl"/>
          <w:sz w:val="26"/>
          <w:szCs w:val="26"/>
          <w:rtl/>
        </w:rPr>
      </w:pPr>
    </w:p>
    <w:p w14:paraId="64001EFB" w14:textId="530BCBF6" w:rsidR="00436E4E" w:rsidRPr="002E1D22" w:rsidRDefault="00436E4E" w:rsidP="006A56F4">
      <w:pPr>
        <w:pStyle w:val="a0"/>
        <w:jc w:val="both"/>
        <w:rPr>
          <w:rFonts w:cs="FrankRuehl"/>
          <w:sz w:val="26"/>
          <w:rtl/>
        </w:rPr>
      </w:pPr>
      <w:r w:rsidRPr="002E1D22">
        <w:rPr>
          <w:rFonts w:cs="FrankRuehl"/>
          <w:bCs w:val="0"/>
          <w:sz w:val="26"/>
          <w:u w:val="none"/>
          <w:rtl/>
        </w:rPr>
        <w:t xml:space="preserve">הנדון: </w:t>
      </w:r>
      <w:r w:rsidRPr="002E1D22">
        <w:rPr>
          <w:rFonts w:cs="FrankRuehl"/>
          <w:bCs w:val="0"/>
          <w:sz w:val="26"/>
          <w:rtl/>
        </w:rPr>
        <w:t>שימוש ברזרבה הכללית לשנת</w:t>
      </w:r>
      <w:r w:rsidRPr="002E1D22">
        <w:rPr>
          <w:rFonts w:cs="FrankRuehl"/>
          <w:sz w:val="26"/>
          <w:rtl/>
        </w:rPr>
        <w:t xml:space="preserve"> </w:t>
      </w:r>
      <w:bookmarkStart w:id="5" w:name="TAKZIV1"/>
      <w:r w:rsidR="00D00166">
        <w:rPr>
          <w:rFonts w:cs="FrankRuehl"/>
          <w:sz w:val="26"/>
          <w:rtl/>
        </w:rPr>
        <w:t>2026</w:t>
      </w:r>
      <w:bookmarkEnd w:id="5"/>
      <w:r w:rsidRPr="002E1D22">
        <w:rPr>
          <w:rFonts w:cs="FrankRuehl"/>
          <w:sz w:val="26"/>
          <w:rtl/>
        </w:rPr>
        <w:t xml:space="preserve">     </w:t>
      </w:r>
    </w:p>
    <w:p w14:paraId="73B178E5" w14:textId="77777777" w:rsidR="00436E4E" w:rsidRPr="002E1D22" w:rsidRDefault="00436E4E" w:rsidP="006A56F4">
      <w:pPr>
        <w:jc w:val="both"/>
        <w:rPr>
          <w:rFonts w:cs="FrankRuehl"/>
          <w:sz w:val="26"/>
          <w:szCs w:val="26"/>
          <w:rtl/>
        </w:rPr>
      </w:pPr>
    </w:p>
    <w:p w14:paraId="7A77D0BD" w14:textId="261023DD" w:rsidR="00436E4E" w:rsidRPr="002E1D22" w:rsidRDefault="00436E4E" w:rsidP="006A56F4">
      <w:pPr>
        <w:jc w:val="both"/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 xml:space="preserve">שר האוצר מבקש את אישורה של ועדת הכספים של הכנסת להעברת סכום של </w:t>
      </w:r>
      <w:bookmarkStart w:id="6" w:name="TAKZIV30"/>
      <w:r w:rsidR="00D00166">
        <w:rPr>
          <w:rFonts w:cs="FrankRuehl"/>
          <w:sz w:val="26"/>
          <w:szCs w:val="26"/>
          <w:rtl/>
        </w:rPr>
        <w:t>308,690</w:t>
      </w:r>
      <w:bookmarkEnd w:id="6"/>
      <w:r w:rsidRPr="002E1D22">
        <w:rPr>
          <w:rFonts w:cs="FrankRuehl"/>
          <w:sz w:val="26"/>
          <w:szCs w:val="26"/>
          <w:rtl/>
        </w:rPr>
        <w:t xml:space="preserve"> אלפי שקלים חדשים מסעיף</w:t>
      </w:r>
      <w:r w:rsidR="00776062">
        <w:rPr>
          <w:rFonts w:cs="FrankRuehl" w:hint="cs"/>
          <w:sz w:val="26"/>
          <w:szCs w:val="26"/>
          <w:rtl/>
        </w:rPr>
        <w:t xml:space="preserve"> 45 </w:t>
      </w:r>
      <w:r w:rsidR="00776062">
        <w:rPr>
          <w:rFonts w:cs="FrankRuehl"/>
          <w:sz w:val="26"/>
          <w:szCs w:val="26"/>
          <w:rtl/>
        </w:rPr>
        <w:t>–</w:t>
      </w:r>
      <w:r w:rsidR="00776062">
        <w:rPr>
          <w:rFonts w:cs="FrankRuehl" w:hint="cs"/>
          <w:sz w:val="26"/>
          <w:szCs w:val="26"/>
          <w:rtl/>
        </w:rPr>
        <w:t xml:space="preserve"> תשלום ריבית ועמלות לסעיף</w:t>
      </w:r>
      <w:r w:rsidRPr="002E1D22">
        <w:rPr>
          <w:rFonts w:cs="FrankRuehl"/>
          <w:sz w:val="26"/>
          <w:szCs w:val="26"/>
          <w:rtl/>
        </w:rPr>
        <w:t xml:space="preserve"> 47 - רזרבה כללית, בהתאם לסעיף 11 (ה) לחוק יסודות התקציב </w:t>
      </w:r>
      <w:proofErr w:type="spellStart"/>
      <w:r w:rsidRPr="002E1D22">
        <w:rPr>
          <w:rFonts w:cs="FrankRuehl"/>
          <w:sz w:val="26"/>
          <w:szCs w:val="26"/>
          <w:rtl/>
        </w:rPr>
        <w:t>התשמ"ה</w:t>
      </w:r>
      <w:proofErr w:type="spellEnd"/>
      <w:r w:rsidRPr="002E1D22">
        <w:rPr>
          <w:rFonts w:cs="FrankRuehl"/>
          <w:sz w:val="26"/>
          <w:szCs w:val="26"/>
          <w:rtl/>
        </w:rPr>
        <w:t xml:space="preserve"> - 1985.</w:t>
      </w:r>
    </w:p>
    <w:p w14:paraId="618FE40F" w14:textId="77777777" w:rsidR="00436E4E" w:rsidRPr="002E1D22" w:rsidRDefault="00436E4E" w:rsidP="006A56F4">
      <w:pPr>
        <w:jc w:val="both"/>
        <w:rPr>
          <w:rFonts w:cs="FrankRuehl"/>
          <w:sz w:val="26"/>
          <w:szCs w:val="26"/>
          <w:rtl/>
        </w:rPr>
      </w:pPr>
    </w:p>
    <w:p w14:paraId="682D07F6" w14:textId="0C151F17" w:rsidR="00436E4E" w:rsidRPr="002E1D22" w:rsidRDefault="00436E4E" w:rsidP="006A56F4">
      <w:pPr>
        <w:jc w:val="both"/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 xml:space="preserve">כמו כן, מבקש שר האוצר את אישורה של ועדת הכספים של הכנסת להעברת </w:t>
      </w:r>
      <w:r w:rsidR="00776062" w:rsidRPr="002E1D22">
        <w:rPr>
          <w:rFonts w:cs="FrankRuehl"/>
          <w:sz w:val="26"/>
          <w:szCs w:val="26"/>
          <w:rtl/>
        </w:rPr>
        <w:t xml:space="preserve">סכום של </w:t>
      </w:r>
      <w:r w:rsidR="00776062">
        <w:rPr>
          <w:rFonts w:cs="FrankRuehl"/>
          <w:sz w:val="26"/>
          <w:szCs w:val="26"/>
          <w:rtl/>
        </w:rPr>
        <w:t>308,690</w:t>
      </w:r>
      <w:r w:rsidR="00776062" w:rsidRPr="002E1D22">
        <w:rPr>
          <w:rFonts w:cs="FrankRuehl"/>
          <w:sz w:val="26"/>
          <w:szCs w:val="26"/>
          <w:rtl/>
        </w:rPr>
        <w:t xml:space="preserve"> אלפי </w:t>
      </w:r>
      <w:r w:rsidRPr="002E1D22">
        <w:rPr>
          <w:rFonts w:cs="FrankRuehl"/>
          <w:sz w:val="26"/>
          <w:szCs w:val="26"/>
          <w:rtl/>
        </w:rPr>
        <w:t xml:space="preserve">שקלים חדשים מסעיף 47 - רזרבה כללית </w:t>
      </w:r>
      <w:r w:rsidR="00776062" w:rsidRPr="002E1D22">
        <w:rPr>
          <w:rFonts w:cs="FrankRuehl"/>
          <w:sz w:val="26"/>
          <w:szCs w:val="26"/>
          <w:rtl/>
        </w:rPr>
        <w:t xml:space="preserve">לסעיף </w:t>
      </w:r>
      <w:bookmarkStart w:id="7" w:name="TAKZIV3_1"/>
      <w:r w:rsidR="00776062">
        <w:rPr>
          <w:rFonts w:cs="FrankRuehl"/>
          <w:sz w:val="26"/>
          <w:szCs w:val="26"/>
          <w:rtl/>
        </w:rPr>
        <w:t>15</w:t>
      </w:r>
      <w:bookmarkEnd w:id="7"/>
      <w:r w:rsidR="00776062" w:rsidRPr="002E1D22">
        <w:rPr>
          <w:rFonts w:cs="FrankRuehl"/>
          <w:sz w:val="26"/>
          <w:szCs w:val="26"/>
          <w:rtl/>
        </w:rPr>
        <w:t xml:space="preserve"> - </w:t>
      </w:r>
      <w:bookmarkStart w:id="8" w:name="TAKZIV6"/>
      <w:r w:rsidR="00776062">
        <w:rPr>
          <w:rFonts w:cs="FrankRuehl"/>
          <w:sz w:val="26"/>
          <w:szCs w:val="26"/>
          <w:rtl/>
        </w:rPr>
        <w:t>משרד הביטחון</w:t>
      </w:r>
      <w:bookmarkEnd w:id="8"/>
      <w:r w:rsidR="00776062" w:rsidRPr="002E1D22">
        <w:rPr>
          <w:rFonts w:cs="FrankRuehl"/>
          <w:sz w:val="26"/>
          <w:szCs w:val="26"/>
          <w:rtl/>
        </w:rPr>
        <w:t xml:space="preserve">, </w:t>
      </w:r>
      <w:r w:rsidRPr="002E1D22">
        <w:rPr>
          <w:rFonts w:cs="FrankRuehl"/>
          <w:sz w:val="26"/>
          <w:szCs w:val="26"/>
          <w:rtl/>
        </w:rPr>
        <w:t>בהתאם לסעיף 12 (א)</w:t>
      </w:r>
    </w:p>
    <w:p w14:paraId="22975384" w14:textId="77777777" w:rsidR="00436E4E" w:rsidRPr="002E1D22" w:rsidRDefault="00436E4E" w:rsidP="006A56F4">
      <w:pPr>
        <w:jc w:val="both"/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 xml:space="preserve">לחוק יסודות התקציב, </w:t>
      </w:r>
      <w:proofErr w:type="spellStart"/>
      <w:r w:rsidRPr="002E1D22">
        <w:rPr>
          <w:rFonts w:cs="FrankRuehl"/>
          <w:sz w:val="26"/>
          <w:szCs w:val="26"/>
          <w:rtl/>
        </w:rPr>
        <w:t>התשמ"ה</w:t>
      </w:r>
      <w:proofErr w:type="spellEnd"/>
      <w:r w:rsidRPr="002E1D22">
        <w:rPr>
          <w:rFonts w:cs="FrankRuehl"/>
          <w:sz w:val="26"/>
          <w:szCs w:val="26"/>
          <w:rtl/>
        </w:rPr>
        <w:t xml:space="preserve"> - 1985, כמפורט בתדפיס המצורף בזה.</w:t>
      </w:r>
    </w:p>
    <w:p w14:paraId="226BBF0E" w14:textId="77777777" w:rsidR="00436E4E" w:rsidRPr="002E1D22" w:rsidRDefault="00436E4E" w:rsidP="006A56F4">
      <w:pPr>
        <w:jc w:val="both"/>
        <w:rPr>
          <w:rFonts w:cs="FrankRuehl"/>
          <w:sz w:val="26"/>
          <w:szCs w:val="26"/>
          <w:rtl/>
        </w:rPr>
      </w:pPr>
    </w:p>
    <w:p w14:paraId="02703C54" w14:textId="77777777" w:rsidR="006A56F4" w:rsidRDefault="006A56F4" w:rsidP="006A56F4">
      <w:pPr>
        <w:contextualSpacing/>
        <w:jc w:val="both"/>
        <w:rPr>
          <w:rFonts w:ascii="FrankRuehl" w:hAnsi="FrankRuehl" w:cs="FrankRuehl"/>
          <w:sz w:val="26"/>
          <w:szCs w:val="26"/>
          <w:lang w:eastAsia="en-US"/>
        </w:rPr>
      </w:pPr>
      <w:r>
        <w:rPr>
          <w:rFonts w:ascii="FrankRuehl" w:hAnsi="FrankRuehl" w:cs="FrankRuehl"/>
          <w:b/>
          <w:bCs/>
          <w:sz w:val="26"/>
          <w:szCs w:val="26"/>
          <w:rtl/>
        </w:rPr>
        <w:t xml:space="preserve">הפניה דנה בסעיף תקציבי: </w:t>
      </w:r>
      <w:r>
        <w:rPr>
          <w:rFonts w:ascii="FrankRuehl" w:hAnsi="FrankRuehl" w:cs="FrankRuehl"/>
          <w:sz w:val="26"/>
          <w:szCs w:val="26"/>
          <w:rtl/>
        </w:rPr>
        <w:t>15 – משרד הביטחון</w:t>
      </w:r>
    </w:p>
    <w:p w14:paraId="26C71FA9" w14:textId="77777777" w:rsidR="006A56F4" w:rsidRDefault="006A56F4" w:rsidP="006A56F4">
      <w:pPr>
        <w:contextualSpacing/>
        <w:jc w:val="both"/>
        <w:rPr>
          <w:rFonts w:ascii="FrankRuehl" w:hAnsi="FrankRuehl" w:cs="FrankRuehl"/>
          <w:b/>
          <w:bCs/>
          <w:sz w:val="26"/>
          <w:szCs w:val="26"/>
        </w:rPr>
      </w:pPr>
    </w:p>
    <w:p w14:paraId="40165244" w14:textId="77777777" w:rsidR="006A56F4" w:rsidRDefault="006A56F4" w:rsidP="006A56F4">
      <w:pPr>
        <w:contextualSpacing/>
        <w:jc w:val="both"/>
        <w:rPr>
          <w:rFonts w:ascii="FrankRuehl" w:hAnsi="FrankRuehl" w:cs="FrankRuehl"/>
          <w:b/>
          <w:bCs/>
          <w:sz w:val="26"/>
          <w:szCs w:val="26"/>
        </w:rPr>
      </w:pPr>
      <w:r>
        <w:rPr>
          <w:rFonts w:ascii="FrankRuehl" w:hAnsi="FrankRuehl" w:cs="FrankRuehl"/>
          <w:b/>
          <w:bCs/>
          <w:sz w:val="26"/>
          <w:szCs w:val="26"/>
          <w:rtl/>
        </w:rPr>
        <w:t>עיקרי הפנייה:</w:t>
      </w:r>
    </w:p>
    <w:p w14:paraId="335ECA34" w14:textId="77777777" w:rsidR="006A56F4" w:rsidRDefault="006A56F4" w:rsidP="006A56F4">
      <w:pPr>
        <w:contextualSpacing/>
        <w:jc w:val="both"/>
        <w:rPr>
          <w:rFonts w:ascii="FrankRuehl" w:hAnsi="FrankRuehl" w:cs="FrankRuehl"/>
          <w:sz w:val="26"/>
          <w:szCs w:val="26"/>
          <w:rtl/>
        </w:rPr>
      </w:pPr>
      <w:r>
        <w:rPr>
          <w:rFonts w:ascii="FrankRuehl" w:hAnsi="FrankRuehl" w:cs="FrankRuehl"/>
          <w:sz w:val="26"/>
          <w:szCs w:val="26"/>
          <w:rtl/>
        </w:rPr>
        <w:t xml:space="preserve">הפנייה נועדה לתקצוב סך של 308,690 אלפי ש"ח בהוצאה עבור מימון מבצע "שאגת הארי" בהתאם להחלטת הממשלה מס' </w:t>
      </w:r>
      <w:hyperlink r:id="rId6" w:anchor="fireglass_params&amp;tabid=a2775d2a053033a5&amp;application_server_address=fgtehilacloud-4-me-west1.prod.fire.glass&amp;popup=true&amp;is_right_side_popup=false&amp;start_with_session_counter=1" w:history="1">
        <w:r>
          <w:rPr>
            <w:rStyle w:val="Hyperlink"/>
            <w:rFonts w:ascii="FrankRuehl" w:hAnsi="FrankRuehl" w:cs="FrankRuehl"/>
            <w:sz w:val="26"/>
            <w:szCs w:val="26"/>
            <w:rtl/>
          </w:rPr>
          <w:t>3970</w:t>
        </w:r>
      </w:hyperlink>
      <w:r>
        <w:rPr>
          <w:rFonts w:ascii="FrankRuehl" w:hAnsi="FrankRuehl" w:cs="FrankRuehl"/>
          <w:sz w:val="26"/>
          <w:szCs w:val="26"/>
          <w:rtl/>
        </w:rPr>
        <w:t xml:space="preserve"> מיום 10 במרץ 2026.</w:t>
      </w:r>
    </w:p>
    <w:p w14:paraId="567FFC04" w14:textId="77777777" w:rsidR="006A56F4" w:rsidRDefault="006A56F4" w:rsidP="006A56F4">
      <w:pPr>
        <w:contextualSpacing/>
        <w:jc w:val="both"/>
        <w:rPr>
          <w:rFonts w:ascii="FrankRuehl" w:hAnsi="FrankRuehl" w:cs="FrankRuehl"/>
          <w:sz w:val="26"/>
          <w:szCs w:val="26"/>
          <w:rtl/>
        </w:rPr>
      </w:pPr>
    </w:p>
    <w:p w14:paraId="06F3F81A" w14:textId="77777777" w:rsidR="006A56F4" w:rsidRDefault="006A56F4" w:rsidP="006A56F4">
      <w:pPr>
        <w:contextualSpacing/>
        <w:jc w:val="both"/>
        <w:rPr>
          <w:rFonts w:ascii="David" w:hAnsi="David" w:cs="FrankRuehl"/>
          <w:sz w:val="26"/>
          <w:szCs w:val="26"/>
          <w:rtl/>
        </w:rPr>
      </w:pPr>
      <w:r>
        <w:rPr>
          <w:rFonts w:ascii="David" w:hAnsi="David" w:cs="FrankRuehl"/>
          <w:sz w:val="26"/>
          <w:szCs w:val="26"/>
          <w:rtl/>
        </w:rPr>
        <w:t xml:space="preserve">עיקרי הפנייה התקציבית בחלוקה לתוכניות מובאים להלן: </w:t>
      </w:r>
    </w:p>
    <w:p w14:paraId="5881BE55" w14:textId="77777777" w:rsidR="006A56F4" w:rsidRDefault="006A56F4" w:rsidP="006A56F4">
      <w:pPr>
        <w:contextualSpacing/>
        <w:jc w:val="both"/>
        <w:rPr>
          <w:rFonts w:ascii="David" w:hAnsi="David" w:cs="FrankRuehl"/>
          <w:sz w:val="26"/>
          <w:szCs w:val="26"/>
          <w:rtl/>
        </w:rPr>
      </w:pPr>
      <w:r>
        <w:rPr>
          <w:rFonts w:ascii="David" w:hAnsi="David" w:cs="FrankRuehl"/>
          <w:b/>
          <w:bCs/>
          <w:sz w:val="26"/>
          <w:szCs w:val="26"/>
          <w:rtl/>
        </w:rPr>
        <w:t>תכנית 151101 -  הוצאות ביטחון – 308,690 אלפי ש"ח בהוצאה.</w:t>
      </w:r>
    </w:p>
    <w:p w14:paraId="046FA843" w14:textId="77777777" w:rsidR="006A56F4" w:rsidRDefault="006A56F4" w:rsidP="006A56F4">
      <w:pPr>
        <w:contextualSpacing/>
        <w:jc w:val="both"/>
        <w:rPr>
          <w:rFonts w:ascii="FrankRuehl" w:hAnsi="David" w:cs="FrankRuehl"/>
          <w:sz w:val="26"/>
          <w:szCs w:val="26"/>
          <w:rtl/>
        </w:rPr>
      </w:pPr>
      <w:r>
        <w:rPr>
          <w:rFonts w:ascii="David" w:hAnsi="David" w:cs="FrankRuehl"/>
          <w:b/>
          <w:bCs/>
          <w:sz w:val="26"/>
          <w:szCs w:val="26"/>
          <w:rtl/>
        </w:rPr>
        <w:t xml:space="preserve">תיאור </w:t>
      </w:r>
      <w:proofErr w:type="spellStart"/>
      <w:r>
        <w:rPr>
          <w:rFonts w:ascii="David" w:hAnsi="David" w:cs="FrankRuehl"/>
          <w:b/>
          <w:bCs/>
          <w:sz w:val="26"/>
          <w:szCs w:val="26"/>
          <w:rtl/>
        </w:rPr>
        <w:t>התכנית</w:t>
      </w:r>
      <w:proofErr w:type="spellEnd"/>
      <w:r>
        <w:rPr>
          <w:rFonts w:ascii="David" w:hAnsi="David" w:cs="FrankRuehl"/>
          <w:sz w:val="26"/>
          <w:szCs w:val="26"/>
          <w:rtl/>
        </w:rPr>
        <w:t>:</w:t>
      </w:r>
      <w:r>
        <w:rPr>
          <w:rFonts w:ascii="FrankRuehl" w:hAnsi="David" w:cs="FrankRuehl"/>
          <w:sz w:val="26"/>
          <w:szCs w:val="26"/>
          <w:rtl/>
        </w:rPr>
        <w:t xml:space="preserve"> </w:t>
      </w:r>
      <w:r>
        <w:rPr>
          <w:rFonts w:ascii="David" w:hAnsi="David" w:cs="FrankRuehl"/>
          <w:sz w:val="26"/>
          <w:szCs w:val="26"/>
          <w:rtl/>
        </w:rPr>
        <w:t xml:space="preserve">תכנית זו כוללת את ההוצאות הביטחוניות של צה"ל ומשרד הביטחון. </w:t>
      </w:r>
    </w:p>
    <w:p w14:paraId="4A96BC99" w14:textId="77777777" w:rsidR="006A56F4" w:rsidRDefault="006A56F4" w:rsidP="006A56F4">
      <w:pPr>
        <w:contextualSpacing/>
        <w:jc w:val="both"/>
        <w:rPr>
          <w:rFonts w:ascii="David" w:hAnsi="David" w:cs="FrankRuehl"/>
          <w:sz w:val="26"/>
          <w:szCs w:val="26"/>
          <w:rtl/>
        </w:rPr>
      </w:pPr>
      <w:r>
        <w:rPr>
          <w:rFonts w:ascii="David" w:hAnsi="David" w:cs="FrankRuehl"/>
          <w:b/>
          <w:bCs/>
          <w:sz w:val="26"/>
          <w:szCs w:val="26"/>
          <w:rtl/>
        </w:rPr>
        <w:t>מטרת השינוי</w:t>
      </w:r>
      <w:r>
        <w:rPr>
          <w:rFonts w:ascii="FrankRuehl" w:hAnsi="David" w:cs="FrankRuehl"/>
          <w:sz w:val="26"/>
          <w:szCs w:val="26"/>
          <w:rtl/>
        </w:rPr>
        <w:t xml:space="preserve">: תקצוב </w:t>
      </w:r>
      <w:r>
        <w:rPr>
          <w:rFonts w:ascii="David" w:hAnsi="David" w:cs="FrankRuehl"/>
          <w:sz w:val="26"/>
          <w:szCs w:val="26"/>
          <w:rtl/>
        </w:rPr>
        <w:t xml:space="preserve">סך </w:t>
      </w:r>
      <w:r>
        <w:rPr>
          <w:rFonts w:hAnsi="David" w:cs="FrankRuehl"/>
          <w:sz w:val="26"/>
          <w:szCs w:val="26"/>
          <w:rtl/>
        </w:rPr>
        <w:t xml:space="preserve">של 308,690 אלפי ש"ח בהוצאה עבור מימון מבצע "שאגת הארי" בהתאם להחלטת הממשלה מס' </w:t>
      </w:r>
      <w:hyperlink r:id="rId7" w:anchor="fireglass_params&amp;tabid=a2775d2a053033a5&amp;application_server_address=fgtehilacloud-4-me-west1.prod.fire.glass&amp;popup=true&amp;is_right_side_popup=false&amp;start_with_session_counter=1" w:history="1">
        <w:r>
          <w:rPr>
            <w:rStyle w:val="Hyperlink"/>
            <w:rFonts w:hAnsi="David" w:cs="FrankRuehl"/>
            <w:sz w:val="26"/>
            <w:szCs w:val="26"/>
            <w:rtl/>
          </w:rPr>
          <w:t>3970</w:t>
        </w:r>
      </w:hyperlink>
      <w:r>
        <w:rPr>
          <w:rFonts w:hAnsi="David" w:cs="FrankRuehl"/>
          <w:sz w:val="26"/>
          <w:szCs w:val="26"/>
          <w:rtl/>
        </w:rPr>
        <w:t xml:space="preserve"> מיום 10 במרץ 2026. </w:t>
      </w:r>
    </w:p>
    <w:p w14:paraId="13CE2482" w14:textId="77777777" w:rsidR="006A56F4" w:rsidRDefault="006A56F4" w:rsidP="006A56F4">
      <w:pPr>
        <w:contextualSpacing/>
        <w:jc w:val="both"/>
        <w:rPr>
          <w:rFonts w:hAnsi="David" w:cs="FrankRuehl"/>
          <w:sz w:val="26"/>
          <w:szCs w:val="26"/>
          <w:rtl/>
        </w:rPr>
      </w:pPr>
      <w:r>
        <w:rPr>
          <w:rFonts w:ascii="David" w:hAnsi="David" w:cs="FrankRuehl"/>
          <w:sz w:val="26"/>
          <w:szCs w:val="26"/>
          <w:rtl/>
        </w:rPr>
        <w:t>פירוט השימושים המפורט יימסר בוועדה המשותפת לוועדת הכספים ולוועדת החוץ והביטחון לעניין תקציב הביטחון.</w:t>
      </w:r>
    </w:p>
    <w:p w14:paraId="665B4A6B" w14:textId="77777777" w:rsidR="006A56F4" w:rsidRDefault="006A56F4" w:rsidP="006A56F4">
      <w:pPr>
        <w:contextualSpacing/>
        <w:jc w:val="both"/>
        <w:rPr>
          <w:rFonts w:ascii="FrankRuehl" w:hAnsi="FrankRuehl" w:cs="David"/>
          <w:b/>
          <w:bCs/>
          <w:sz w:val="26"/>
        </w:rPr>
      </w:pPr>
    </w:p>
    <w:p w14:paraId="5742D7BE" w14:textId="77777777" w:rsidR="006A56F4" w:rsidRDefault="006A56F4" w:rsidP="006A56F4">
      <w:pPr>
        <w:contextualSpacing/>
        <w:jc w:val="both"/>
        <w:rPr>
          <w:rFonts w:ascii="FrankRuehl" w:hAnsi="FrankRuehl"/>
          <w:b/>
          <w:bCs/>
          <w:sz w:val="26"/>
          <w:rtl/>
        </w:rPr>
      </w:pPr>
      <w:r>
        <w:rPr>
          <w:rFonts w:ascii="David" w:hAnsi="David" w:cs="FrankRuehl"/>
          <w:b/>
          <w:bCs/>
          <w:sz w:val="26"/>
          <w:szCs w:val="26"/>
          <w:rtl/>
        </w:rPr>
        <w:t>השפעה על כוח אדם:</w:t>
      </w:r>
      <w:r>
        <w:rPr>
          <w:rFonts w:ascii="FrankRuehl" w:hAnsi="FrankRuehl"/>
          <w:sz w:val="26"/>
          <w:rtl/>
        </w:rPr>
        <w:t xml:space="preserve"> </w:t>
      </w:r>
      <w:r>
        <w:rPr>
          <w:rFonts w:ascii="David" w:hAnsi="David" w:cs="FrankRuehl"/>
          <w:sz w:val="26"/>
          <w:szCs w:val="26"/>
          <w:rtl/>
        </w:rPr>
        <w:t>אין.</w:t>
      </w:r>
      <w:r>
        <w:rPr>
          <w:rFonts w:ascii="FrankRuehl" w:hAnsi="FrankRuehl"/>
          <w:sz w:val="26"/>
          <w:rtl/>
        </w:rPr>
        <w:t xml:space="preserve"> </w:t>
      </w:r>
    </w:p>
    <w:p w14:paraId="1A8D363C" w14:textId="77777777" w:rsidR="00436E4E" w:rsidRPr="002E1D22" w:rsidRDefault="00436E4E">
      <w:pPr>
        <w:rPr>
          <w:rFonts w:cs="FrankRuehl"/>
          <w:sz w:val="26"/>
          <w:szCs w:val="26"/>
          <w:rtl/>
        </w:rPr>
      </w:pPr>
    </w:p>
    <w:p w14:paraId="36664D7A" w14:textId="77777777" w:rsidR="00436E4E" w:rsidRPr="002E1D22" w:rsidRDefault="00436E4E">
      <w:pPr>
        <w:tabs>
          <w:tab w:val="center" w:pos="6867"/>
        </w:tabs>
        <w:rPr>
          <w:rFonts w:cs="FrankRuehl"/>
          <w:sz w:val="26"/>
          <w:szCs w:val="26"/>
          <w:rtl/>
        </w:rPr>
      </w:pPr>
    </w:p>
    <w:p w14:paraId="0DB70535" w14:textId="77777777" w:rsidR="00436E4E" w:rsidRPr="002E1D22" w:rsidRDefault="00436E4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ab/>
        <w:t>בכבוד רב,</w:t>
      </w:r>
    </w:p>
    <w:p w14:paraId="414F8B76" w14:textId="77777777" w:rsidR="00436E4E" w:rsidRDefault="00C13197">
      <w:pPr>
        <w:tabs>
          <w:tab w:val="center" w:pos="6867"/>
        </w:tabs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ab/>
      </w:r>
    </w:p>
    <w:p w14:paraId="23A5F31A" w14:textId="77777777" w:rsidR="00C13197" w:rsidRPr="002E1D22" w:rsidRDefault="00C13197">
      <w:pPr>
        <w:tabs>
          <w:tab w:val="center" w:pos="6867"/>
        </w:tabs>
        <w:rPr>
          <w:rFonts w:cs="FrankRuehl"/>
          <w:sz w:val="26"/>
          <w:szCs w:val="26"/>
        </w:rPr>
      </w:pPr>
      <w:r>
        <w:rPr>
          <w:rFonts w:cs="FrankRuehl"/>
          <w:sz w:val="26"/>
          <w:szCs w:val="26"/>
          <w:rtl/>
        </w:rPr>
        <w:tab/>
      </w:r>
      <w:bookmarkStart w:id="9" w:name="Sign_Image"/>
      <w:bookmarkEnd w:id="9"/>
    </w:p>
    <w:p w14:paraId="306BFFFE" w14:textId="77777777" w:rsidR="00436E4E" w:rsidRPr="002E1D22" w:rsidRDefault="00436E4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ab/>
      </w:r>
    </w:p>
    <w:p w14:paraId="3A487B0E" w14:textId="77777777" w:rsidR="00436E4E" w:rsidRPr="002E1D22" w:rsidRDefault="00436E4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ab/>
      </w:r>
    </w:p>
    <w:p w14:paraId="09A5A261" w14:textId="77777777" w:rsidR="00436E4E" w:rsidRPr="002E1D22" w:rsidRDefault="00436E4E" w:rsidP="00026F4F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ab/>
      </w:r>
    </w:p>
    <w:p w14:paraId="325311FF" w14:textId="77777777" w:rsidR="00436E4E" w:rsidRPr="002E1D22" w:rsidRDefault="00436E4E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>העתק:</w:t>
      </w:r>
    </w:p>
    <w:p w14:paraId="37E6244D" w14:textId="77777777" w:rsidR="00436E4E" w:rsidRPr="002E1D22" w:rsidRDefault="00436E4E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>החשב הכללי</w:t>
      </w:r>
    </w:p>
    <w:p w14:paraId="130B6E73" w14:textId="77777777" w:rsidR="00436E4E" w:rsidRPr="002E1D22" w:rsidRDefault="00436E4E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lastRenderedPageBreak/>
        <w:t>מבקר המדינה (2)</w:t>
      </w:r>
    </w:p>
    <w:p w14:paraId="3E883361" w14:textId="77777777" w:rsidR="00D00166" w:rsidRDefault="00D00166">
      <w:pPr>
        <w:rPr>
          <w:rFonts w:cs="FrankRuehl"/>
          <w:sz w:val="26"/>
          <w:szCs w:val="26"/>
          <w:rtl/>
        </w:rPr>
      </w:pPr>
      <w:bookmarkStart w:id="10" w:name="TAKZIV22"/>
      <w:r>
        <w:rPr>
          <w:rFonts w:cs="FrankRuehl"/>
          <w:sz w:val="26"/>
          <w:szCs w:val="26"/>
          <w:rtl/>
        </w:rPr>
        <w:t>חשב החשב הכללי</w:t>
      </w:r>
    </w:p>
    <w:p w14:paraId="3898E867" w14:textId="0A27ECA1" w:rsidR="00436E4E" w:rsidRPr="002E1D22" w:rsidRDefault="00D00166">
      <w:pPr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>חשב משרד הבטחון</w:t>
      </w:r>
      <w:bookmarkEnd w:id="10"/>
    </w:p>
    <w:p w14:paraId="5D187ADA" w14:textId="6211D5C5" w:rsidR="00436E4E" w:rsidRPr="002E1D22" w:rsidRDefault="00436E4E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 xml:space="preserve">קצין תקציבים </w:t>
      </w:r>
      <w:bookmarkStart w:id="11" w:name="TAKZIV6_1"/>
      <w:r w:rsidR="00D00166">
        <w:rPr>
          <w:rFonts w:cs="FrankRuehl"/>
          <w:sz w:val="26"/>
          <w:szCs w:val="26"/>
          <w:rtl/>
        </w:rPr>
        <w:t>משרד הביטחון</w:t>
      </w:r>
      <w:bookmarkEnd w:id="11"/>
    </w:p>
    <w:p w14:paraId="0F2DE952" w14:textId="6142BE88" w:rsidR="00436E4E" w:rsidRPr="002E1D22" w:rsidRDefault="00436E4E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 xml:space="preserve">רפרנט </w:t>
      </w:r>
      <w:bookmarkStart w:id="12" w:name="TAKZIV6_2"/>
      <w:r w:rsidR="00D00166">
        <w:rPr>
          <w:rFonts w:cs="FrankRuehl"/>
          <w:sz w:val="26"/>
          <w:szCs w:val="26"/>
          <w:rtl/>
        </w:rPr>
        <w:t>משרד הביטחון</w:t>
      </w:r>
      <w:bookmarkEnd w:id="12"/>
    </w:p>
    <w:p w14:paraId="6F5CA662" w14:textId="77777777" w:rsidR="00436E4E" w:rsidRPr="002E1D22" w:rsidRDefault="00436E4E">
      <w:pPr>
        <w:rPr>
          <w:rFonts w:cs="FrankRuehl"/>
          <w:sz w:val="26"/>
          <w:szCs w:val="26"/>
          <w:rtl/>
        </w:rPr>
      </w:pPr>
      <w:bookmarkStart w:id="13" w:name="TAKZIV23"/>
      <w:bookmarkEnd w:id="13"/>
    </w:p>
    <w:p w14:paraId="5067F543" w14:textId="77777777" w:rsidR="00436E4E" w:rsidRPr="002E1D22" w:rsidRDefault="00436E4E">
      <w:pPr>
        <w:rPr>
          <w:rFonts w:cs="FrankRuehl"/>
          <w:sz w:val="26"/>
          <w:szCs w:val="26"/>
          <w:rtl/>
        </w:rPr>
      </w:pPr>
    </w:p>
    <w:tbl>
      <w:tblPr>
        <w:tblW w:w="10200" w:type="dxa"/>
        <w:jc w:val="center"/>
        <w:tblLook w:val="04A0" w:firstRow="1" w:lastRow="0" w:firstColumn="1" w:lastColumn="0" w:noHBand="0" w:noVBand="1"/>
      </w:tblPr>
      <w:tblGrid>
        <w:gridCol w:w="1160"/>
        <w:gridCol w:w="1460"/>
        <w:gridCol w:w="1040"/>
        <w:gridCol w:w="1160"/>
        <w:gridCol w:w="1040"/>
        <w:gridCol w:w="1160"/>
        <w:gridCol w:w="1040"/>
        <w:gridCol w:w="1160"/>
        <w:gridCol w:w="980"/>
      </w:tblGrid>
      <w:tr w:rsidR="00852CFA" w:rsidRPr="00852CFA" w14:paraId="65DE5570" w14:textId="77777777" w:rsidTr="00852CFA">
        <w:trPr>
          <w:trHeight w:val="288"/>
          <w:jc w:val="center"/>
        </w:trPr>
        <w:tc>
          <w:tcPr>
            <w:tcW w:w="922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CE7BAE" w14:textId="77777777" w:rsidR="00852CFA" w:rsidRPr="00852CFA" w:rsidRDefault="00852CFA" w:rsidP="00852C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Cs w:val="20"/>
                <w:lang w:val="en-IL" w:eastAsia="en-IL"/>
              </w:rPr>
            </w:pPr>
            <w:r w:rsidRPr="00852CFA">
              <w:rPr>
                <w:rFonts w:ascii="Calibri" w:hAnsi="Calibri" w:cs="Calibri"/>
                <w:b/>
                <w:bCs/>
                <w:color w:val="000000"/>
                <w:szCs w:val="20"/>
                <w:rtl/>
                <w:lang w:val="en-IL" w:eastAsia="en-IL"/>
              </w:rPr>
              <w:t>היסטוריה תקציבית של הפנייה - הוצאה נטו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6B9921" w14:textId="77777777" w:rsidR="00852CFA" w:rsidRPr="00852CFA" w:rsidRDefault="00852CFA" w:rsidP="00852C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Cs w:val="20"/>
                <w:rtl/>
                <w:lang w:val="en-IL" w:eastAsia="en-IL"/>
              </w:rPr>
            </w:pPr>
          </w:p>
        </w:tc>
      </w:tr>
      <w:tr w:rsidR="00852CFA" w:rsidRPr="00852CFA" w14:paraId="7E256501" w14:textId="77777777" w:rsidTr="00852CFA">
        <w:trPr>
          <w:trHeight w:val="288"/>
          <w:jc w:val="center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808A59" w14:textId="77777777" w:rsidR="00852CFA" w:rsidRPr="00852CFA" w:rsidRDefault="00852CFA" w:rsidP="00852CFA">
            <w:pPr>
              <w:overflowPunct/>
              <w:autoSpaceDE/>
              <w:autoSpaceDN/>
              <w:bidi w:val="0"/>
              <w:adjustRightInd/>
              <w:textAlignment w:val="auto"/>
              <w:rPr>
                <w:rFonts w:cs="Times New Roman"/>
                <w:szCs w:val="20"/>
                <w:lang w:val="en-IL" w:eastAsia="en-IL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4837F2" w14:textId="77777777" w:rsidR="00852CFA" w:rsidRPr="00852CFA" w:rsidRDefault="00852CFA" w:rsidP="00852CFA">
            <w:pPr>
              <w:overflowPunct/>
              <w:autoSpaceDE/>
              <w:autoSpaceDN/>
              <w:bidi w:val="0"/>
              <w:adjustRightInd/>
              <w:ind w:firstLineChars="300" w:firstLine="600"/>
              <w:jc w:val="center"/>
              <w:textAlignment w:val="auto"/>
              <w:rPr>
                <w:rFonts w:cs="Times New Roman"/>
                <w:szCs w:val="20"/>
                <w:lang w:val="en-IL" w:eastAsia="en-IL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9720EB" w14:textId="77777777" w:rsidR="00852CFA" w:rsidRPr="00852CFA" w:rsidRDefault="00852CFA" w:rsidP="00852CFA">
            <w:pPr>
              <w:overflowPunct/>
              <w:autoSpaceDE/>
              <w:autoSpaceDN/>
              <w:bidi w:val="0"/>
              <w:adjustRightInd/>
              <w:textAlignment w:val="auto"/>
              <w:rPr>
                <w:rFonts w:cs="Times New Roman"/>
                <w:szCs w:val="20"/>
                <w:lang w:val="en-IL" w:eastAsia="en-IL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6C7B0" w14:textId="77777777" w:rsidR="00852CFA" w:rsidRPr="00852CFA" w:rsidRDefault="00852CFA" w:rsidP="00852CFA">
            <w:pPr>
              <w:overflowPunct/>
              <w:autoSpaceDE/>
              <w:autoSpaceDN/>
              <w:bidi w:val="0"/>
              <w:adjustRightInd/>
              <w:textAlignment w:val="auto"/>
              <w:rPr>
                <w:rFonts w:cs="Times New Roman"/>
                <w:szCs w:val="20"/>
                <w:lang w:val="en-IL" w:eastAsia="en-IL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B78F7E" w14:textId="77777777" w:rsidR="00852CFA" w:rsidRPr="00852CFA" w:rsidRDefault="00852CFA" w:rsidP="00852CFA">
            <w:pPr>
              <w:overflowPunct/>
              <w:autoSpaceDE/>
              <w:autoSpaceDN/>
              <w:bidi w:val="0"/>
              <w:adjustRightInd/>
              <w:textAlignment w:val="auto"/>
              <w:rPr>
                <w:rFonts w:cs="Times New Roman"/>
                <w:szCs w:val="20"/>
                <w:lang w:val="en-IL" w:eastAsia="en-IL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08A578" w14:textId="77777777" w:rsidR="00852CFA" w:rsidRPr="00852CFA" w:rsidRDefault="00852CFA" w:rsidP="00852CFA">
            <w:pPr>
              <w:overflowPunct/>
              <w:autoSpaceDE/>
              <w:autoSpaceDN/>
              <w:bidi w:val="0"/>
              <w:adjustRightInd/>
              <w:textAlignment w:val="auto"/>
              <w:rPr>
                <w:rFonts w:cs="Times New Roman"/>
                <w:szCs w:val="20"/>
                <w:lang w:val="en-IL" w:eastAsia="en-IL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C0DE7D" w14:textId="77777777" w:rsidR="00852CFA" w:rsidRPr="00852CFA" w:rsidRDefault="00852CFA" w:rsidP="00852CFA">
            <w:pPr>
              <w:overflowPunct/>
              <w:autoSpaceDE/>
              <w:autoSpaceDN/>
              <w:bidi w:val="0"/>
              <w:adjustRightInd/>
              <w:textAlignment w:val="auto"/>
              <w:rPr>
                <w:rFonts w:cs="Times New Roman"/>
                <w:szCs w:val="20"/>
                <w:lang w:val="en-IL" w:eastAsia="en-IL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24187B" w14:textId="77777777" w:rsidR="00852CFA" w:rsidRPr="00852CFA" w:rsidRDefault="00852CFA" w:rsidP="00852CFA">
            <w:pPr>
              <w:overflowPunct/>
              <w:autoSpaceDE/>
              <w:autoSpaceDN/>
              <w:bidi w:val="0"/>
              <w:adjustRightInd/>
              <w:textAlignment w:val="auto"/>
              <w:rPr>
                <w:rFonts w:cs="Times New Roman"/>
                <w:szCs w:val="20"/>
                <w:lang w:val="en-IL" w:eastAsia="en-IL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CC13EE" w14:textId="77777777" w:rsidR="00852CFA" w:rsidRPr="00852CFA" w:rsidRDefault="00852CFA" w:rsidP="00852CFA">
            <w:pPr>
              <w:overflowPunct/>
              <w:autoSpaceDE/>
              <w:autoSpaceDN/>
              <w:bidi w:val="0"/>
              <w:adjustRightInd/>
              <w:textAlignment w:val="auto"/>
              <w:rPr>
                <w:rFonts w:cs="Times New Roman"/>
                <w:szCs w:val="20"/>
                <w:lang w:val="en-IL" w:eastAsia="en-IL"/>
              </w:rPr>
            </w:pPr>
          </w:p>
        </w:tc>
      </w:tr>
      <w:tr w:rsidR="00852CFA" w:rsidRPr="00852CFA" w14:paraId="77202F57" w14:textId="77777777" w:rsidTr="00852CFA">
        <w:trPr>
          <w:trHeight w:val="612"/>
          <w:jc w:val="center"/>
        </w:trPr>
        <w:tc>
          <w:tcPr>
            <w:tcW w:w="1160" w:type="dxa"/>
            <w:tcBorders>
              <w:top w:val="single" w:sz="4" w:space="0" w:color="979991"/>
              <w:left w:val="single" w:sz="4" w:space="0" w:color="979991"/>
              <w:bottom w:val="nil"/>
              <w:right w:val="nil"/>
            </w:tcBorders>
            <w:shd w:val="clear" w:color="000000" w:fill="F0F4FA"/>
            <w:vAlign w:val="center"/>
            <w:hideMark/>
          </w:tcPr>
          <w:p w14:paraId="7BA0C581" w14:textId="77777777" w:rsidR="00852CFA" w:rsidRPr="00852CFA" w:rsidRDefault="00852CFA" w:rsidP="00852C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IL" w:eastAsia="en-IL"/>
              </w:rPr>
            </w:pPr>
            <w:r w:rsidRPr="00852CFA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  <w:lang w:val="en-IL" w:eastAsia="en-IL"/>
              </w:rPr>
              <w:t>קוד תוכנית</w:t>
            </w:r>
          </w:p>
        </w:tc>
        <w:tc>
          <w:tcPr>
            <w:tcW w:w="1460" w:type="dxa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nil"/>
            </w:tcBorders>
            <w:shd w:val="clear" w:color="000000" w:fill="F0F4FA"/>
            <w:vAlign w:val="center"/>
            <w:hideMark/>
          </w:tcPr>
          <w:p w14:paraId="61C5E6AA" w14:textId="77777777" w:rsidR="00852CFA" w:rsidRPr="00852CFA" w:rsidRDefault="00852CFA" w:rsidP="00852C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  <w:lang w:val="en-IL" w:eastAsia="en-IL"/>
              </w:rPr>
            </w:pPr>
            <w:r w:rsidRPr="00852CFA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  <w:lang w:val="en-IL" w:eastAsia="en-IL"/>
              </w:rPr>
              <w:t>השינוי התקציב המוצע בפנייה הוצאות נטו</w:t>
            </w:r>
          </w:p>
        </w:tc>
        <w:tc>
          <w:tcPr>
            <w:tcW w:w="1040" w:type="dxa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nil"/>
            </w:tcBorders>
            <w:shd w:val="clear" w:color="000000" w:fill="F0F4FA"/>
            <w:vAlign w:val="center"/>
            <w:hideMark/>
          </w:tcPr>
          <w:p w14:paraId="002EEAE4" w14:textId="77777777" w:rsidR="00852CFA" w:rsidRPr="00852CFA" w:rsidRDefault="00852CFA" w:rsidP="00852C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  <w:lang w:val="en-IL" w:eastAsia="en-IL"/>
              </w:rPr>
            </w:pPr>
            <w:r w:rsidRPr="00852CFA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  <w:lang w:val="en-IL" w:eastAsia="en-IL"/>
              </w:rPr>
              <w:t>מקורי 2026</w:t>
            </w:r>
          </w:p>
        </w:tc>
        <w:tc>
          <w:tcPr>
            <w:tcW w:w="1160" w:type="dxa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nil"/>
            </w:tcBorders>
            <w:shd w:val="clear" w:color="000000" w:fill="F0F4FA"/>
            <w:vAlign w:val="center"/>
            <w:hideMark/>
          </w:tcPr>
          <w:p w14:paraId="22F5EC38" w14:textId="77777777" w:rsidR="00852CFA" w:rsidRPr="00852CFA" w:rsidRDefault="00852CFA" w:rsidP="00852C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  <w:lang w:val="en-IL" w:eastAsia="en-IL"/>
              </w:rPr>
            </w:pPr>
            <w:r w:rsidRPr="00852CFA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  <w:lang w:val="en-IL" w:eastAsia="en-IL"/>
              </w:rPr>
              <w:t xml:space="preserve">מאושר 2025 בניכוי עודפים שעברו ב-2025 </w:t>
            </w:r>
          </w:p>
        </w:tc>
        <w:tc>
          <w:tcPr>
            <w:tcW w:w="1040" w:type="dxa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nil"/>
            </w:tcBorders>
            <w:shd w:val="clear" w:color="000000" w:fill="F0F4FA"/>
            <w:vAlign w:val="center"/>
            <w:hideMark/>
          </w:tcPr>
          <w:p w14:paraId="4F73ED72" w14:textId="77777777" w:rsidR="00852CFA" w:rsidRPr="00852CFA" w:rsidRDefault="00852CFA" w:rsidP="00852C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  <w:lang w:val="en-IL" w:eastAsia="en-IL"/>
              </w:rPr>
            </w:pPr>
            <w:r w:rsidRPr="00852CFA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  <w:lang w:val="en-IL" w:eastAsia="en-IL"/>
              </w:rPr>
              <w:t>מקורי 2025</w:t>
            </w:r>
          </w:p>
        </w:tc>
        <w:tc>
          <w:tcPr>
            <w:tcW w:w="1160" w:type="dxa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nil"/>
            </w:tcBorders>
            <w:shd w:val="clear" w:color="000000" w:fill="F0F4FA"/>
            <w:vAlign w:val="center"/>
            <w:hideMark/>
          </w:tcPr>
          <w:p w14:paraId="2D69131F" w14:textId="77777777" w:rsidR="00852CFA" w:rsidRPr="00852CFA" w:rsidRDefault="00852CFA" w:rsidP="00852C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  <w:lang w:val="en-IL" w:eastAsia="en-IL"/>
              </w:rPr>
            </w:pPr>
            <w:r w:rsidRPr="00852CFA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  <w:lang w:val="en-IL" w:eastAsia="en-IL"/>
              </w:rPr>
              <w:t>מאושר 2024 בניכוי עודפים שעברו ב-2024</w:t>
            </w:r>
          </w:p>
        </w:tc>
        <w:tc>
          <w:tcPr>
            <w:tcW w:w="1040" w:type="dxa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nil"/>
            </w:tcBorders>
            <w:shd w:val="clear" w:color="000000" w:fill="F0F4FA"/>
            <w:vAlign w:val="center"/>
            <w:hideMark/>
          </w:tcPr>
          <w:p w14:paraId="330F4489" w14:textId="77777777" w:rsidR="00852CFA" w:rsidRPr="00852CFA" w:rsidRDefault="00852CFA" w:rsidP="00852C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  <w:lang w:val="en-IL" w:eastAsia="en-IL"/>
              </w:rPr>
            </w:pPr>
            <w:r w:rsidRPr="00852CFA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  <w:lang w:val="en-IL" w:eastAsia="en-IL"/>
              </w:rPr>
              <w:t>מקורי 2024</w:t>
            </w:r>
          </w:p>
        </w:tc>
        <w:tc>
          <w:tcPr>
            <w:tcW w:w="1160" w:type="dxa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nil"/>
            </w:tcBorders>
            <w:shd w:val="clear" w:color="000000" w:fill="F0F4FA"/>
            <w:vAlign w:val="center"/>
            <w:hideMark/>
          </w:tcPr>
          <w:p w14:paraId="6BC4FF0E" w14:textId="77777777" w:rsidR="00852CFA" w:rsidRPr="00852CFA" w:rsidRDefault="00852CFA" w:rsidP="00852C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  <w:lang w:val="en-IL" w:eastAsia="en-IL"/>
              </w:rPr>
            </w:pPr>
            <w:r w:rsidRPr="00852CFA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  <w:lang w:val="en-IL" w:eastAsia="en-IL"/>
              </w:rPr>
              <w:t>מאושר 2023 בניכוי עודפים שעברו ב-2023</w:t>
            </w:r>
          </w:p>
        </w:tc>
        <w:tc>
          <w:tcPr>
            <w:tcW w:w="980" w:type="dxa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single" w:sz="4" w:space="0" w:color="979991"/>
            </w:tcBorders>
            <w:shd w:val="clear" w:color="000000" w:fill="F0F4FA"/>
            <w:vAlign w:val="center"/>
            <w:hideMark/>
          </w:tcPr>
          <w:p w14:paraId="7F799A44" w14:textId="77777777" w:rsidR="00852CFA" w:rsidRPr="00852CFA" w:rsidRDefault="00852CFA" w:rsidP="00852C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  <w:lang w:val="en-IL" w:eastAsia="en-IL"/>
              </w:rPr>
            </w:pPr>
            <w:r w:rsidRPr="00852CFA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  <w:lang w:val="en-IL" w:eastAsia="en-IL"/>
              </w:rPr>
              <w:t>מקורי 2023</w:t>
            </w:r>
          </w:p>
        </w:tc>
      </w:tr>
      <w:tr w:rsidR="00852CFA" w:rsidRPr="00852CFA" w14:paraId="3B9E8031" w14:textId="77777777" w:rsidTr="00852CFA">
        <w:trPr>
          <w:trHeight w:val="288"/>
          <w:jc w:val="center"/>
        </w:trPr>
        <w:tc>
          <w:tcPr>
            <w:tcW w:w="1160" w:type="dxa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nil"/>
            </w:tcBorders>
            <w:shd w:val="clear" w:color="000000" w:fill="F0F4FA"/>
            <w:vAlign w:val="center"/>
            <w:hideMark/>
          </w:tcPr>
          <w:p w14:paraId="28C51A90" w14:textId="77777777" w:rsidR="00852CFA" w:rsidRPr="00852CFA" w:rsidRDefault="00852CFA" w:rsidP="00852CFA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rtl/>
                <w:lang w:val="en-IL" w:eastAsia="en-IL"/>
              </w:rPr>
            </w:pPr>
            <w:r w:rsidRPr="00852CFA">
              <w:rPr>
                <w:rFonts w:ascii="Calibri" w:hAnsi="Calibri" w:cs="Calibri"/>
                <w:color w:val="000000"/>
                <w:sz w:val="16"/>
                <w:szCs w:val="16"/>
                <w:lang w:val="en-IL" w:eastAsia="en-IL"/>
              </w:rPr>
              <w:t>151101</w:t>
            </w:r>
          </w:p>
        </w:tc>
        <w:tc>
          <w:tcPr>
            <w:tcW w:w="1460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000000" w:fill="FFFFFF"/>
            <w:vAlign w:val="center"/>
            <w:hideMark/>
          </w:tcPr>
          <w:p w14:paraId="2C98C6D4" w14:textId="77777777" w:rsidR="00852CFA" w:rsidRPr="00852CFA" w:rsidRDefault="00852CFA" w:rsidP="00852CFA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IL" w:eastAsia="en-IL"/>
              </w:rPr>
            </w:pPr>
            <w:r w:rsidRPr="00852CFA">
              <w:rPr>
                <w:rFonts w:ascii="Calibri" w:hAnsi="Calibri" w:cs="Calibri"/>
                <w:color w:val="000000"/>
                <w:sz w:val="16"/>
                <w:szCs w:val="16"/>
                <w:lang w:val="en-IL" w:eastAsia="en-IL"/>
              </w:rPr>
              <w:t>308,690</w:t>
            </w:r>
          </w:p>
        </w:tc>
        <w:tc>
          <w:tcPr>
            <w:tcW w:w="1040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000000" w:fill="FFFFFF"/>
            <w:vAlign w:val="center"/>
            <w:hideMark/>
          </w:tcPr>
          <w:p w14:paraId="7C10758C" w14:textId="77777777" w:rsidR="00852CFA" w:rsidRPr="00852CFA" w:rsidRDefault="00852CFA" w:rsidP="00852CFA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IL" w:eastAsia="en-IL"/>
              </w:rPr>
            </w:pPr>
            <w:r w:rsidRPr="00852CFA">
              <w:rPr>
                <w:rFonts w:ascii="Calibri" w:hAnsi="Calibri" w:cs="Calibri"/>
                <w:color w:val="000000"/>
                <w:sz w:val="16"/>
                <w:szCs w:val="16"/>
                <w:lang w:val="en-IL" w:eastAsia="en-IL"/>
              </w:rPr>
              <w:t>68,598,165</w:t>
            </w:r>
          </w:p>
        </w:tc>
        <w:tc>
          <w:tcPr>
            <w:tcW w:w="1160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000000" w:fill="FFFFFF"/>
            <w:vAlign w:val="center"/>
            <w:hideMark/>
          </w:tcPr>
          <w:p w14:paraId="1E7A8774" w14:textId="77777777" w:rsidR="00852CFA" w:rsidRPr="00852CFA" w:rsidRDefault="00852CFA" w:rsidP="00852CFA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IL" w:eastAsia="en-IL"/>
              </w:rPr>
            </w:pPr>
            <w:r w:rsidRPr="00852CFA">
              <w:rPr>
                <w:rFonts w:ascii="Calibri" w:hAnsi="Calibri" w:cs="Calibri"/>
                <w:color w:val="000000"/>
                <w:sz w:val="16"/>
                <w:szCs w:val="16"/>
                <w:lang w:val="en-IL" w:eastAsia="en-IL"/>
              </w:rPr>
              <w:t>69,295,328</w:t>
            </w:r>
          </w:p>
        </w:tc>
        <w:tc>
          <w:tcPr>
            <w:tcW w:w="1040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000000" w:fill="FFFFFF"/>
            <w:vAlign w:val="center"/>
            <w:hideMark/>
          </w:tcPr>
          <w:p w14:paraId="5DAB2FE6" w14:textId="77777777" w:rsidR="00852CFA" w:rsidRPr="00852CFA" w:rsidRDefault="00852CFA" w:rsidP="00852CFA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IL" w:eastAsia="en-IL"/>
              </w:rPr>
            </w:pPr>
            <w:r w:rsidRPr="00852CFA">
              <w:rPr>
                <w:rFonts w:ascii="Calibri" w:hAnsi="Calibri" w:cs="Calibri"/>
                <w:color w:val="000000"/>
                <w:sz w:val="16"/>
                <w:szCs w:val="16"/>
                <w:lang w:val="en-IL" w:eastAsia="en-IL"/>
              </w:rPr>
              <w:t>54,950,494</w:t>
            </w:r>
          </w:p>
        </w:tc>
        <w:tc>
          <w:tcPr>
            <w:tcW w:w="1160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000000" w:fill="FFFFFF"/>
            <w:vAlign w:val="center"/>
            <w:hideMark/>
          </w:tcPr>
          <w:p w14:paraId="0B5984B1" w14:textId="77777777" w:rsidR="00852CFA" w:rsidRPr="00852CFA" w:rsidRDefault="00852CFA" w:rsidP="00852CFA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IL" w:eastAsia="en-IL"/>
              </w:rPr>
            </w:pPr>
            <w:r w:rsidRPr="00852CFA">
              <w:rPr>
                <w:rFonts w:ascii="Calibri" w:hAnsi="Calibri" w:cs="Calibri"/>
                <w:color w:val="000000"/>
                <w:sz w:val="16"/>
                <w:szCs w:val="16"/>
                <w:lang w:val="en-IL" w:eastAsia="en-IL"/>
              </w:rPr>
              <w:t>104,773,139</w:t>
            </w:r>
          </w:p>
        </w:tc>
        <w:tc>
          <w:tcPr>
            <w:tcW w:w="1040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000000" w:fill="FFFFFF"/>
            <w:vAlign w:val="center"/>
            <w:hideMark/>
          </w:tcPr>
          <w:p w14:paraId="044430A1" w14:textId="77777777" w:rsidR="00852CFA" w:rsidRPr="00852CFA" w:rsidRDefault="00852CFA" w:rsidP="00852CFA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IL" w:eastAsia="en-IL"/>
              </w:rPr>
            </w:pPr>
            <w:r w:rsidRPr="00852CFA">
              <w:rPr>
                <w:rFonts w:ascii="Calibri" w:hAnsi="Calibri" w:cs="Calibri"/>
                <w:color w:val="000000"/>
                <w:sz w:val="16"/>
                <w:szCs w:val="16"/>
                <w:lang w:val="en-IL" w:eastAsia="en-IL"/>
              </w:rPr>
              <w:t>76,175,352</w:t>
            </w:r>
          </w:p>
        </w:tc>
        <w:tc>
          <w:tcPr>
            <w:tcW w:w="1160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000000" w:fill="FFFFFF"/>
            <w:vAlign w:val="center"/>
            <w:hideMark/>
          </w:tcPr>
          <w:p w14:paraId="470A380D" w14:textId="77777777" w:rsidR="00852CFA" w:rsidRPr="00852CFA" w:rsidRDefault="00852CFA" w:rsidP="00852CFA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IL" w:eastAsia="en-IL"/>
              </w:rPr>
            </w:pPr>
            <w:r w:rsidRPr="00852CFA">
              <w:rPr>
                <w:rFonts w:ascii="Calibri" w:hAnsi="Calibri" w:cs="Calibri"/>
                <w:color w:val="000000"/>
                <w:sz w:val="16"/>
                <w:szCs w:val="16"/>
                <w:lang w:val="en-IL" w:eastAsia="en-IL"/>
              </w:rPr>
              <w:t>46,829,738</w:t>
            </w:r>
          </w:p>
        </w:tc>
        <w:tc>
          <w:tcPr>
            <w:tcW w:w="980" w:type="dxa"/>
            <w:tcBorders>
              <w:top w:val="nil"/>
              <w:left w:val="single" w:sz="4" w:space="0" w:color="979991"/>
              <w:bottom w:val="single" w:sz="4" w:space="0" w:color="979991"/>
              <w:right w:val="single" w:sz="4" w:space="0" w:color="979991"/>
            </w:tcBorders>
            <w:shd w:val="clear" w:color="000000" w:fill="FFFFFF"/>
            <w:vAlign w:val="center"/>
            <w:hideMark/>
          </w:tcPr>
          <w:p w14:paraId="6E1520F6" w14:textId="77777777" w:rsidR="00852CFA" w:rsidRPr="00852CFA" w:rsidRDefault="00852CFA" w:rsidP="00852CFA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IL" w:eastAsia="en-IL"/>
              </w:rPr>
            </w:pPr>
            <w:r w:rsidRPr="00852CFA">
              <w:rPr>
                <w:rFonts w:ascii="Calibri" w:hAnsi="Calibri" w:cs="Calibri"/>
                <w:color w:val="000000"/>
                <w:sz w:val="16"/>
                <w:szCs w:val="16"/>
                <w:lang w:val="en-IL" w:eastAsia="en-IL"/>
              </w:rPr>
              <w:t>26,332,487</w:t>
            </w:r>
          </w:p>
        </w:tc>
      </w:tr>
    </w:tbl>
    <w:p w14:paraId="3F38E854" w14:textId="77777777" w:rsidR="00436E4E" w:rsidRPr="002E1D22" w:rsidRDefault="00436E4E">
      <w:pPr>
        <w:rPr>
          <w:rFonts w:cs="FrankRuehl"/>
          <w:sz w:val="26"/>
          <w:szCs w:val="26"/>
          <w:rtl/>
        </w:rPr>
      </w:pPr>
    </w:p>
    <w:sectPr w:rsidR="00436E4E" w:rsidRPr="002E1D22" w:rsidSect="004374A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2DC3E4" w14:textId="77777777" w:rsidR="009C5242" w:rsidRDefault="009C5242" w:rsidP="004374A5">
      <w:r>
        <w:separator/>
      </w:r>
    </w:p>
  </w:endnote>
  <w:endnote w:type="continuationSeparator" w:id="0">
    <w:p w14:paraId="0F76664D" w14:textId="77777777" w:rsidR="009C5242" w:rsidRDefault="009C5242" w:rsidP="004374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David">
    <w:panose1 w:val="020E0802060401010101"/>
    <w:charset w:val="00"/>
    <w:family w:val="swiss"/>
    <w:pitch w:val="variable"/>
    <w:sig w:usb0="00000803" w:usb1="00000000" w:usb2="00000000" w:usb3="00000000" w:csb0="0000002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207DF1" w14:textId="77777777" w:rsidR="00EF0529" w:rsidRDefault="00EF052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FC54CC" w14:textId="77777777" w:rsidR="00EF0529" w:rsidRDefault="00EF052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D4DA0E" w14:textId="77777777" w:rsidR="00EF0529" w:rsidRDefault="00EF052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113F91" w14:textId="77777777" w:rsidR="009C5242" w:rsidRDefault="009C5242" w:rsidP="004374A5">
      <w:r>
        <w:separator/>
      </w:r>
    </w:p>
  </w:footnote>
  <w:footnote w:type="continuationSeparator" w:id="0">
    <w:p w14:paraId="43678A14" w14:textId="77777777" w:rsidR="009C5242" w:rsidRDefault="009C5242" w:rsidP="004374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76A21" w14:textId="77777777" w:rsidR="00EF0529" w:rsidRDefault="00EF052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777D11" w14:textId="77777777" w:rsidR="004374A5" w:rsidRDefault="009C5242">
    <w:pPr>
      <w:pStyle w:val="Header"/>
    </w:pPr>
    <w:r>
      <w:rPr>
        <w:noProof/>
      </w:rPr>
      <w:pict w14:anchorId="4CBAD82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left:0;text-align:left;margin-left:-89.25pt;margin-top:-71.25pt;width:594pt;height:71.35pt;z-index:1;mso-position-horizontal-relative:margin;mso-position-vertical-relative:margin">
          <v:imagedata r:id="rId1" o:title="Header"/>
          <w10:wrap type="square"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3D0076" w14:textId="77777777" w:rsidR="00EF0529" w:rsidRDefault="00EF052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35242"/>
    <w:rsid w:val="00026F4F"/>
    <w:rsid w:val="00147D0B"/>
    <w:rsid w:val="00235242"/>
    <w:rsid w:val="002634E4"/>
    <w:rsid w:val="002E1D22"/>
    <w:rsid w:val="00304F26"/>
    <w:rsid w:val="00436E4E"/>
    <w:rsid w:val="004374A5"/>
    <w:rsid w:val="005A50F9"/>
    <w:rsid w:val="006A56F4"/>
    <w:rsid w:val="00776062"/>
    <w:rsid w:val="007847C9"/>
    <w:rsid w:val="007C275A"/>
    <w:rsid w:val="00852CFA"/>
    <w:rsid w:val="009624CD"/>
    <w:rsid w:val="009C5242"/>
    <w:rsid w:val="00AC2EE6"/>
    <w:rsid w:val="00B0145B"/>
    <w:rsid w:val="00B42666"/>
    <w:rsid w:val="00B61EA5"/>
    <w:rsid w:val="00BB3BA1"/>
    <w:rsid w:val="00C13197"/>
    <w:rsid w:val="00D00166"/>
    <w:rsid w:val="00EF0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0964E5FB"/>
  <w15:chartTrackingRefBased/>
  <w15:docId w15:val="{8ED006CE-2284-472C-AE49-678D45C141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IL" w:eastAsia="en-IL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val="en-US" w:eastAsia="he-IL"/>
    </w:rPr>
  </w:style>
  <w:style w:type="paragraph" w:styleId="Heading1">
    <w:name w:val="heading 1"/>
    <w:basedOn w:val="Normal"/>
    <w:next w:val="Normal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Heading2">
    <w:name w:val="heading 2"/>
    <w:basedOn w:val="Normal"/>
    <w:next w:val="Normal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NormalIndent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NormalIndent">
    <w:name w:val="Normal Indent"/>
    <w:basedOn w:val="Normal"/>
    <w:semiHidden/>
    <w:pPr>
      <w:ind w:left="720"/>
    </w:pPr>
  </w:style>
  <w:style w:type="paragraph" w:customStyle="1" w:styleId="Normalindentnumberindent">
    <w:name w:val="Normal indent number indent"/>
    <w:basedOn w:val="Normal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Header">
    <w:name w:val="header"/>
    <w:basedOn w:val="Normal"/>
    <w:link w:val="HeaderChar"/>
    <w:uiPriority w:val="99"/>
    <w:unhideWhenUsed/>
    <w:rsid w:val="004374A5"/>
    <w:pPr>
      <w:tabs>
        <w:tab w:val="center" w:pos="4153"/>
        <w:tab w:val="right" w:pos="8306"/>
      </w:tabs>
    </w:pPr>
  </w:style>
  <w:style w:type="paragraph" w:customStyle="1" w:styleId="a">
    <w:name w:val="מדינת ישראל"/>
    <w:basedOn w:val="Normal"/>
    <w:pPr>
      <w:jc w:val="center"/>
    </w:pPr>
    <w:rPr>
      <w:b/>
      <w:bCs/>
      <w:szCs w:val="28"/>
    </w:rPr>
  </w:style>
  <w:style w:type="paragraph" w:customStyle="1" w:styleId="a0">
    <w:name w:val="כותרת נדון"/>
    <w:basedOn w:val="Normal"/>
    <w:rPr>
      <w:bCs/>
      <w:szCs w:val="26"/>
      <w:u w:val="single"/>
    </w:rPr>
  </w:style>
  <w:style w:type="character" w:customStyle="1" w:styleId="HeaderChar">
    <w:name w:val="Header Char"/>
    <w:link w:val="Header"/>
    <w:uiPriority w:val="99"/>
    <w:rsid w:val="004374A5"/>
    <w:rPr>
      <w:rFonts w:cs="Narkisim"/>
      <w:szCs w:val="24"/>
      <w:lang w:eastAsia="he-IL"/>
    </w:rPr>
  </w:style>
  <w:style w:type="paragraph" w:styleId="Footer">
    <w:name w:val="footer"/>
    <w:basedOn w:val="Normal"/>
    <w:link w:val="FooterChar"/>
    <w:uiPriority w:val="99"/>
    <w:unhideWhenUsed/>
    <w:rsid w:val="004374A5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4374A5"/>
    <w:rPr>
      <w:rFonts w:cs="Narkisim"/>
      <w:szCs w:val="24"/>
      <w:lang w:eastAsia="he-IL"/>
    </w:rPr>
  </w:style>
  <w:style w:type="character" w:styleId="Hyperlink">
    <w:name w:val="Hyperlink"/>
    <w:uiPriority w:val="99"/>
    <w:semiHidden/>
    <w:unhideWhenUsed/>
    <w:rsid w:val="006A56F4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038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8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s://www.gov.il/BlobFolder/pmopolicy/dec3970-2026/he/Gov_Dec_3790.pdf?fireglass_rsn=true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gov.il/BlobFolder/pmopolicy/dec3970-2026/he/Gov_Dec_3790.pdf?fireglass_rsn=true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346</Words>
  <Characters>1974</Characters>
  <Application>Microsoft Office Word</Application>
  <DocSecurity>0</DocSecurity>
  <Lines>16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2316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dc:description/>
  <cp:lastModifiedBy>יונית בן ציון</cp:lastModifiedBy>
  <cp:revision>6</cp:revision>
  <cp:lastPrinted>1899-12-31T22:00:00Z</cp:lastPrinted>
  <dcterms:created xsi:type="dcterms:W3CDTF">2026-06-30T06:55:00Z</dcterms:created>
  <dcterms:modified xsi:type="dcterms:W3CDTF">2026-06-30T07:38:00Z</dcterms:modified>
</cp:coreProperties>
</file>