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7901E" w14:textId="77777777" w:rsidR="00436E4E" w:rsidRDefault="00436E4E">
      <w:pPr>
        <w:pStyle w:val="a6"/>
        <w:rPr>
          <w:rtl/>
        </w:rPr>
      </w:pPr>
    </w:p>
    <w:p w14:paraId="5F60A045" w14:textId="77777777" w:rsidR="00436E4E" w:rsidRDefault="00436E4E">
      <w:pPr>
        <w:pStyle w:val="a6"/>
        <w:rPr>
          <w:rtl/>
        </w:rPr>
      </w:pPr>
      <w:r>
        <w:rPr>
          <w:rtl/>
        </w:rPr>
        <w:t>מדינת ישראל</w:t>
      </w:r>
    </w:p>
    <w:p w14:paraId="18F15AF3" w14:textId="77777777" w:rsidR="00436E4E" w:rsidRDefault="00436E4E">
      <w:pPr>
        <w:pStyle w:val="a6"/>
        <w:rPr>
          <w:szCs w:val="24"/>
          <w:rtl/>
        </w:rPr>
      </w:pPr>
      <w:r>
        <w:rPr>
          <w:rtl/>
        </w:rPr>
        <w:t>האוצר - אגף התקציבים</w:t>
      </w:r>
    </w:p>
    <w:p w14:paraId="7E3AD49F" w14:textId="77777777" w:rsidR="00436E4E" w:rsidRDefault="00436E4E">
      <w:pPr>
        <w:rPr>
          <w:rtl/>
        </w:rPr>
      </w:pPr>
    </w:p>
    <w:p w14:paraId="31FBC861" w14:textId="77777777" w:rsidR="00436E4E" w:rsidRDefault="00436E4E">
      <w:pPr>
        <w:rPr>
          <w:rtl/>
        </w:rPr>
      </w:pPr>
    </w:p>
    <w:p w14:paraId="23430B61" w14:textId="77777777" w:rsidR="00436E4E" w:rsidRDefault="00436E4E">
      <w:pPr>
        <w:tabs>
          <w:tab w:val="left" w:pos="6300"/>
        </w:tabs>
        <w:rPr>
          <w:rtl/>
        </w:rPr>
      </w:pPr>
      <w:r>
        <w:rPr>
          <w:rtl/>
        </w:rPr>
        <w:tab/>
      </w:r>
      <w:bookmarkStart w:id="0" w:name="TAKZIV8"/>
      <w:r w:rsidR="005A22CA">
        <w:rPr>
          <w:rtl/>
        </w:rPr>
        <w:t>תקציב רגיל</w:t>
      </w:r>
      <w:bookmarkEnd w:id="0"/>
    </w:p>
    <w:p w14:paraId="5E184F6B" w14:textId="77777777" w:rsidR="00436E4E" w:rsidRDefault="00436E4E">
      <w:pPr>
        <w:tabs>
          <w:tab w:val="left" w:pos="6300"/>
        </w:tabs>
        <w:rPr>
          <w:rtl/>
        </w:rPr>
      </w:pPr>
      <w:r>
        <w:rPr>
          <w:rtl/>
        </w:rPr>
        <w:tab/>
      </w:r>
    </w:p>
    <w:p w14:paraId="65ABAB23"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05D153CE" w14:textId="2B77C71E"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5A22CA">
        <w:rPr>
          <w:rFonts w:cs="FrankRuehl"/>
          <w:sz w:val="26"/>
          <w:szCs w:val="26"/>
          <w:rtl/>
        </w:rPr>
        <w:t>209</w:t>
      </w:r>
      <w:bookmarkEnd w:id="2"/>
      <w:r w:rsidRPr="002E1D22">
        <w:rPr>
          <w:rFonts w:cs="FrankRuehl"/>
          <w:sz w:val="26"/>
          <w:szCs w:val="26"/>
          <w:rtl/>
        </w:rPr>
        <w:t xml:space="preserve"> </w:t>
      </w:r>
      <w:r w:rsidR="008F371F">
        <w:rPr>
          <w:rFonts w:cs="FrankRuehl"/>
          <w:sz w:val="26"/>
          <w:szCs w:val="26"/>
          <w:rtl/>
        </w:rPr>
        <w:t>–</w:t>
      </w:r>
      <w:r w:rsidRPr="002E1D22">
        <w:rPr>
          <w:rFonts w:cs="FrankRuehl"/>
          <w:sz w:val="26"/>
          <w:szCs w:val="26"/>
          <w:rtl/>
        </w:rPr>
        <w:t xml:space="preserve"> </w:t>
      </w:r>
      <w:bookmarkStart w:id="3" w:name="TAKZIV3"/>
      <w:r w:rsidR="005A22CA">
        <w:rPr>
          <w:rFonts w:cs="FrankRuehl"/>
          <w:sz w:val="26"/>
          <w:szCs w:val="26"/>
          <w:rtl/>
        </w:rPr>
        <w:t>38</w:t>
      </w:r>
      <w:bookmarkEnd w:id="3"/>
      <w:r w:rsidR="008F371F">
        <w:rPr>
          <w:rFonts w:cs="FrankRuehl" w:hint="cs"/>
          <w:sz w:val="26"/>
          <w:szCs w:val="26"/>
          <w:rtl/>
        </w:rPr>
        <w:t>,</w:t>
      </w:r>
    </w:p>
    <w:p w14:paraId="2D1E883E" w14:textId="0A020822" w:rsidR="008F371F" w:rsidRPr="002E1D22" w:rsidRDefault="008F371F" w:rsidP="002E1D22">
      <w:pPr>
        <w:tabs>
          <w:tab w:val="left" w:pos="5755"/>
        </w:tabs>
        <w:rPr>
          <w:rFonts w:cs="FrankRuehl"/>
          <w:sz w:val="26"/>
          <w:szCs w:val="26"/>
          <w:rtl/>
        </w:rPr>
      </w:pPr>
      <w:r>
        <w:rPr>
          <w:rFonts w:cs="FrankRuehl"/>
          <w:sz w:val="26"/>
          <w:szCs w:val="26"/>
          <w:rtl/>
        </w:rPr>
        <w:tab/>
      </w:r>
      <w:r>
        <w:rPr>
          <w:rFonts w:cs="FrankRuehl" w:hint="cs"/>
          <w:sz w:val="26"/>
          <w:szCs w:val="26"/>
          <w:rtl/>
        </w:rPr>
        <w:t>51-212</w:t>
      </w:r>
    </w:p>
    <w:p w14:paraId="6B115D7C" w14:textId="0E7B9E7B" w:rsidR="008F371F"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8F371F" w:rsidRPr="002E1D22">
        <w:rPr>
          <w:rFonts w:cs="FrankRuehl" w:hint="cs"/>
          <w:sz w:val="26"/>
          <w:szCs w:val="26"/>
          <w:rtl/>
        </w:rPr>
        <w:t>לוועד</w:t>
      </w:r>
      <w:r w:rsidR="008F371F" w:rsidRPr="002E1D22">
        <w:rPr>
          <w:rFonts w:cs="FrankRuehl" w:hint="eastAsia"/>
          <w:sz w:val="26"/>
          <w:szCs w:val="26"/>
          <w:rtl/>
        </w:rPr>
        <w:t>ה</w:t>
      </w:r>
      <w:r w:rsidRPr="002E1D22">
        <w:rPr>
          <w:rFonts w:cs="FrankRuehl"/>
          <w:sz w:val="26"/>
          <w:szCs w:val="26"/>
          <w:rtl/>
        </w:rPr>
        <w:t>:</w:t>
      </w:r>
    </w:p>
    <w:p w14:paraId="4A88C380" w14:textId="2CBE352B" w:rsidR="00436E4E" w:rsidRDefault="008F371F" w:rsidP="008F371F">
      <w:pPr>
        <w:ind w:left="5040" w:firstLine="720"/>
        <w:rPr>
          <w:rFonts w:cs="FrankRuehl"/>
          <w:sz w:val="26"/>
          <w:szCs w:val="26"/>
          <w:rtl/>
        </w:rPr>
      </w:pPr>
      <w:r>
        <w:rPr>
          <w:rFonts w:cs="FrankRuehl" w:hint="cs"/>
          <w:sz w:val="26"/>
          <w:szCs w:val="26"/>
          <w:rtl/>
        </w:rPr>
        <w:t>134 עד</w:t>
      </w:r>
      <w:r w:rsidR="00436E4E" w:rsidRPr="002E1D22">
        <w:rPr>
          <w:rFonts w:cs="FrankRuehl"/>
          <w:sz w:val="26"/>
          <w:szCs w:val="26"/>
          <w:rtl/>
        </w:rPr>
        <w:t xml:space="preserve"> </w:t>
      </w:r>
      <w:bookmarkStart w:id="4" w:name="TAKZIV11"/>
      <w:r w:rsidR="005A22CA">
        <w:rPr>
          <w:rFonts w:cs="FrankRuehl"/>
          <w:sz w:val="26"/>
          <w:szCs w:val="26"/>
          <w:rtl/>
        </w:rPr>
        <w:t>135</w:t>
      </w:r>
      <w:bookmarkEnd w:id="4"/>
      <w:r w:rsidR="00436E4E" w:rsidRPr="002E1D22">
        <w:rPr>
          <w:rFonts w:cs="FrankRuehl"/>
          <w:sz w:val="26"/>
          <w:szCs w:val="26"/>
          <w:rtl/>
        </w:rPr>
        <w:tab/>
      </w:r>
    </w:p>
    <w:p w14:paraId="180A7097" w14:textId="77777777" w:rsidR="008F371F" w:rsidRPr="002E1D22" w:rsidRDefault="008F371F" w:rsidP="008F371F">
      <w:pPr>
        <w:ind w:left="5040" w:firstLine="720"/>
        <w:rPr>
          <w:rFonts w:cs="FrankRuehl"/>
          <w:sz w:val="26"/>
          <w:szCs w:val="26"/>
          <w:rtl/>
        </w:rPr>
      </w:pPr>
    </w:p>
    <w:p w14:paraId="7BC0F225" w14:textId="77777777" w:rsidR="00436E4E" w:rsidRPr="002E1D22" w:rsidRDefault="00436E4E">
      <w:pPr>
        <w:rPr>
          <w:rFonts w:cs="FrankRuehl"/>
          <w:sz w:val="26"/>
          <w:szCs w:val="26"/>
          <w:rtl/>
        </w:rPr>
      </w:pPr>
      <w:r w:rsidRPr="002E1D22">
        <w:rPr>
          <w:rFonts w:cs="FrankRuehl"/>
          <w:sz w:val="26"/>
          <w:szCs w:val="26"/>
          <w:rtl/>
        </w:rPr>
        <w:t>לכבוד,</w:t>
      </w:r>
    </w:p>
    <w:p w14:paraId="34165DD1" w14:textId="77777777" w:rsidR="00436E4E" w:rsidRPr="002E1D22" w:rsidRDefault="00436E4E">
      <w:pPr>
        <w:rPr>
          <w:rFonts w:cs="FrankRuehl"/>
          <w:sz w:val="26"/>
          <w:szCs w:val="26"/>
          <w:rtl/>
        </w:rPr>
      </w:pPr>
      <w:r w:rsidRPr="002E1D22">
        <w:rPr>
          <w:rFonts w:cs="FrankRuehl"/>
          <w:sz w:val="26"/>
          <w:szCs w:val="26"/>
          <w:rtl/>
        </w:rPr>
        <w:t>יו"ר ועדת הכספים</w:t>
      </w:r>
    </w:p>
    <w:p w14:paraId="5919F5D0" w14:textId="77777777" w:rsidR="00436E4E" w:rsidRPr="002E1D22" w:rsidRDefault="00436E4E">
      <w:pPr>
        <w:rPr>
          <w:rFonts w:cs="FrankRuehl"/>
          <w:sz w:val="26"/>
          <w:szCs w:val="26"/>
          <w:rtl/>
        </w:rPr>
      </w:pPr>
      <w:r w:rsidRPr="002E1D22">
        <w:rPr>
          <w:rFonts w:cs="FrankRuehl"/>
          <w:sz w:val="26"/>
          <w:szCs w:val="26"/>
          <w:rtl/>
        </w:rPr>
        <w:t>של הכנסת</w:t>
      </w:r>
    </w:p>
    <w:p w14:paraId="53F81310" w14:textId="77777777" w:rsidR="00436E4E" w:rsidRPr="002E1D22" w:rsidRDefault="00436E4E">
      <w:pPr>
        <w:rPr>
          <w:rFonts w:cs="FrankRuehl"/>
          <w:sz w:val="26"/>
          <w:szCs w:val="26"/>
          <w:rtl/>
        </w:rPr>
      </w:pPr>
    </w:p>
    <w:p w14:paraId="6F00393B" w14:textId="77777777" w:rsidR="00436E4E" w:rsidRPr="002E1D22" w:rsidRDefault="00436E4E">
      <w:pPr>
        <w:rPr>
          <w:rFonts w:cs="FrankRuehl"/>
          <w:sz w:val="26"/>
          <w:szCs w:val="26"/>
          <w:rtl/>
        </w:rPr>
      </w:pPr>
      <w:r w:rsidRPr="002E1D22">
        <w:rPr>
          <w:rFonts w:cs="FrankRuehl"/>
          <w:sz w:val="26"/>
          <w:szCs w:val="26"/>
          <w:rtl/>
        </w:rPr>
        <w:t>א.נ.,</w:t>
      </w:r>
    </w:p>
    <w:p w14:paraId="76A08644" w14:textId="77777777" w:rsidR="00436E4E" w:rsidRPr="002E1D22" w:rsidRDefault="00436E4E">
      <w:pPr>
        <w:rPr>
          <w:rFonts w:cs="FrankRuehl"/>
          <w:sz w:val="26"/>
          <w:szCs w:val="26"/>
          <w:rtl/>
        </w:rPr>
      </w:pPr>
    </w:p>
    <w:p w14:paraId="074BC608"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5A22CA">
        <w:rPr>
          <w:rFonts w:cs="FrankRuehl"/>
          <w:sz w:val="26"/>
          <w:rtl/>
        </w:rPr>
        <w:t>2026</w:t>
      </w:r>
      <w:bookmarkEnd w:id="5"/>
      <w:r w:rsidRPr="002E1D22">
        <w:rPr>
          <w:rFonts w:cs="FrankRuehl"/>
          <w:sz w:val="26"/>
          <w:rtl/>
        </w:rPr>
        <w:t xml:space="preserve">     </w:t>
      </w:r>
    </w:p>
    <w:p w14:paraId="00F8E6F8" w14:textId="77777777" w:rsidR="00436E4E" w:rsidRPr="002E1D22" w:rsidRDefault="00436E4E" w:rsidP="002E1D22">
      <w:pPr>
        <w:jc w:val="both"/>
        <w:rPr>
          <w:rFonts w:cs="FrankRuehl"/>
          <w:sz w:val="26"/>
          <w:szCs w:val="26"/>
          <w:rtl/>
        </w:rPr>
      </w:pPr>
    </w:p>
    <w:p w14:paraId="67C16533" w14:textId="304A2127" w:rsidR="00436E4E" w:rsidRPr="002E1D22" w:rsidRDefault="00436E4E" w:rsidP="008F371F">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5A22CA">
        <w:rPr>
          <w:rFonts w:cs="FrankRuehl"/>
          <w:sz w:val="26"/>
          <w:szCs w:val="26"/>
          <w:rtl/>
        </w:rPr>
        <w:t>160,000</w:t>
      </w:r>
      <w:bookmarkEnd w:id="6"/>
      <w:r w:rsidRPr="002E1D22">
        <w:rPr>
          <w:rFonts w:cs="FrankRuehl"/>
          <w:sz w:val="26"/>
          <w:szCs w:val="26"/>
          <w:rtl/>
        </w:rPr>
        <w:t xml:space="preserve"> אלפי שקלים חדשים מסעיף</w:t>
      </w:r>
      <w:r w:rsidR="008F371F">
        <w:rPr>
          <w:rFonts w:cs="FrankRuehl" w:hint="cs"/>
          <w:sz w:val="26"/>
          <w:szCs w:val="26"/>
          <w:rtl/>
        </w:rPr>
        <w:t xml:space="preserve"> 51 </w:t>
      </w:r>
      <w:r w:rsidR="008F371F">
        <w:rPr>
          <w:rFonts w:cs="FrankRuehl"/>
          <w:sz w:val="26"/>
          <w:szCs w:val="26"/>
          <w:rtl/>
        </w:rPr>
        <w:t>–</w:t>
      </w:r>
      <w:r w:rsidR="008F371F">
        <w:rPr>
          <w:rFonts w:cs="FrankRuehl" w:hint="cs"/>
          <w:sz w:val="26"/>
          <w:szCs w:val="26"/>
          <w:rtl/>
        </w:rPr>
        <w:t xml:space="preserve"> דיור ממשלתי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01543CB5" w14:textId="77777777" w:rsidR="00436E4E" w:rsidRPr="002E1D22" w:rsidRDefault="00436E4E" w:rsidP="008F371F">
      <w:pPr>
        <w:jc w:val="both"/>
        <w:rPr>
          <w:rFonts w:cs="FrankRuehl"/>
          <w:sz w:val="26"/>
          <w:szCs w:val="26"/>
          <w:rtl/>
        </w:rPr>
      </w:pPr>
    </w:p>
    <w:p w14:paraId="63B5906E" w14:textId="15B69377" w:rsidR="00436E4E" w:rsidRPr="002E1D22" w:rsidRDefault="00436E4E" w:rsidP="008F371F">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של </w:t>
      </w:r>
      <w:r w:rsidR="008F371F">
        <w:rPr>
          <w:rFonts w:cs="FrankRuehl" w:hint="cs"/>
          <w:sz w:val="26"/>
          <w:szCs w:val="26"/>
          <w:rtl/>
        </w:rPr>
        <w:t xml:space="preserve">160,000 </w:t>
      </w:r>
      <w:r w:rsidRPr="002E1D22">
        <w:rPr>
          <w:rFonts w:cs="FrankRuehl"/>
          <w:sz w:val="26"/>
          <w:szCs w:val="26"/>
          <w:rtl/>
        </w:rPr>
        <w:t xml:space="preserve">אלפי שקלים חדשים מסעיף 47 - רזרבה כללית </w:t>
      </w:r>
      <w:r w:rsidR="008F371F" w:rsidRPr="002E1D22">
        <w:rPr>
          <w:rFonts w:cs="FrankRuehl"/>
          <w:sz w:val="26"/>
          <w:szCs w:val="26"/>
          <w:rtl/>
        </w:rPr>
        <w:t xml:space="preserve">לסעיף </w:t>
      </w:r>
      <w:bookmarkStart w:id="7" w:name="TAKZIV3_1"/>
      <w:r w:rsidR="008F371F">
        <w:rPr>
          <w:rFonts w:cs="FrankRuehl"/>
          <w:sz w:val="26"/>
          <w:szCs w:val="26"/>
          <w:rtl/>
        </w:rPr>
        <w:t>38</w:t>
      </w:r>
      <w:bookmarkEnd w:id="7"/>
      <w:r w:rsidR="008F371F" w:rsidRPr="002E1D22">
        <w:rPr>
          <w:rFonts w:cs="FrankRuehl"/>
          <w:sz w:val="26"/>
          <w:szCs w:val="26"/>
          <w:rtl/>
        </w:rPr>
        <w:t xml:space="preserve"> - </w:t>
      </w:r>
      <w:bookmarkStart w:id="8" w:name="TAKZIV6"/>
      <w:r w:rsidR="008F371F">
        <w:rPr>
          <w:rFonts w:cs="FrankRuehl"/>
          <w:sz w:val="26"/>
          <w:szCs w:val="26"/>
          <w:rtl/>
        </w:rPr>
        <w:t>כלכלה ותעשייה</w:t>
      </w:r>
      <w:bookmarkEnd w:id="8"/>
      <w:r w:rsidR="008F371F" w:rsidRPr="002E1D22">
        <w:rPr>
          <w:rFonts w:cs="FrankRuehl"/>
          <w:sz w:val="26"/>
          <w:szCs w:val="26"/>
          <w:rtl/>
        </w:rPr>
        <w:t xml:space="preserve"> </w:t>
      </w:r>
      <w:r w:rsidRPr="002E1D22">
        <w:rPr>
          <w:rFonts w:cs="FrankRuehl"/>
          <w:sz w:val="26"/>
          <w:szCs w:val="26"/>
          <w:rtl/>
        </w:rPr>
        <w:t>בהתאם לסעיף 12 (א)</w:t>
      </w:r>
      <w:r w:rsidR="008F371F">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4772B14D" w14:textId="77777777" w:rsidR="00436E4E" w:rsidRPr="002E1D22" w:rsidRDefault="00436E4E" w:rsidP="008F371F">
      <w:pPr>
        <w:jc w:val="both"/>
        <w:rPr>
          <w:rFonts w:cs="FrankRuehl"/>
          <w:sz w:val="26"/>
          <w:szCs w:val="26"/>
          <w:rtl/>
        </w:rPr>
      </w:pPr>
    </w:p>
    <w:p w14:paraId="1A7D1D60" w14:textId="77777777" w:rsidR="008F371F" w:rsidRPr="00081B2C" w:rsidRDefault="008F371F" w:rsidP="008F371F">
      <w:pPr>
        <w:contextualSpacing/>
        <w:jc w:val="both"/>
        <w:rPr>
          <w:rFonts w:ascii="David" w:hAnsi="David" w:cs="FrankRuehl"/>
          <w:b/>
          <w:bCs/>
          <w:sz w:val="26"/>
          <w:szCs w:val="26"/>
          <w:rtl/>
        </w:rPr>
      </w:pPr>
      <w:bookmarkStart w:id="9" w:name="_Hlk172720056"/>
      <w:r w:rsidRPr="00081B2C">
        <w:rPr>
          <w:rFonts w:ascii="David" w:hAnsi="David" w:cs="FrankRuehl"/>
          <w:b/>
          <w:bCs/>
          <w:sz w:val="26"/>
          <w:szCs w:val="26"/>
          <w:rtl/>
        </w:rPr>
        <w:t>הבקשה דנה בסעיף</w:t>
      </w:r>
      <w:r>
        <w:rPr>
          <w:rFonts w:ascii="David" w:hAnsi="David" w:cs="FrankRuehl" w:hint="cs"/>
          <w:b/>
          <w:bCs/>
          <w:sz w:val="26"/>
          <w:szCs w:val="26"/>
          <w:rtl/>
        </w:rPr>
        <w:t xml:space="preserve"> תקציבי:</w:t>
      </w:r>
      <w:r w:rsidRPr="00081B2C">
        <w:rPr>
          <w:rFonts w:ascii="David" w:hAnsi="David" w:cs="FrankRuehl"/>
          <w:b/>
          <w:bCs/>
          <w:sz w:val="26"/>
          <w:szCs w:val="26"/>
          <w:rtl/>
        </w:rPr>
        <w:t xml:space="preserve"> </w:t>
      </w:r>
      <w:r w:rsidRPr="003F1C39">
        <w:rPr>
          <w:rFonts w:ascii="David" w:hAnsi="David" w:cs="FrankRuehl"/>
          <w:sz w:val="26"/>
          <w:szCs w:val="26"/>
          <w:rtl/>
        </w:rPr>
        <w:t xml:space="preserve">38 – </w:t>
      </w:r>
      <w:r w:rsidRPr="003F1C39">
        <w:rPr>
          <w:rFonts w:ascii="David" w:hAnsi="David" w:cs="FrankRuehl" w:hint="cs"/>
          <w:sz w:val="26"/>
          <w:szCs w:val="26"/>
          <w:rtl/>
        </w:rPr>
        <w:t>כלכלה ותעשייה</w:t>
      </w:r>
    </w:p>
    <w:p w14:paraId="4CDC9C94" w14:textId="77777777" w:rsidR="008F371F" w:rsidRPr="00081B2C" w:rsidRDefault="008F371F" w:rsidP="008F371F">
      <w:pPr>
        <w:contextualSpacing/>
        <w:jc w:val="both"/>
        <w:rPr>
          <w:rFonts w:ascii="David" w:hAnsi="David" w:cs="FrankRuehl"/>
          <w:sz w:val="26"/>
          <w:szCs w:val="26"/>
          <w:rtl/>
        </w:rPr>
      </w:pPr>
    </w:p>
    <w:p w14:paraId="466FB627" w14:textId="77777777" w:rsidR="008F371F" w:rsidRPr="00081B2C" w:rsidRDefault="008F371F" w:rsidP="008F371F">
      <w:pPr>
        <w:contextualSpacing/>
        <w:jc w:val="both"/>
        <w:rPr>
          <w:rFonts w:ascii="David" w:hAnsi="David" w:cs="FrankRuehl"/>
          <w:b/>
          <w:bCs/>
          <w:sz w:val="26"/>
          <w:szCs w:val="26"/>
          <w:rtl/>
        </w:rPr>
      </w:pPr>
      <w:r w:rsidRPr="00081B2C">
        <w:rPr>
          <w:rFonts w:ascii="David" w:hAnsi="David" w:cs="FrankRuehl"/>
          <w:b/>
          <w:bCs/>
          <w:sz w:val="26"/>
          <w:szCs w:val="26"/>
          <w:rtl/>
        </w:rPr>
        <w:t>עיקרי הפנייה:</w:t>
      </w:r>
    </w:p>
    <w:p w14:paraId="46ABCE95" w14:textId="77777777" w:rsidR="008F371F" w:rsidRPr="00081B2C" w:rsidRDefault="008F371F" w:rsidP="008F371F">
      <w:pPr>
        <w:contextualSpacing/>
        <w:jc w:val="both"/>
        <w:rPr>
          <w:rFonts w:ascii="David" w:hAnsi="David" w:cs="FrankRuehl"/>
          <w:b/>
          <w:bCs/>
          <w:sz w:val="26"/>
          <w:szCs w:val="26"/>
          <w:rtl/>
        </w:rPr>
      </w:pPr>
      <w:r w:rsidRPr="00081B2C">
        <w:rPr>
          <w:rFonts w:ascii="David" w:hAnsi="David" w:cs="FrankRuehl"/>
          <w:sz w:val="26"/>
          <w:szCs w:val="26"/>
          <w:rtl/>
        </w:rPr>
        <w:t xml:space="preserve">הבקשה התקציבית נועדה לתקצב סך של </w:t>
      </w:r>
      <w:r w:rsidRPr="00081B2C">
        <w:rPr>
          <w:rFonts w:ascii="David" w:hAnsi="David" w:cs="FrankRuehl" w:hint="cs"/>
          <w:sz w:val="26"/>
          <w:szCs w:val="26"/>
          <w:rtl/>
        </w:rPr>
        <w:t>160,000</w:t>
      </w:r>
      <w:r w:rsidRPr="00081B2C">
        <w:rPr>
          <w:rFonts w:ascii="David" w:hAnsi="David" w:cs="FrankRuehl"/>
          <w:sz w:val="26"/>
          <w:szCs w:val="26"/>
          <w:rtl/>
        </w:rPr>
        <w:t xml:space="preserve"> אלפי ש"ח בהוצאה, וסך של</w:t>
      </w:r>
      <w:r w:rsidRPr="00081B2C">
        <w:rPr>
          <w:rFonts w:ascii="David" w:hAnsi="David" w:cs="FrankRuehl" w:hint="cs"/>
          <w:sz w:val="26"/>
          <w:szCs w:val="26"/>
          <w:rtl/>
        </w:rPr>
        <w:t xml:space="preserve"> 1,595,000</w:t>
      </w:r>
      <w:r w:rsidRPr="00081B2C">
        <w:rPr>
          <w:rFonts w:ascii="David" w:hAnsi="David" w:cs="FrankRuehl"/>
          <w:sz w:val="26"/>
          <w:szCs w:val="26"/>
          <w:rtl/>
        </w:rPr>
        <w:t xml:space="preserve"> אלפי ש"ח בהרשאה להתחייב, לשם הפעלת מסלול</w:t>
      </w:r>
      <w:r w:rsidRPr="00081B2C">
        <w:rPr>
          <w:rFonts w:ascii="David" w:hAnsi="David" w:cs="FrankRuehl" w:hint="cs"/>
          <w:sz w:val="26"/>
          <w:szCs w:val="26"/>
          <w:rtl/>
        </w:rPr>
        <w:t xml:space="preserve"> </w:t>
      </w:r>
      <w:r w:rsidRPr="00081B2C">
        <w:rPr>
          <w:rFonts w:ascii="David" w:hAnsi="David" w:cs="FrankRuehl"/>
          <w:sz w:val="26"/>
          <w:szCs w:val="26"/>
          <w:rtl/>
        </w:rPr>
        <w:t xml:space="preserve">המענקים </w:t>
      </w:r>
      <w:r w:rsidRPr="00081B2C">
        <w:rPr>
          <w:rFonts w:ascii="David" w:hAnsi="David" w:cs="FrankRuehl" w:hint="cs"/>
          <w:sz w:val="26"/>
          <w:szCs w:val="26"/>
          <w:rtl/>
        </w:rPr>
        <w:t xml:space="preserve">המהיר </w:t>
      </w:r>
      <w:r w:rsidRPr="00081B2C">
        <w:rPr>
          <w:rFonts w:ascii="David" w:hAnsi="David" w:cs="FrankRuehl"/>
          <w:sz w:val="26"/>
          <w:szCs w:val="26"/>
          <w:rtl/>
        </w:rPr>
        <w:t>ברשות החדשנות</w:t>
      </w:r>
      <w:r w:rsidRPr="00081B2C">
        <w:rPr>
          <w:rFonts w:ascii="David" w:hAnsi="David" w:cs="FrankRuehl" w:hint="cs"/>
          <w:sz w:val="26"/>
          <w:szCs w:val="26"/>
          <w:rtl/>
        </w:rPr>
        <w:t xml:space="preserve"> להתמודדות עם התקצרות האופק הפיננסי לאור הייסוף החד בשקל</w:t>
      </w:r>
      <w:r w:rsidRPr="00081B2C">
        <w:rPr>
          <w:rFonts w:ascii="David" w:hAnsi="David" w:cs="FrankRuehl"/>
          <w:sz w:val="26"/>
          <w:szCs w:val="26"/>
          <w:rtl/>
        </w:rPr>
        <w:t xml:space="preserve">, </w:t>
      </w:r>
      <w:r w:rsidRPr="00081B2C">
        <w:rPr>
          <w:rFonts w:ascii="David" w:hAnsi="David" w:cs="FrankRuehl" w:hint="cs"/>
          <w:sz w:val="26"/>
          <w:szCs w:val="26"/>
          <w:rtl/>
        </w:rPr>
        <w:t>כן לטובת פעילות נוספת של רשות החדשנות</w:t>
      </w:r>
      <w:r w:rsidRPr="00081B2C">
        <w:rPr>
          <w:rFonts w:ascii="David" w:hAnsi="David" w:cs="FrankRuehl"/>
          <w:sz w:val="26"/>
          <w:szCs w:val="26"/>
          <w:rtl/>
        </w:rPr>
        <w:t>,</w:t>
      </w:r>
      <w:r w:rsidRPr="00081B2C">
        <w:rPr>
          <w:rFonts w:ascii="David" w:hAnsi="David" w:cs="FrankRuehl" w:hint="cs"/>
          <w:sz w:val="26"/>
          <w:szCs w:val="26"/>
          <w:rtl/>
        </w:rPr>
        <w:t xml:space="preserve"> ובהם תקצוב הקמת תשתיות מחשוב ואינטגרציה קוונטית, תמיכה בהקמת תשתיות למו"פ בתחומי השבבים,</w:t>
      </w:r>
      <w:r w:rsidRPr="00081B2C">
        <w:rPr>
          <w:rFonts w:ascii="David" w:hAnsi="David" w:cs="FrankRuehl"/>
          <w:sz w:val="26"/>
          <w:szCs w:val="26"/>
          <w:rtl/>
        </w:rPr>
        <w:t xml:space="preserve"> ו</w:t>
      </w:r>
      <w:r w:rsidRPr="00081B2C">
        <w:rPr>
          <w:rFonts w:ascii="David" w:hAnsi="David" w:cs="FrankRuehl" w:hint="cs"/>
          <w:sz w:val="26"/>
          <w:szCs w:val="26"/>
          <w:rtl/>
        </w:rPr>
        <w:t xml:space="preserve">פעילותה של </w:t>
      </w:r>
      <w:r w:rsidRPr="00081B2C">
        <w:rPr>
          <w:rFonts w:ascii="David" w:hAnsi="David" w:cs="FrankRuehl"/>
          <w:sz w:val="26"/>
          <w:szCs w:val="26"/>
          <w:rtl/>
        </w:rPr>
        <w:t xml:space="preserve">'קרן </w:t>
      </w:r>
      <w:proofErr w:type="spellStart"/>
      <w:r w:rsidRPr="00081B2C">
        <w:rPr>
          <w:rFonts w:ascii="David" w:hAnsi="David" w:cs="FrankRuehl"/>
          <w:sz w:val="26"/>
          <w:szCs w:val="26"/>
          <w:rtl/>
        </w:rPr>
        <w:t>ההזנק</w:t>
      </w:r>
      <w:proofErr w:type="spellEnd"/>
      <w:r w:rsidRPr="00081B2C">
        <w:rPr>
          <w:rFonts w:ascii="David" w:hAnsi="David" w:cs="FrankRuehl"/>
          <w:sz w:val="26"/>
          <w:szCs w:val="26"/>
          <w:rtl/>
        </w:rPr>
        <w:t>' המענ</w:t>
      </w:r>
      <w:r w:rsidRPr="00081B2C">
        <w:rPr>
          <w:rFonts w:ascii="David" w:hAnsi="David" w:cs="FrankRuehl" w:hint="cs"/>
          <w:sz w:val="26"/>
          <w:szCs w:val="26"/>
          <w:rtl/>
        </w:rPr>
        <w:t>י</w:t>
      </w:r>
      <w:r w:rsidRPr="00081B2C">
        <w:rPr>
          <w:rFonts w:ascii="David" w:hAnsi="David" w:cs="FrankRuehl"/>
          <w:sz w:val="26"/>
          <w:szCs w:val="26"/>
          <w:rtl/>
        </w:rPr>
        <w:t>קה מענקים לחברות הייטק</w:t>
      </w:r>
      <w:r w:rsidRPr="00081B2C">
        <w:rPr>
          <w:rFonts w:ascii="David" w:hAnsi="David" w:cs="FrankRuehl" w:hint="cs"/>
          <w:sz w:val="26"/>
          <w:szCs w:val="26"/>
          <w:rtl/>
        </w:rPr>
        <w:t xml:space="preserve"> בשלבים מוקדמים</w:t>
      </w:r>
      <w:r w:rsidRPr="00081B2C">
        <w:rPr>
          <w:rFonts w:ascii="David" w:hAnsi="David" w:cs="FrankRuehl"/>
          <w:sz w:val="26"/>
          <w:szCs w:val="26"/>
          <w:rtl/>
        </w:rPr>
        <w:t xml:space="preserve">. </w:t>
      </w:r>
    </w:p>
    <w:p w14:paraId="482110DB" w14:textId="77777777" w:rsidR="008F371F" w:rsidRPr="00081B2C" w:rsidRDefault="008F371F" w:rsidP="008F371F">
      <w:pPr>
        <w:contextualSpacing/>
        <w:jc w:val="both"/>
        <w:rPr>
          <w:rFonts w:ascii="David" w:hAnsi="David" w:cs="FrankRuehl"/>
          <w:b/>
          <w:bCs/>
          <w:sz w:val="26"/>
          <w:szCs w:val="26"/>
          <w:rtl/>
        </w:rPr>
      </w:pPr>
    </w:p>
    <w:p w14:paraId="37907C86"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עיקרי הפנייה התקציבית בחלוקה </w:t>
      </w:r>
      <w:proofErr w:type="spellStart"/>
      <w:r w:rsidRPr="00081B2C">
        <w:rPr>
          <w:rFonts w:ascii="David" w:hAnsi="David" w:cs="FrankRuehl"/>
          <w:sz w:val="26"/>
          <w:szCs w:val="26"/>
          <w:rtl/>
        </w:rPr>
        <w:t>לתכניות</w:t>
      </w:r>
      <w:proofErr w:type="spellEnd"/>
      <w:r w:rsidRPr="00081B2C">
        <w:rPr>
          <w:rFonts w:ascii="David" w:hAnsi="David" w:cs="FrankRuehl"/>
          <w:sz w:val="26"/>
          <w:szCs w:val="26"/>
          <w:rtl/>
        </w:rPr>
        <w:t xml:space="preserve"> מובאים להלן:</w:t>
      </w:r>
    </w:p>
    <w:p w14:paraId="3D05E7CA" w14:textId="77777777" w:rsidR="008F371F" w:rsidRPr="000F1918" w:rsidRDefault="008F371F" w:rsidP="008F371F">
      <w:pPr>
        <w:contextualSpacing/>
        <w:jc w:val="both"/>
        <w:rPr>
          <w:rFonts w:ascii="FrankRuehl" w:hAnsi="FrankRuehl" w:cs="FrankRuehl"/>
          <w:b/>
          <w:bCs/>
          <w:color w:val="000000"/>
          <w:sz w:val="26"/>
          <w:szCs w:val="26"/>
        </w:rPr>
      </w:pPr>
      <w:r w:rsidRPr="000F1918">
        <w:rPr>
          <w:rFonts w:ascii="FrankRuehl" w:hAnsi="FrankRuehl" w:cs="FrankRuehl" w:hint="cs"/>
          <w:b/>
          <w:bCs/>
          <w:color w:val="000000"/>
          <w:sz w:val="26"/>
          <w:szCs w:val="26"/>
          <w:rtl/>
        </w:rPr>
        <w:t>תכנית</w:t>
      </w:r>
      <w:r w:rsidRPr="000F1918">
        <w:rPr>
          <w:rFonts w:ascii="FrankRuehl" w:hAnsi="FrankRuehl" w:cs="FrankRuehl" w:hint="cs"/>
          <w:b/>
          <w:bCs/>
          <w:color w:val="000000"/>
          <w:sz w:val="26"/>
          <w:szCs w:val="26"/>
        </w:rPr>
        <w:t xml:space="preserve"> </w:t>
      </w:r>
      <w:r w:rsidRPr="000F1918">
        <w:rPr>
          <w:rFonts w:ascii="FrankRuehl" w:hAnsi="FrankRuehl" w:cs="FrankRuehl" w:hint="cs"/>
          <w:b/>
          <w:bCs/>
          <w:color w:val="000000"/>
          <w:sz w:val="26"/>
          <w:szCs w:val="26"/>
          <w:rtl/>
        </w:rPr>
        <w:t>38-30-01</w:t>
      </w:r>
      <w:r w:rsidRPr="000F1918">
        <w:rPr>
          <w:rFonts w:ascii="FrankRuehl" w:hAnsi="FrankRuehl" w:cs="FrankRuehl" w:hint="cs"/>
          <w:b/>
          <w:bCs/>
          <w:color w:val="000000"/>
          <w:sz w:val="26"/>
          <w:szCs w:val="26"/>
        </w:rPr>
        <w:t xml:space="preserve"> </w:t>
      </w:r>
      <w:r w:rsidRPr="000F1918">
        <w:rPr>
          <w:rFonts w:ascii="FrankRuehl" w:hAnsi="FrankRuehl" w:cs="FrankRuehl" w:hint="cs"/>
          <w:b/>
          <w:bCs/>
          <w:color w:val="000000"/>
          <w:sz w:val="26"/>
          <w:szCs w:val="26"/>
          <w:rtl/>
        </w:rPr>
        <w:t xml:space="preserve">: הפעלת הרשות לחדשנות </w:t>
      </w:r>
    </w:p>
    <w:p w14:paraId="2699F252" w14:textId="77777777" w:rsidR="008F371F" w:rsidRDefault="008F371F" w:rsidP="008F371F">
      <w:pPr>
        <w:contextualSpacing/>
        <w:jc w:val="both"/>
        <w:rPr>
          <w:sz w:val="26"/>
          <w:rtl/>
        </w:rPr>
      </w:pPr>
      <w:r>
        <w:rPr>
          <w:rFonts w:ascii="FrankRuehl" w:hAnsi="FrankRuehl" w:cs="FrankRuehl" w:hint="cs"/>
          <w:b/>
          <w:bCs/>
          <w:color w:val="000000"/>
          <w:sz w:val="26"/>
          <w:szCs w:val="26"/>
          <w:rtl/>
        </w:rPr>
        <w:t xml:space="preserve">תיאור </w:t>
      </w:r>
      <w:proofErr w:type="spellStart"/>
      <w:r>
        <w:rPr>
          <w:rFonts w:ascii="FrankRuehl" w:hAnsi="FrankRuehl" w:cs="FrankRuehl" w:hint="cs"/>
          <w:b/>
          <w:bCs/>
          <w:color w:val="000000"/>
          <w:sz w:val="26"/>
          <w:szCs w:val="26"/>
          <w:rtl/>
        </w:rPr>
        <w:t>התכנית</w:t>
      </w:r>
      <w:proofErr w:type="spellEnd"/>
      <w:r>
        <w:rPr>
          <w:rFonts w:ascii="FrankRuehl" w:hAnsi="FrankRuehl" w:cs="FrankRuehl" w:hint="cs"/>
          <w:b/>
          <w:bCs/>
          <w:color w:val="000000"/>
          <w:sz w:val="26"/>
          <w:szCs w:val="26"/>
          <w:rtl/>
        </w:rPr>
        <w:t xml:space="preserve">: </w:t>
      </w:r>
      <w:r>
        <w:rPr>
          <w:rFonts w:ascii="FrankRuehl" w:hAnsi="FrankRuehl" w:cs="FrankRuehl" w:hint="cs"/>
          <w:color w:val="000000"/>
          <w:sz w:val="26"/>
          <w:szCs w:val="26"/>
          <w:rtl/>
        </w:rPr>
        <w:t xml:space="preserve">רשות החדשנות היא הגוף האמון על ייזום, תכלול וביצוע מדיניות החדשנות של ישראל. על מנת לבצע את תפקידיה הרשות עורכת מחקרים, סקרים ועבודות נוספות לניטור </w:t>
      </w:r>
      <w:proofErr w:type="spellStart"/>
      <w:r>
        <w:rPr>
          <w:rFonts w:ascii="FrankRuehl" w:hAnsi="FrankRuehl" w:cs="FrankRuehl" w:hint="cs"/>
          <w:color w:val="000000"/>
          <w:sz w:val="26"/>
          <w:szCs w:val="26"/>
          <w:rtl/>
        </w:rPr>
        <w:t>האקוסיסטם</w:t>
      </w:r>
      <w:proofErr w:type="spellEnd"/>
      <w:r>
        <w:rPr>
          <w:rFonts w:ascii="FrankRuehl" w:hAnsi="FrankRuehl" w:cs="FrankRuehl" w:hint="cs"/>
          <w:color w:val="000000"/>
          <w:sz w:val="26"/>
          <w:szCs w:val="26"/>
          <w:rtl/>
        </w:rPr>
        <w:t xml:space="preserve"> של החדשנות בישראל וזיהוי מגמות וצווארי בקבוק. </w:t>
      </w:r>
    </w:p>
    <w:p w14:paraId="7AF207A1"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b/>
          <w:bCs/>
          <w:sz w:val="26"/>
          <w:szCs w:val="26"/>
          <w:rtl/>
        </w:rPr>
        <w:t>מטרת השינוי</w:t>
      </w:r>
      <w:r w:rsidRPr="00081B2C">
        <w:rPr>
          <w:rFonts w:ascii="David" w:hAnsi="David" w:cs="FrankRuehl"/>
          <w:sz w:val="26"/>
          <w:szCs w:val="26"/>
          <w:rtl/>
        </w:rPr>
        <w:t xml:space="preserve">: </w:t>
      </w:r>
    </w:p>
    <w:p w14:paraId="321BB582" w14:textId="77777777" w:rsidR="008F371F" w:rsidRPr="009310F9" w:rsidRDefault="008F371F" w:rsidP="008F371F">
      <w:pPr>
        <w:contextualSpacing/>
        <w:jc w:val="both"/>
        <w:rPr>
          <w:rFonts w:ascii="David" w:hAnsi="David" w:cs="FrankRuehl"/>
          <w:b/>
          <w:bCs/>
          <w:sz w:val="26"/>
          <w:szCs w:val="26"/>
          <w:rtl/>
        </w:rPr>
      </w:pPr>
      <w:r w:rsidRPr="00081B2C">
        <w:rPr>
          <w:rFonts w:ascii="David" w:hAnsi="David" w:cs="FrankRuehl"/>
          <w:sz w:val="26"/>
          <w:szCs w:val="26"/>
          <w:rtl/>
        </w:rPr>
        <w:t xml:space="preserve">הבקשה התקציבית נועדה לתקצב סך של </w:t>
      </w:r>
      <w:r>
        <w:rPr>
          <w:rFonts w:ascii="David" w:hAnsi="David" w:cs="FrankRuehl" w:hint="cs"/>
          <w:sz w:val="26"/>
          <w:szCs w:val="26"/>
          <w:rtl/>
        </w:rPr>
        <w:t xml:space="preserve">8,000 </w:t>
      </w:r>
      <w:r w:rsidRPr="00081B2C">
        <w:rPr>
          <w:rFonts w:ascii="David" w:hAnsi="David" w:cs="FrankRuehl"/>
          <w:sz w:val="26"/>
          <w:szCs w:val="26"/>
          <w:rtl/>
        </w:rPr>
        <w:t xml:space="preserve">אלפי ש"ח בהוצאה, לשם </w:t>
      </w:r>
      <w:r>
        <w:rPr>
          <w:rFonts w:ascii="David" w:hAnsi="David" w:cs="FrankRuehl" w:hint="cs"/>
          <w:sz w:val="26"/>
          <w:szCs w:val="26"/>
          <w:rtl/>
        </w:rPr>
        <w:t>תגבור היקף העבודה של הבודקים הטכנולוגיים ברשות, לטובת העבודה המוגברת הצפויה במסלול המהיר לתמיכה בחברות הייטק צעירות עקב השינוי החד בשער הדולר.</w:t>
      </w:r>
      <w:r w:rsidRPr="00081B2C">
        <w:rPr>
          <w:rFonts w:ascii="David" w:hAnsi="David" w:cs="FrankRuehl"/>
          <w:sz w:val="26"/>
          <w:szCs w:val="26"/>
          <w:rtl/>
        </w:rPr>
        <w:t xml:space="preserve"> </w:t>
      </w:r>
      <w:r>
        <w:rPr>
          <w:rFonts w:ascii="David" w:hAnsi="David" w:cs="FrankRuehl" w:hint="cs"/>
          <w:sz w:val="26"/>
          <w:szCs w:val="26"/>
          <w:rtl/>
        </w:rPr>
        <w:t xml:space="preserve">במסגרת הגשת הבקשה למענק ברשות החדשנות, עוברת הבקשה בחינה כלכלית וטכנולוגית ע"י בודקים המועסקים במסגרת מכרז פומבי במיקור חוץ ע"י רשות החדשנות. בהתאם לתנאי הפעלת המסלול, אשר צפוי לחלק למעלה מ-200 מענקים בחודשים הקרובים, צפויה עלייה בעומס העבודה של הבודקים, ועל כן יש להתאים את תקציב התפעול הנדרש לכך בהתאם. </w:t>
      </w:r>
    </w:p>
    <w:p w14:paraId="6C0F062E" w14:textId="77777777" w:rsidR="008F371F" w:rsidRDefault="008F371F" w:rsidP="008F371F">
      <w:pPr>
        <w:contextualSpacing/>
        <w:jc w:val="both"/>
        <w:rPr>
          <w:rFonts w:ascii="David" w:hAnsi="David" w:cs="FrankRuehl"/>
          <w:b/>
          <w:bCs/>
          <w:sz w:val="26"/>
          <w:szCs w:val="26"/>
          <w:u w:val="single"/>
          <w:rtl/>
        </w:rPr>
      </w:pPr>
    </w:p>
    <w:p w14:paraId="102BB32C" w14:textId="77777777" w:rsidR="008F371F" w:rsidRDefault="008F371F" w:rsidP="008F371F">
      <w:pPr>
        <w:contextualSpacing/>
        <w:jc w:val="both"/>
        <w:rPr>
          <w:rFonts w:ascii="David" w:hAnsi="David" w:cs="FrankRuehl"/>
          <w:b/>
          <w:bCs/>
          <w:sz w:val="26"/>
          <w:szCs w:val="26"/>
          <w:rtl/>
        </w:rPr>
      </w:pPr>
    </w:p>
    <w:p w14:paraId="50B94A8A" w14:textId="77777777" w:rsidR="008F371F" w:rsidRDefault="008F371F" w:rsidP="008F371F">
      <w:pPr>
        <w:contextualSpacing/>
        <w:jc w:val="both"/>
        <w:rPr>
          <w:rFonts w:ascii="David" w:hAnsi="David" w:cs="FrankRuehl"/>
          <w:b/>
          <w:bCs/>
          <w:sz w:val="26"/>
          <w:szCs w:val="26"/>
          <w:rtl/>
        </w:rPr>
      </w:pPr>
    </w:p>
    <w:p w14:paraId="176CF744" w14:textId="77855275" w:rsidR="008F371F" w:rsidRPr="000F1918" w:rsidRDefault="008F371F" w:rsidP="008F371F">
      <w:pPr>
        <w:contextualSpacing/>
        <w:jc w:val="both"/>
        <w:rPr>
          <w:rFonts w:ascii="David" w:hAnsi="David" w:cs="FrankRuehl"/>
          <w:b/>
          <w:bCs/>
          <w:sz w:val="26"/>
          <w:szCs w:val="26"/>
        </w:rPr>
      </w:pPr>
      <w:r w:rsidRPr="000F1918">
        <w:rPr>
          <w:rFonts w:ascii="David" w:hAnsi="David" w:cs="FrankRuehl"/>
          <w:b/>
          <w:bCs/>
          <w:sz w:val="26"/>
          <w:szCs w:val="26"/>
          <w:rtl/>
        </w:rPr>
        <w:t xml:space="preserve">תכנית 38-30-02: מענקי מחקר ופיתוח </w:t>
      </w:r>
    </w:p>
    <w:p w14:paraId="4A56BC8D"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b/>
          <w:bCs/>
          <w:sz w:val="26"/>
          <w:szCs w:val="26"/>
          <w:rtl/>
        </w:rPr>
        <w:t xml:space="preserve">תיאור </w:t>
      </w:r>
      <w:proofErr w:type="spellStart"/>
      <w:r w:rsidRPr="00081B2C">
        <w:rPr>
          <w:rFonts w:ascii="David" w:hAnsi="David" w:cs="FrankRuehl"/>
          <w:b/>
          <w:bCs/>
          <w:sz w:val="26"/>
          <w:szCs w:val="26"/>
          <w:rtl/>
        </w:rPr>
        <w:t>התכנית</w:t>
      </w:r>
      <w:proofErr w:type="spellEnd"/>
      <w:r w:rsidRPr="00081B2C">
        <w:rPr>
          <w:rFonts w:ascii="David" w:hAnsi="David" w:cs="FrankRuehl"/>
          <w:sz w:val="26"/>
          <w:szCs w:val="26"/>
          <w:rtl/>
        </w:rPr>
        <w:t xml:space="preserve">: תכנית זו כוללת את עיקר התמיכה של רשות החדשנות במו"פ תעשייתי. מסלולי התמיכה של רשות החדשנות אינם מוגבלים לפי טכנולוגיה, ומאפשרים הגשה של </w:t>
      </w:r>
      <w:proofErr w:type="spellStart"/>
      <w:r w:rsidRPr="00081B2C">
        <w:rPr>
          <w:rFonts w:ascii="David" w:hAnsi="David" w:cs="FrankRuehl"/>
          <w:sz w:val="26"/>
          <w:szCs w:val="26"/>
          <w:rtl/>
        </w:rPr>
        <w:t>פרויקטי</w:t>
      </w:r>
      <w:proofErr w:type="spellEnd"/>
      <w:r w:rsidRPr="00081B2C">
        <w:rPr>
          <w:rFonts w:ascii="David" w:hAnsi="David" w:cs="FrankRuehl"/>
          <w:sz w:val="26"/>
          <w:szCs w:val="26"/>
          <w:rtl/>
        </w:rPr>
        <w:t xml:space="preserve"> מו"פ בכל מגוון התחומים הטכנולוגיים. חברה המעוניינת בביצוע פרויקט מחקר ופיתוח רשאית לפנות בבקשה לתמיכה במו"פ למסלול התמיכה הרלוונטי ברשות החדשנות באמצעות מילוי טופס בקשה מקוון. עם קליטת הבקשה, התוכנית המוגשת עוברת בחינה על ידי הבודקים המקצועיים מטעם הרשות ומובאת לדיון בוועדת התמיכה הרלוונטית אשר מחליטה האם לאשר הבקשה או לדחותה ועל גובה התמיכה </w:t>
      </w:r>
      <w:proofErr w:type="spellStart"/>
      <w:r w:rsidRPr="00081B2C">
        <w:rPr>
          <w:rFonts w:ascii="David" w:hAnsi="David" w:cs="FrankRuehl"/>
          <w:sz w:val="26"/>
          <w:szCs w:val="26"/>
          <w:rtl/>
        </w:rPr>
        <w:t>בתכנית</w:t>
      </w:r>
      <w:proofErr w:type="spellEnd"/>
      <w:r w:rsidRPr="00081B2C">
        <w:rPr>
          <w:rFonts w:ascii="David" w:hAnsi="David" w:cs="FrankRuehl"/>
          <w:sz w:val="26"/>
          <w:szCs w:val="26"/>
          <w:rtl/>
        </w:rPr>
        <w:t xml:space="preserve">. </w:t>
      </w:r>
    </w:p>
    <w:p w14:paraId="7C8C46AF" w14:textId="77777777" w:rsidR="008F371F" w:rsidRPr="00081B2C" w:rsidRDefault="008F371F" w:rsidP="008F371F">
      <w:pPr>
        <w:contextualSpacing/>
        <w:jc w:val="both"/>
        <w:rPr>
          <w:rFonts w:ascii="David" w:hAnsi="David" w:cs="FrankRuehl"/>
          <w:sz w:val="26"/>
          <w:szCs w:val="26"/>
          <w:rtl/>
        </w:rPr>
      </w:pPr>
      <w:proofErr w:type="spellStart"/>
      <w:r w:rsidRPr="00081B2C">
        <w:rPr>
          <w:rFonts w:ascii="David" w:hAnsi="David" w:cs="FrankRuehl"/>
          <w:sz w:val="26"/>
          <w:szCs w:val="26"/>
          <w:rtl/>
        </w:rPr>
        <w:t>תכניות</w:t>
      </w:r>
      <w:proofErr w:type="spellEnd"/>
      <w:r w:rsidRPr="00081B2C">
        <w:rPr>
          <w:rFonts w:ascii="David" w:hAnsi="David" w:cs="FrankRuehl"/>
          <w:sz w:val="26"/>
          <w:szCs w:val="26"/>
          <w:rtl/>
        </w:rPr>
        <w:t xml:space="preserve"> התמיכה של רשות החדשנות מופעלות על ידי שש </w:t>
      </w:r>
      <w:r>
        <w:rPr>
          <w:rFonts w:ascii="David" w:hAnsi="David" w:cs="FrankRuehl" w:hint="cs"/>
          <w:sz w:val="26"/>
          <w:szCs w:val="26"/>
          <w:rtl/>
        </w:rPr>
        <w:t>חטיבות</w:t>
      </w:r>
      <w:r w:rsidRPr="00081B2C">
        <w:rPr>
          <w:rFonts w:ascii="David" w:hAnsi="David" w:cs="FrankRuehl"/>
          <w:sz w:val="26"/>
          <w:szCs w:val="26"/>
          <w:rtl/>
        </w:rPr>
        <w:t>:</w:t>
      </w:r>
    </w:p>
    <w:p w14:paraId="2C80A322"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1 . זירת תשתיות טכנולוגיות </w:t>
      </w:r>
    </w:p>
    <w:p w14:paraId="5DFF170E"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2 . זירת הזנק </w:t>
      </w:r>
    </w:p>
    <w:p w14:paraId="1E246DC6"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3 . זירת חברות בצמיחה </w:t>
      </w:r>
    </w:p>
    <w:p w14:paraId="7693F7CE"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4 . זירת ייצור מתקדם </w:t>
      </w:r>
    </w:p>
    <w:p w14:paraId="2596807D"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sz w:val="26"/>
          <w:szCs w:val="26"/>
          <w:rtl/>
        </w:rPr>
        <w:t xml:space="preserve">5 . זירת חברתי-ציבורי </w:t>
      </w:r>
    </w:p>
    <w:p w14:paraId="19CC0F8F" w14:textId="77777777" w:rsidR="008F371F" w:rsidRPr="00081B2C" w:rsidRDefault="008F371F" w:rsidP="008F371F">
      <w:pPr>
        <w:contextualSpacing/>
        <w:jc w:val="both"/>
        <w:rPr>
          <w:rFonts w:ascii="David" w:hAnsi="David" w:cs="FrankRuehl"/>
          <w:b/>
          <w:bCs/>
          <w:sz w:val="26"/>
          <w:szCs w:val="26"/>
          <w:rtl/>
        </w:rPr>
      </w:pPr>
      <w:r w:rsidRPr="00081B2C">
        <w:rPr>
          <w:rFonts w:ascii="David" w:hAnsi="David" w:cs="FrankRuehl"/>
          <w:sz w:val="26"/>
          <w:szCs w:val="26"/>
          <w:rtl/>
        </w:rPr>
        <w:t>6 . החטיבה הבינלאומית</w:t>
      </w:r>
    </w:p>
    <w:p w14:paraId="447D93C0" w14:textId="77777777" w:rsidR="008F371F" w:rsidRPr="00081B2C" w:rsidRDefault="008F371F" w:rsidP="008F371F">
      <w:pPr>
        <w:contextualSpacing/>
        <w:jc w:val="both"/>
        <w:rPr>
          <w:rFonts w:ascii="David" w:hAnsi="David" w:cs="FrankRuehl"/>
          <w:b/>
          <w:bCs/>
          <w:sz w:val="26"/>
          <w:szCs w:val="26"/>
          <w:rtl/>
        </w:rPr>
      </w:pPr>
    </w:p>
    <w:p w14:paraId="209A0C70" w14:textId="77777777" w:rsidR="008F371F" w:rsidRPr="00081B2C" w:rsidRDefault="008F371F" w:rsidP="008F371F">
      <w:pPr>
        <w:contextualSpacing/>
        <w:jc w:val="both"/>
        <w:rPr>
          <w:rFonts w:ascii="David" w:hAnsi="David" w:cs="FrankRuehl"/>
          <w:sz w:val="26"/>
          <w:szCs w:val="26"/>
          <w:rtl/>
        </w:rPr>
      </w:pPr>
      <w:r w:rsidRPr="00081B2C">
        <w:rPr>
          <w:rFonts w:ascii="David" w:hAnsi="David" w:cs="FrankRuehl"/>
          <w:b/>
          <w:bCs/>
          <w:sz w:val="26"/>
          <w:szCs w:val="26"/>
          <w:rtl/>
        </w:rPr>
        <w:t>מטרת השינוי</w:t>
      </w:r>
      <w:r w:rsidRPr="00081B2C">
        <w:rPr>
          <w:rFonts w:ascii="David" w:hAnsi="David" w:cs="FrankRuehl"/>
          <w:sz w:val="26"/>
          <w:szCs w:val="26"/>
          <w:rtl/>
        </w:rPr>
        <w:t xml:space="preserve">: </w:t>
      </w:r>
    </w:p>
    <w:p w14:paraId="50DBD670" w14:textId="77777777" w:rsidR="008F371F" w:rsidRPr="00081B2C" w:rsidRDefault="008F371F" w:rsidP="008F371F">
      <w:pPr>
        <w:contextualSpacing/>
        <w:jc w:val="both"/>
        <w:rPr>
          <w:rFonts w:ascii="David" w:hAnsi="David" w:cs="FrankRuehl"/>
          <w:b/>
          <w:bCs/>
          <w:sz w:val="26"/>
          <w:szCs w:val="26"/>
          <w:rtl/>
        </w:rPr>
      </w:pPr>
      <w:r w:rsidRPr="00081B2C">
        <w:rPr>
          <w:rFonts w:ascii="David" w:hAnsi="David" w:cs="FrankRuehl"/>
          <w:sz w:val="26"/>
          <w:szCs w:val="26"/>
          <w:rtl/>
        </w:rPr>
        <w:t xml:space="preserve">הבקשה התקציבית נועדה לתקצב סך של </w:t>
      </w:r>
      <w:r w:rsidRPr="00081B2C">
        <w:rPr>
          <w:rFonts w:ascii="David" w:hAnsi="David" w:cs="FrankRuehl" w:hint="cs"/>
          <w:sz w:val="26"/>
          <w:szCs w:val="26"/>
          <w:rtl/>
        </w:rPr>
        <w:t>1</w:t>
      </w:r>
      <w:r>
        <w:rPr>
          <w:rFonts w:ascii="David" w:hAnsi="David" w:cs="FrankRuehl" w:hint="cs"/>
          <w:sz w:val="26"/>
          <w:szCs w:val="26"/>
          <w:rtl/>
        </w:rPr>
        <w:t>52</w:t>
      </w:r>
      <w:r w:rsidRPr="00081B2C">
        <w:rPr>
          <w:rFonts w:ascii="David" w:hAnsi="David" w:cs="FrankRuehl" w:hint="cs"/>
          <w:sz w:val="26"/>
          <w:szCs w:val="26"/>
          <w:rtl/>
        </w:rPr>
        <w:t>,000</w:t>
      </w:r>
      <w:r w:rsidRPr="00081B2C">
        <w:rPr>
          <w:rFonts w:ascii="David" w:hAnsi="David" w:cs="FrankRuehl"/>
          <w:sz w:val="26"/>
          <w:szCs w:val="26"/>
          <w:rtl/>
        </w:rPr>
        <w:t xml:space="preserve"> אלפי ש"ח בהוצאה, וסך של </w:t>
      </w:r>
      <w:r w:rsidRPr="00081B2C">
        <w:rPr>
          <w:rFonts w:ascii="David" w:hAnsi="David" w:cs="FrankRuehl" w:hint="cs"/>
          <w:sz w:val="26"/>
          <w:szCs w:val="26"/>
          <w:rtl/>
        </w:rPr>
        <w:t>1,595,000</w:t>
      </w:r>
      <w:r w:rsidRPr="00081B2C">
        <w:rPr>
          <w:rFonts w:ascii="David" w:hAnsi="David" w:cs="FrankRuehl"/>
          <w:sz w:val="26"/>
          <w:szCs w:val="26"/>
          <w:rtl/>
        </w:rPr>
        <w:t xml:space="preserve"> אלפי ש"ח בהרשאה להתחייב, לשם הפעלת מסלולי רשות החדשנות השונים.</w:t>
      </w:r>
      <w:r w:rsidRPr="00081B2C">
        <w:rPr>
          <w:rFonts w:ascii="David" w:hAnsi="David" w:cs="FrankRuehl" w:hint="cs"/>
          <w:sz w:val="26"/>
          <w:szCs w:val="26"/>
          <w:rtl/>
        </w:rPr>
        <w:t xml:space="preserve"> תקציב זה משמש ראשית לצורך הפעלת המסלול לתמיכה בחברות הייטק צעירות שהאופק הפיננסי שלהן התקצר משמעותית עקב שינוי שערי החליפין, בהתאם להחלטת הממשלה מס' 4385 מיום 15.07.26. שנית, במסגרת פעילות רשות החדשנות מופעלים בצורה רציפה מסלולים שונים, ובהם מסלולים לתמיכה בהקמת תשתיות ולסיוע להשלמת סבבי גיוס בחברות הזנק, אשר מסייעים לפעילותה של תעשיית ההייטק בישראל. להלן פירוט אודות המסלולים:</w:t>
      </w:r>
    </w:p>
    <w:p w14:paraId="1CBE77E8" w14:textId="77777777" w:rsidR="008F371F" w:rsidRPr="00081B2C" w:rsidRDefault="008F371F" w:rsidP="008F371F">
      <w:pPr>
        <w:pStyle w:val="aa"/>
        <w:numPr>
          <w:ilvl w:val="0"/>
          <w:numId w:val="1"/>
        </w:numPr>
        <w:spacing w:before="0" w:after="0" w:line="240" w:lineRule="auto"/>
        <w:rPr>
          <w:rFonts w:ascii="David" w:hAnsi="David" w:cs="FrankRuehl"/>
          <w:sz w:val="26"/>
          <w:szCs w:val="26"/>
        </w:rPr>
      </w:pPr>
      <w:r w:rsidRPr="00081B2C">
        <w:rPr>
          <w:rFonts w:ascii="David" w:hAnsi="David" w:cs="FrankRuehl"/>
          <w:sz w:val="26"/>
          <w:szCs w:val="26"/>
          <w:rtl/>
        </w:rPr>
        <w:t>במסגרת המסלול המהיר ל</w:t>
      </w:r>
      <w:r w:rsidRPr="00081B2C">
        <w:rPr>
          <w:rFonts w:ascii="David" w:hAnsi="David" w:cs="FrankRuehl" w:hint="cs"/>
          <w:sz w:val="26"/>
          <w:szCs w:val="26"/>
          <w:rtl/>
        </w:rPr>
        <w:t>תמיכה בחברות עקב התקצרות האופק הפיננסי</w:t>
      </w:r>
      <w:r w:rsidRPr="00081B2C">
        <w:rPr>
          <w:rFonts w:ascii="David" w:hAnsi="David" w:cs="FrankRuehl"/>
          <w:sz w:val="26"/>
          <w:szCs w:val="26"/>
          <w:rtl/>
        </w:rPr>
        <w:t>, רשאיות חברות הייטק ישראליות, העונות לתנאי הסף של הקול הקורא שפרסמה רשות החדשנות, להגיש את מועמדותם למענק מרשות החדשנות. תנאי הסף תוכננו על מנת למקד את התמיכה בחברות הייטק ישראליות בעלות אופק שרידות מוגבל של עד שישה חודשים, שפעילותן ויכולת גיוס הכספים שלהן נפגעה משמעותית עקב ה</w:t>
      </w:r>
      <w:r w:rsidRPr="00081B2C">
        <w:rPr>
          <w:rFonts w:ascii="David" w:hAnsi="David" w:cs="FrankRuehl" w:hint="cs"/>
          <w:sz w:val="26"/>
          <w:szCs w:val="26"/>
          <w:rtl/>
        </w:rPr>
        <w:t>ייסוף החד בשער השקל</w:t>
      </w:r>
      <w:r w:rsidRPr="00081B2C">
        <w:rPr>
          <w:rFonts w:ascii="David" w:hAnsi="David" w:cs="FrankRuehl"/>
          <w:sz w:val="26"/>
          <w:szCs w:val="26"/>
          <w:rtl/>
        </w:rPr>
        <w:t>.</w:t>
      </w:r>
      <w:bookmarkEnd w:id="9"/>
    </w:p>
    <w:p w14:paraId="520AC45D" w14:textId="77777777" w:rsidR="008F371F" w:rsidRPr="00081B2C" w:rsidRDefault="008F371F" w:rsidP="008F371F">
      <w:pPr>
        <w:pStyle w:val="aa"/>
        <w:numPr>
          <w:ilvl w:val="0"/>
          <w:numId w:val="1"/>
        </w:numPr>
        <w:spacing w:before="0" w:after="0" w:line="240" w:lineRule="auto"/>
        <w:rPr>
          <w:rFonts w:ascii="David" w:hAnsi="David" w:cs="FrankRuehl"/>
          <w:sz w:val="26"/>
          <w:szCs w:val="26"/>
        </w:rPr>
      </w:pPr>
      <w:r w:rsidRPr="00081B2C">
        <w:rPr>
          <w:rFonts w:ascii="David" w:hAnsi="David" w:cs="FrankRuehl" w:hint="cs"/>
          <w:sz w:val="26"/>
          <w:szCs w:val="26"/>
          <w:rtl/>
        </w:rPr>
        <w:t xml:space="preserve">תמיכה בהקמת תשתית למחשוב ואינטגרציה קוונטית, ובהקמת תשתית בתחומי השבבים </w:t>
      </w:r>
      <w:r w:rsidRPr="00081B2C">
        <w:rPr>
          <w:rFonts w:ascii="David" w:hAnsi="David" w:cs="FrankRuehl"/>
          <w:sz w:val="26"/>
          <w:szCs w:val="26"/>
          <w:rtl/>
        </w:rPr>
        <w:t>–</w:t>
      </w:r>
      <w:r w:rsidRPr="00081B2C">
        <w:rPr>
          <w:rFonts w:ascii="David" w:hAnsi="David" w:cs="FrankRuehl" w:hint="cs"/>
          <w:sz w:val="26"/>
          <w:szCs w:val="26"/>
          <w:rtl/>
        </w:rPr>
        <w:t xml:space="preserve"> במסגרת מסלולי התשתיות של רשות החדשנות, עתידות להיתמך הקמת תשתיות לרכיבי מחשוב קוונטי שונים, וכן לתחום השבבים, אשר מהוות חלק משרשרת האספקה והפיתוח של טכנולוגיות אלו. הרשות תומכת בתקציב ההקמה, ובכך מסייעת להקמתם של כל אחד ממתחמי התשתית האמורים ע"י הזוכה, אשר מספק שירותים לחברות ההייטק השונות בתחום, שלהן צורך במתחם בו מרוכזות כלל התשתיות האמורות.</w:t>
      </w:r>
    </w:p>
    <w:p w14:paraId="021C0FC3" w14:textId="77777777" w:rsidR="008F371F" w:rsidRPr="00081B2C" w:rsidRDefault="008F371F" w:rsidP="008F371F">
      <w:pPr>
        <w:pStyle w:val="aa"/>
        <w:numPr>
          <w:ilvl w:val="0"/>
          <w:numId w:val="1"/>
        </w:numPr>
        <w:spacing w:before="0" w:after="0" w:line="240" w:lineRule="auto"/>
        <w:rPr>
          <w:rFonts w:ascii="David" w:hAnsi="David" w:cs="FrankRuehl"/>
          <w:sz w:val="26"/>
          <w:szCs w:val="26"/>
        </w:rPr>
      </w:pPr>
      <w:r w:rsidRPr="00081B2C">
        <w:rPr>
          <w:rFonts w:ascii="David" w:hAnsi="David" w:cs="FrankRuehl" w:hint="cs"/>
          <w:sz w:val="26"/>
          <w:szCs w:val="26"/>
          <w:rtl/>
        </w:rPr>
        <w:t xml:space="preserve">במסגרת 'קרן </w:t>
      </w:r>
      <w:proofErr w:type="spellStart"/>
      <w:r w:rsidRPr="00081B2C">
        <w:rPr>
          <w:rFonts w:ascii="David" w:hAnsi="David" w:cs="FrankRuehl" w:hint="cs"/>
          <w:sz w:val="26"/>
          <w:szCs w:val="26"/>
          <w:rtl/>
        </w:rPr>
        <w:t>ההזנק</w:t>
      </w:r>
      <w:proofErr w:type="spellEnd"/>
      <w:r w:rsidRPr="00081B2C">
        <w:rPr>
          <w:rFonts w:ascii="David" w:hAnsi="David" w:cs="FrankRuehl" w:hint="cs"/>
          <w:sz w:val="26"/>
          <w:szCs w:val="26"/>
          <w:rtl/>
        </w:rPr>
        <w:t xml:space="preserve">', חברות הייטק ישראליות רשאיות להגיש בקשה לרשות החדשנות למענק, בגודל מקסימלי של עד 15 </w:t>
      </w:r>
      <w:proofErr w:type="spellStart"/>
      <w:r w:rsidRPr="00081B2C">
        <w:rPr>
          <w:rFonts w:ascii="David" w:hAnsi="David" w:cs="FrankRuehl" w:hint="cs"/>
          <w:sz w:val="26"/>
          <w:szCs w:val="26"/>
          <w:rtl/>
        </w:rPr>
        <w:t>מליון</w:t>
      </w:r>
      <w:proofErr w:type="spellEnd"/>
      <w:r w:rsidRPr="00081B2C">
        <w:rPr>
          <w:rFonts w:ascii="David" w:hAnsi="David" w:cs="FrankRuehl" w:hint="cs"/>
          <w:sz w:val="26"/>
          <w:szCs w:val="26"/>
          <w:rtl/>
        </w:rPr>
        <w:t xml:space="preserve"> ש"ח, אשר מוענק כנגד גיוסי הון בשוק הפרטי של החברות, ותוך התמקדות </w:t>
      </w:r>
      <w:proofErr w:type="spellStart"/>
      <w:r w:rsidRPr="00081B2C">
        <w:rPr>
          <w:rFonts w:ascii="David" w:hAnsi="David" w:cs="FrankRuehl" w:hint="cs"/>
          <w:sz w:val="26"/>
          <w:szCs w:val="26"/>
          <w:rtl/>
        </w:rPr>
        <w:t>בסקטורי</w:t>
      </w:r>
      <w:proofErr w:type="spellEnd"/>
      <w:r w:rsidRPr="00081B2C">
        <w:rPr>
          <w:rFonts w:ascii="David" w:hAnsi="David" w:cs="FrankRuehl" w:hint="cs"/>
          <w:sz w:val="26"/>
          <w:szCs w:val="26"/>
          <w:rtl/>
        </w:rPr>
        <w:t xml:space="preserve"> הייטק בהם זמינות ההון לחברות הישראליות נמוכה. המענק מוענק בהיקפי </w:t>
      </w:r>
      <w:proofErr w:type="spellStart"/>
      <w:r w:rsidRPr="00081B2C">
        <w:rPr>
          <w:rFonts w:ascii="David" w:hAnsi="David" w:cs="FrankRuehl" w:hint="cs"/>
          <w:sz w:val="26"/>
          <w:szCs w:val="26"/>
          <w:rtl/>
        </w:rPr>
        <w:t>מאצ'ינג</w:t>
      </w:r>
      <w:proofErr w:type="spellEnd"/>
      <w:r w:rsidRPr="00081B2C">
        <w:rPr>
          <w:rFonts w:ascii="David" w:hAnsi="David" w:cs="FrankRuehl" w:hint="cs"/>
          <w:sz w:val="26"/>
          <w:szCs w:val="26"/>
          <w:rtl/>
        </w:rPr>
        <w:t xml:space="preserve"> בשיעורים שקטנים ככל וסבב הגיוס הוא מאוחר יותר, ועבור חברות המתמקדות בתחומי הטכנולוגיה העמוקה. </w:t>
      </w:r>
    </w:p>
    <w:p w14:paraId="09955581" w14:textId="77777777" w:rsidR="008F371F" w:rsidRPr="00081B2C" w:rsidRDefault="008F371F" w:rsidP="008F371F">
      <w:pPr>
        <w:contextualSpacing/>
        <w:jc w:val="both"/>
        <w:rPr>
          <w:rFonts w:ascii="Narkisim" w:hAnsi="Narkisim" w:cs="FrankRuehl"/>
          <w:sz w:val="26"/>
          <w:szCs w:val="26"/>
          <w:rtl/>
        </w:rPr>
      </w:pPr>
    </w:p>
    <w:p w14:paraId="40FDE90B" w14:textId="77777777" w:rsidR="008F371F" w:rsidRDefault="008F371F" w:rsidP="008F371F">
      <w:pPr>
        <w:contextualSpacing/>
        <w:jc w:val="both"/>
        <w:rPr>
          <w:rFonts w:ascii="Narkisim" w:hAnsi="Narkisim" w:cs="FrankRuehl"/>
          <w:sz w:val="26"/>
          <w:szCs w:val="26"/>
          <w:rtl/>
        </w:rPr>
      </w:pPr>
      <w:r w:rsidRPr="000165DB">
        <w:rPr>
          <w:rFonts w:ascii="Narkisim" w:hAnsi="Narkisim" w:cs="FrankRuehl"/>
          <w:b/>
          <w:bCs/>
          <w:sz w:val="26"/>
          <w:szCs w:val="26"/>
          <w:rtl/>
        </w:rPr>
        <w:t xml:space="preserve">השפעה על </w:t>
      </w:r>
      <w:proofErr w:type="spellStart"/>
      <w:r w:rsidRPr="000165DB">
        <w:rPr>
          <w:rFonts w:ascii="Narkisim" w:hAnsi="Narkisim" w:cs="FrankRuehl"/>
          <w:b/>
          <w:bCs/>
          <w:sz w:val="26"/>
          <w:szCs w:val="26"/>
          <w:rtl/>
        </w:rPr>
        <w:t>כח</w:t>
      </w:r>
      <w:proofErr w:type="spellEnd"/>
      <w:r w:rsidRPr="000165DB">
        <w:rPr>
          <w:rFonts w:ascii="Narkisim" w:hAnsi="Narkisim" w:cs="FrankRuehl"/>
          <w:b/>
          <w:bCs/>
          <w:sz w:val="26"/>
          <w:szCs w:val="26"/>
          <w:rtl/>
        </w:rPr>
        <w:t xml:space="preserve"> אדם:</w:t>
      </w:r>
      <w:r>
        <w:rPr>
          <w:rFonts w:ascii="Narkisim" w:hAnsi="Narkisim" w:cs="FrankRuehl" w:hint="cs"/>
          <w:sz w:val="26"/>
          <w:szCs w:val="26"/>
          <w:rtl/>
        </w:rPr>
        <w:t xml:space="preserve"> אין.</w:t>
      </w:r>
    </w:p>
    <w:p w14:paraId="67E217C9" w14:textId="77777777" w:rsidR="008F371F" w:rsidRDefault="008F371F" w:rsidP="008F371F">
      <w:pPr>
        <w:contextualSpacing/>
        <w:rPr>
          <w:rFonts w:ascii="Narkisim" w:hAnsi="Narkisim" w:cs="FrankRuehl"/>
          <w:sz w:val="26"/>
          <w:szCs w:val="26"/>
          <w:rtl/>
        </w:rPr>
      </w:pPr>
    </w:p>
    <w:p w14:paraId="67B771E7" w14:textId="77777777" w:rsidR="008F371F" w:rsidRDefault="008F371F" w:rsidP="008F371F">
      <w:pPr>
        <w:contextualSpacing/>
        <w:rPr>
          <w:rFonts w:ascii="Narkisim" w:hAnsi="Narkisim" w:cs="FrankRuehl"/>
          <w:sz w:val="26"/>
          <w:szCs w:val="26"/>
          <w:rtl/>
        </w:rPr>
      </w:pPr>
    </w:p>
    <w:p w14:paraId="676E01FB" w14:textId="6F6D69AB" w:rsidR="00436E4E" w:rsidRDefault="00436E4E">
      <w:pPr>
        <w:tabs>
          <w:tab w:val="center" w:pos="6867"/>
        </w:tabs>
        <w:rPr>
          <w:rFonts w:cs="FrankRuehl"/>
          <w:sz w:val="26"/>
          <w:szCs w:val="26"/>
          <w:rtl/>
        </w:rPr>
      </w:pPr>
    </w:p>
    <w:p w14:paraId="537BC7A5" w14:textId="77777777" w:rsidR="008F371F" w:rsidRPr="002E1D22" w:rsidRDefault="008F371F">
      <w:pPr>
        <w:tabs>
          <w:tab w:val="center" w:pos="6867"/>
        </w:tabs>
        <w:rPr>
          <w:rFonts w:cs="FrankRuehl"/>
          <w:sz w:val="26"/>
          <w:szCs w:val="26"/>
          <w:rtl/>
        </w:rPr>
      </w:pPr>
    </w:p>
    <w:p w14:paraId="024EECAE"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28DA714E" w14:textId="77777777" w:rsidR="00436E4E" w:rsidRDefault="00C13197">
      <w:pPr>
        <w:tabs>
          <w:tab w:val="center" w:pos="6867"/>
        </w:tabs>
        <w:rPr>
          <w:rFonts w:cs="FrankRuehl"/>
          <w:sz w:val="26"/>
          <w:szCs w:val="26"/>
          <w:rtl/>
        </w:rPr>
      </w:pPr>
      <w:r>
        <w:rPr>
          <w:rFonts w:cs="FrankRuehl"/>
          <w:sz w:val="26"/>
          <w:szCs w:val="26"/>
          <w:rtl/>
        </w:rPr>
        <w:tab/>
      </w:r>
    </w:p>
    <w:p w14:paraId="5F39899D"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3D61396E"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5E5124B"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4FFB9F36"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317BDE7" w14:textId="77777777" w:rsidR="00436E4E" w:rsidRPr="002E1D22" w:rsidRDefault="00436E4E">
      <w:pPr>
        <w:rPr>
          <w:rFonts w:cs="FrankRuehl"/>
          <w:sz w:val="26"/>
          <w:szCs w:val="26"/>
          <w:rtl/>
        </w:rPr>
      </w:pPr>
      <w:r w:rsidRPr="002E1D22">
        <w:rPr>
          <w:rFonts w:cs="FrankRuehl"/>
          <w:sz w:val="26"/>
          <w:szCs w:val="26"/>
          <w:rtl/>
        </w:rPr>
        <w:lastRenderedPageBreak/>
        <w:t>העתק:</w:t>
      </w:r>
    </w:p>
    <w:p w14:paraId="40DCEDE2" w14:textId="77777777" w:rsidR="00436E4E" w:rsidRPr="002E1D22" w:rsidRDefault="00436E4E">
      <w:pPr>
        <w:rPr>
          <w:rFonts w:cs="FrankRuehl"/>
          <w:sz w:val="26"/>
          <w:szCs w:val="26"/>
          <w:rtl/>
        </w:rPr>
      </w:pPr>
      <w:r w:rsidRPr="002E1D22">
        <w:rPr>
          <w:rFonts w:cs="FrankRuehl"/>
          <w:sz w:val="26"/>
          <w:szCs w:val="26"/>
          <w:rtl/>
        </w:rPr>
        <w:t>החשב הכללי</w:t>
      </w:r>
    </w:p>
    <w:p w14:paraId="769EBBF6" w14:textId="77777777" w:rsidR="00436E4E" w:rsidRPr="002E1D22" w:rsidRDefault="00436E4E">
      <w:pPr>
        <w:rPr>
          <w:rFonts w:cs="FrankRuehl"/>
          <w:sz w:val="26"/>
          <w:szCs w:val="26"/>
          <w:rtl/>
        </w:rPr>
      </w:pPr>
      <w:r w:rsidRPr="002E1D22">
        <w:rPr>
          <w:rFonts w:cs="FrankRuehl"/>
          <w:sz w:val="26"/>
          <w:szCs w:val="26"/>
          <w:rtl/>
        </w:rPr>
        <w:t>מבקר המדינה (2)</w:t>
      </w:r>
    </w:p>
    <w:p w14:paraId="5E6DF8C9" w14:textId="77777777" w:rsidR="005A22CA" w:rsidRDefault="005A22CA">
      <w:pPr>
        <w:rPr>
          <w:rFonts w:cs="FrankRuehl"/>
          <w:sz w:val="26"/>
          <w:szCs w:val="26"/>
          <w:rtl/>
        </w:rPr>
      </w:pPr>
      <w:bookmarkStart w:id="11" w:name="TAKZIV22"/>
      <w:r>
        <w:rPr>
          <w:rFonts w:cs="FrankRuehl"/>
          <w:sz w:val="26"/>
          <w:szCs w:val="26"/>
          <w:rtl/>
        </w:rPr>
        <w:t>חשב החשב הכללי</w:t>
      </w:r>
    </w:p>
    <w:p w14:paraId="429DBA70" w14:textId="3BEE13C8" w:rsidR="00436E4E" w:rsidRPr="002E1D22" w:rsidRDefault="005A22CA">
      <w:pPr>
        <w:rPr>
          <w:rFonts w:cs="FrankRuehl"/>
          <w:sz w:val="26"/>
          <w:szCs w:val="26"/>
          <w:rtl/>
        </w:rPr>
      </w:pPr>
      <w:r>
        <w:rPr>
          <w:rFonts w:cs="FrankRuehl"/>
          <w:sz w:val="26"/>
          <w:szCs w:val="26"/>
          <w:rtl/>
        </w:rPr>
        <w:t>חשב רשות חדשנות טכנולוגית</w:t>
      </w:r>
      <w:bookmarkEnd w:id="11"/>
    </w:p>
    <w:p w14:paraId="38062E15" w14:textId="77777777"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5A22CA">
        <w:rPr>
          <w:rFonts w:cs="FrankRuehl"/>
          <w:sz w:val="26"/>
          <w:szCs w:val="26"/>
          <w:rtl/>
        </w:rPr>
        <w:t>כלכלה ותעשייה</w:t>
      </w:r>
      <w:bookmarkEnd w:id="12"/>
    </w:p>
    <w:p w14:paraId="6022BBD6" w14:textId="77777777"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5A22CA">
        <w:rPr>
          <w:rFonts w:cs="FrankRuehl"/>
          <w:sz w:val="26"/>
          <w:szCs w:val="26"/>
          <w:rtl/>
        </w:rPr>
        <w:t>כלכלה ותעשייה</w:t>
      </w:r>
      <w:bookmarkEnd w:id="13"/>
    </w:p>
    <w:p w14:paraId="2F8CE346" w14:textId="77777777" w:rsidR="00436E4E" w:rsidRPr="002E1D22" w:rsidRDefault="00436E4E">
      <w:pPr>
        <w:rPr>
          <w:rFonts w:cs="FrankRuehl"/>
          <w:sz w:val="26"/>
          <w:szCs w:val="26"/>
          <w:rtl/>
        </w:rPr>
      </w:pPr>
      <w:bookmarkStart w:id="14" w:name="TAKZIV23"/>
      <w:bookmarkEnd w:id="14"/>
    </w:p>
    <w:p w14:paraId="4AF7C8CC" w14:textId="77777777" w:rsidR="00436E4E" w:rsidRPr="002E1D22" w:rsidRDefault="00436E4E">
      <w:pPr>
        <w:rPr>
          <w:rFonts w:cs="FrankRuehl"/>
          <w:sz w:val="26"/>
          <w:szCs w:val="26"/>
          <w:rtl/>
        </w:rPr>
      </w:pPr>
    </w:p>
    <w:tbl>
      <w:tblPr>
        <w:tblW w:w="10128" w:type="dxa"/>
        <w:jc w:val="center"/>
        <w:tblLook w:val="04A0" w:firstRow="1" w:lastRow="0" w:firstColumn="1" w:lastColumn="0" w:noHBand="0" w:noVBand="1"/>
      </w:tblPr>
      <w:tblGrid>
        <w:gridCol w:w="972"/>
        <w:gridCol w:w="81"/>
        <w:gridCol w:w="983"/>
        <w:gridCol w:w="331"/>
        <w:gridCol w:w="904"/>
        <w:gridCol w:w="79"/>
        <w:gridCol w:w="904"/>
        <w:gridCol w:w="82"/>
        <w:gridCol w:w="904"/>
        <w:gridCol w:w="79"/>
        <w:gridCol w:w="904"/>
        <w:gridCol w:w="82"/>
        <w:gridCol w:w="904"/>
        <w:gridCol w:w="79"/>
        <w:gridCol w:w="904"/>
        <w:gridCol w:w="89"/>
        <w:gridCol w:w="852"/>
        <w:gridCol w:w="131"/>
        <w:gridCol w:w="864"/>
      </w:tblGrid>
      <w:tr w:rsidR="008F371F" w:rsidRPr="00F03B35" w14:paraId="4C2A1F81" w14:textId="77777777" w:rsidTr="008F371F">
        <w:trPr>
          <w:gridAfter w:val="2"/>
          <w:wAfter w:w="995" w:type="dxa"/>
          <w:trHeight w:val="298"/>
          <w:jc w:val="center"/>
        </w:trPr>
        <w:tc>
          <w:tcPr>
            <w:tcW w:w="8281" w:type="dxa"/>
            <w:gridSpan w:val="16"/>
            <w:tcBorders>
              <w:top w:val="nil"/>
              <w:left w:val="nil"/>
              <w:bottom w:val="nil"/>
              <w:right w:val="nil"/>
            </w:tcBorders>
            <w:shd w:val="clear" w:color="auto" w:fill="auto"/>
            <w:vAlign w:val="center"/>
            <w:hideMark/>
          </w:tcPr>
          <w:p w14:paraId="10BEB59B" w14:textId="77777777" w:rsidR="008F371F" w:rsidRPr="00F03B35" w:rsidRDefault="008F371F" w:rsidP="00B93DB1">
            <w:pPr>
              <w:contextualSpacing/>
              <w:jc w:val="center"/>
              <w:rPr>
                <w:rFonts w:ascii="Calibri" w:hAnsi="Calibri" w:cs="Calibri"/>
                <w:b/>
                <w:bCs/>
                <w:color w:val="000000"/>
                <w:szCs w:val="20"/>
              </w:rPr>
            </w:pPr>
            <w:bookmarkStart w:id="15" w:name="TAKZIV25"/>
            <w:bookmarkEnd w:id="15"/>
            <w:r w:rsidRPr="00F03B35">
              <w:rPr>
                <w:rFonts w:ascii="Calibri" w:hAnsi="Calibri" w:cs="Calibri"/>
                <w:b/>
                <w:bCs/>
                <w:color w:val="000000"/>
                <w:szCs w:val="20"/>
                <w:rtl/>
              </w:rPr>
              <w:t>היסטוריה תקציבית של הפנייה - הוצאה נטו</w:t>
            </w:r>
          </w:p>
        </w:tc>
        <w:tc>
          <w:tcPr>
            <w:tcW w:w="852" w:type="dxa"/>
            <w:tcBorders>
              <w:top w:val="nil"/>
              <w:left w:val="nil"/>
              <w:bottom w:val="nil"/>
              <w:right w:val="nil"/>
            </w:tcBorders>
            <w:shd w:val="clear" w:color="auto" w:fill="auto"/>
            <w:noWrap/>
            <w:vAlign w:val="bottom"/>
            <w:hideMark/>
          </w:tcPr>
          <w:p w14:paraId="7F49C57C" w14:textId="77777777" w:rsidR="008F371F" w:rsidRPr="00F03B35" w:rsidRDefault="008F371F" w:rsidP="00B93DB1">
            <w:pPr>
              <w:contextualSpacing/>
              <w:jc w:val="center"/>
              <w:rPr>
                <w:rFonts w:ascii="Calibri" w:hAnsi="Calibri" w:cs="Calibri"/>
                <w:b/>
                <w:bCs/>
                <w:color w:val="000000"/>
                <w:szCs w:val="20"/>
                <w:rtl/>
              </w:rPr>
            </w:pPr>
          </w:p>
        </w:tc>
      </w:tr>
      <w:tr w:rsidR="008F371F" w:rsidRPr="00F03B35" w14:paraId="6E0A3D02" w14:textId="77777777" w:rsidTr="008F371F">
        <w:trPr>
          <w:gridAfter w:val="2"/>
          <w:wAfter w:w="995" w:type="dxa"/>
          <w:trHeight w:val="298"/>
          <w:jc w:val="center"/>
        </w:trPr>
        <w:tc>
          <w:tcPr>
            <w:tcW w:w="1053" w:type="dxa"/>
            <w:gridSpan w:val="2"/>
            <w:tcBorders>
              <w:top w:val="nil"/>
              <w:left w:val="nil"/>
              <w:bottom w:val="nil"/>
              <w:right w:val="nil"/>
            </w:tcBorders>
            <w:shd w:val="clear" w:color="auto" w:fill="auto"/>
            <w:vAlign w:val="center"/>
            <w:hideMark/>
          </w:tcPr>
          <w:p w14:paraId="070782A4" w14:textId="77777777" w:rsidR="008F371F" w:rsidRPr="00F03B35" w:rsidRDefault="008F371F" w:rsidP="00B93DB1">
            <w:pPr>
              <w:bidi w:val="0"/>
              <w:contextualSpacing/>
              <w:rPr>
                <w:rFonts w:cs="Times New Roman"/>
                <w:szCs w:val="20"/>
              </w:rPr>
            </w:pPr>
          </w:p>
        </w:tc>
        <w:tc>
          <w:tcPr>
            <w:tcW w:w="1314" w:type="dxa"/>
            <w:gridSpan w:val="2"/>
            <w:tcBorders>
              <w:top w:val="nil"/>
              <w:left w:val="nil"/>
              <w:bottom w:val="nil"/>
              <w:right w:val="nil"/>
            </w:tcBorders>
            <w:shd w:val="clear" w:color="auto" w:fill="auto"/>
            <w:noWrap/>
            <w:vAlign w:val="bottom"/>
            <w:hideMark/>
          </w:tcPr>
          <w:p w14:paraId="462B7AD6" w14:textId="77777777" w:rsidR="008F371F" w:rsidRPr="00F03B35" w:rsidRDefault="008F371F" w:rsidP="00B93DB1">
            <w:pPr>
              <w:bidi w:val="0"/>
              <w:ind w:firstLineChars="300" w:firstLine="600"/>
              <w:contextualSpacing/>
              <w:jc w:val="center"/>
              <w:rPr>
                <w:rFonts w:cs="Times New Roman"/>
                <w:szCs w:val="20"/>
              </w:rPr>
            </w:pPr>
          </w:p>
        </w:tc>
        <w:tc>
          <w:tcPr>
            <w:tcW w:w="904" w:type="dxa"/>
            <w:tcBorders>
              <w:top w:val="nil"/>
              <w:left w:val="nil"/>
              <w:bottom w:val="nil"/>
              <w:right w:val="nil"/>
            </w:tcBorders>
            <w:shd w:val="clear" w:color="auto" w:fill="auto"/>
            <w:noWrap/>
            <w:vAlign w:val="bottom"/>
            <w:hideMark/>
          </w:tcPr>
          <w:p w14:paraId="0D14327F" w14:textId="77777777" w:rsidR="008F371F" w:rsidRPr="00F03B35" w:rsidRDefault="008F371F" w:rsidP="00B93DB1">
            <w:pPr>
              <w:bidi w:val="0"/>
              <w:contextualSpacing/>
              <w:rPr>
                <w:rFonts w:cs="Times New Roman"/>
                <w:szCs w:val="20"/>
              </w:rPr>
            </w:pPr>
          </w:p>
        </w:tc>
        <w:tc>
          <w:tcPr>
            <w:tcW w:w="1065" w:type="dxa"/>
            <w:gridSpan w:val="3"/>
            <w:tcBorders>
              <w:top w:val="nil"/>
              <w:left w:val="nil"/>
              <w:bottom w:val="nil"/>
              <w:right w:val="nil"/>
            </w:tcBorders>
            <w:shd w:val="clear" w:color="auto" w:fill="auto"/>
            <w:noWrap/>
            <w:vAlign w:val="bottom"/>
            <w:hideMark/>
          </w:tcPr>
          <w:p w14:paraId="5AE1E1F1"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26A5B00C" w14:textId="77777777" w:rsidR="008F371F" w:rsidRPr="00F03B35" w:rsidRDefault="008F371F" w:rsidP="00B93DB1">
            <w:pPr>
              <w:bidi w:val="0"/>
              <w:contextualSpacing/>
              <w:rPr>
                <w:rFonts w:cs="Times New Roman"/>
                <w:szCs w:val="20"/>
              </w:rPr>
            </w:pPr>
          </w:p>
        </w:tc>
        <w:tc>
          <w:tcPr>
            <w:tcW w:w="1065" w:type="dxa"/>
            <w:gridSpan w:val="3"/>
            <w:tcBorders>
              <w:top w:val="nil"/>
              <w:left w:val="nil"/>
              <w:bottom w:val="nil"/>
              <w:right w:val="nil"/>
            </w:tcBorders>
            <w:shd w:val="clear" w:color="auto" w:fill="auto"/>
            <w:noWrap/>
            <w:vAlign w:val="bottom"/>
            <w:hideMark/>
          </w:tcPr>
          <w:p w14:paraId="3D5F7980"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12C505BC" w14:textId="77777777" w:rsidR="008F371F" w:rsidRPr="00F03B35" w:rsidRDefault="008F371F" w:rsidP="00B93DB1">
            <w:pPr>
              <w:bidi w:val="0"/>
              <w:contextualSpacing/>
              <w:rPr>
                <w:rFonts w:cs="Times New Roman"/>
                <w:szCs w:val="20"/>
              </w:rPr>
            </w:pPr>
          </w:p>
        </w:tc>
        <w:tc>
          <w:tcPr>
            <w:tcW w:w="1072" w:type="dxa"/>
            <w:gridSpan w:val="3"/>
            <w:tcBorders>
              <w:top w:val="nil"/>
              <w:left w:val="nil"/>
              <w:bottom w:val="nil"/>
              <w:right w:val="nil"/>
            </w:tcBorders>
            <w:shd w:val="clear" w:color="auto" w:fill="auto"/>
            <w:noWrap/>
            <w:vAlign w:val="bottom"/>
            <w:hideMark/>
          </w:tcPr>
          <w:p w14:paraId="2B79B5CB" w14:textId="77777777" w:rsidR="008F371F" w:rsidRPr="00F03B35" w:rsidRDefault="008F371F" w:rsidP="00B93DB1">
            <w:pPr>
              <w:bidi w:val="0"/>
              <w:contextualSpacing/>
              <w:rPr>
                <w:rFonts w:cs="Times New Roman"/>
                <w:szCs w:val="20"/>
              </w:rPr>
            </w:pPr>
          </w:p>
        </w:tc>
        <w:tc>
          <w:tcPr>
            <w:tcW w:w="852" w:type="dxa"/>
            <w:tcBorders>
              <w:top w:val="nil"/>
              <w:left w:val="nil"/>
              <w:bottom w:val="nil"/>
              <w:right w:val="nil"/>
            </w:tcBorders>
            <w:shd w:val="clear" w:color="auto" w:fill="auto"/>
            <w:noWrap/>
            <w:vAlign w:val="bottom"/>
            <w:hideMark/>
          </w:tcPr>
          <w:p w14:paraId="774004EF" w14:textId="77777777" w:rsidR="008F371F" w:rsidRPr="00F03B35" w:rsidRDefault="008F371F" w:rsidP="00B93DB1">
            <w:pPr>
              <w:bidi w:val="0"/>
              <w:contextualSpacing/>
              <w:rPr>
                <w:rFonts w:cs="Times New Roman"/>
                <w:szCs w:val="20"/>
              </w:rPr>
            </w:pPr>
          </w:p>
        </w:tc>
      </w:tr>
      <w:tr w:rsidR="008F371F" w:rsidRPr="00F03B35" w14:paraId="716DF1D8" w14:textId="77777777" w:rsidTr="008F371F">
        <w:trPr>
          <w:gridAfter w:val="2"/>
          <w:wAfter w:w="995" w:type="dxa"/>
          <w:trHeight w:val="648"/>
          <w:jc w:val="center"/>
        </w:trPr>
        <w:tc>
          <w:tcPr>
            <w:tcW w:w="1053" w:type="dxa"/>
            <w:gridSpan w:val="2"/>
            <w:tcBorders>
              <w:top w:val="single" w:sz="4" w:space="0" w:color="979991"/>
              <w:left w:val="single" w:sz="4" w:space="0" w:color="979991"/>
              <w:bottom w:val="nil"/>
              <w:right w:val="nil"/>
            </w:tcBorders>
            <w:shd w:val="clear" w:color="000000" w:fill="F0F4FA"/>
            <w:vAlign w:val="center"/>
            <w:hideMark/>
          </w:tcPr>
          <w:p w14:paraId="19D35D0E" w14:textId="77777777" w:rsidR="008F371F" w:rsidRPr="00F03B35" w:rsidRDefault="008F371F" w:rsidP="00B93DB1">
            <w:pPr>
              <w:contextualSpacing/>
              <w:jc w:val="center"/>
              <w:rPr>
                <w:rFonts w:ascii="Calibri" w:hAnsi="Calibri" w:cs="Calibri"/>
                <w:b/>
                <w:bCs/>
                <w:color w:val="000000"/>
                <w:sz w:val="16"/>
                <w:szCs w:val="16"/>
              </w:rPr>
            </w:pPr>
            <w:r w:rsidRPr="00F03B35">
              <w:rPr>
                <w:rFonts w:ascii="Calibri" w:hAnsi="Calibri" w:cs="Calibri"/>
                <w:b/>
                <w:bCs/>
                <w:color w:val="000000"/>
                <w:sz w:val="16"/>
                <w:szCs w:val="16"/>
                <w:rtl/>
              </w:rPr>
              <w:t>קוד תוכנית</w:t>
            </w:r>
          </w:p>
        </w:tc>
        <w:tc>
          <w:tcPr>
            <w:tcW w:w="1314" w:type="dxa"/>
            <w:gridSpan w:val="2"/>
            <w:tcBorders>
              <w:top w:val="single" w:sz="4" w:space="0" w:color="979991"/>
              <w:left w:val="single" w:sz="4" w:space="0" w:color="979991"/>
              <w:bottom w:val="single" w:sz="4" w:space="0" w:color="979991"/>
              <w:right w:val="nil"/>
            </w:tcBorders>
            <w:shd w:val="clear" w:color="000000" w:fill="F0F4FA"/>
            <w:vAlign w:val="center"/>
            <w:hideMark/>
          </w:tcPr>
          <w:p w14:paraId="5CA5A824"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השינוי התקציב המוצע בפנייה הוצאות נטו</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5A3066E9"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2026</w:t>
            </w:r>
          </w:p>
        </w:tc>
        <w:tc>
          <w:tcPr>
            <w:tcW w:w="1065"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0DE8DFD3"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 xml:space="preserve">מאושר 2025 בניכוי עודפים שעברו ב-2025 </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39DF59B3"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2025</w:t>
            </w:r>
          </w:p>
        </w:tc>
        <w:tc>
          <w:tcPr>
            <w:tcW w:w="1065"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4880FCC5"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2024 בניכוי עודפים שעברו ב-2024</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176DFC1E"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2024</w:t>
            </w:r>
          </w:p>
        </w:tc>
        <w:tc>
          <w:tcPr>
            <w:tcW w:w="1072"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716DC99C"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2023 בניכוי עודפים שעברו ב-2023</w:t>
            </w:r>
          </w:p>
        </w:tc>
        <w:tc>
          <w:tcPr>
            <w:tcW w:w="852"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BDC6727"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2023</w:t>
            </w:r>
          </w:p>
        </w:tc>
      </w:tr>
      <w:tr w:rsidR="008F371F" w:rsidRPr="00F03B35" w14:paraId="6944727E" w14:textId="77777777" w:rsidTr="008F371F">
        <w:trPr>
          <w:gridAfter w:val="2"/>
          <w:wAfter w:w="995" w:type="dxa"/>
          <w:trHeight w:val="298"/>
          <w:jc w:val="center"/>
        </w:trPr>
        <w:tc>
          <w:tcPr>
            <w:tcW w:w="1053" w:type="dxa"/>
            <w:gridSpan w:val="2"/>
            <w:tcBorders>
              <w:top w:val="single" w:sz="4" w:space="0" w:color="979991"/>
              <w:left w:val="single" w:sz="4" w:space="0" w:color="979991"/>
              <w:bottom w:val="single" w:sz="4" w:space="0" w:color="979991"/>
              <w:right w:val="nil"/>
            </w:tcBorders>
            <w:shd w:val="clear" w:color="000000" w:fill="F0F4FA"/>
            <w:vAlign w:val="center"/>
            <w:hideMark/>
          </w:tcPr>
          <w:p w14:paraId="21E3F1E4" w14:textId="77777777" w:rsidR="008F371F" w:rsidRPr="00F03B35" w:rsidRDefault="008F371F" w:rsidP="00B93DB1">
            <w:pPr>
              <w:bidi w:val="0"/>
              <w:contextualSpacing/>
              <w:jc w:val="center"/>
              <w:rPr>
                <w:rFonts w:ascii="Calibri" w:hAnsi="Calibri" w:cs="Calibri"/>
                <w:color w:val="000000"/>
                <w:sz w:val="16"/>
                <w:szCs w:val="16"/>
                <w:rtl/>
              </w:rPr>
            </w:pPr>
            <w:r w:rsidRPr="00F03B35">
              <w:rPr>
                <w:rFonts w:ascii="Calibri" w:hAnsi="Calibri" w:cs="Calibri"/>
                <w:color w:val="000000"/>
                <w:sz w:val="16"/>
                <w:szCs w:val="16"/>
              </w:rPr>
              <w:t>383001</w:t>
            </w:r>
          </w:p>
        </w:tc>
        <w:tc>
          <w:tcPr>
            <w:tcW w:w="1314" w:type="dxa"/>
            <w:gridSpan w:val="2"/>
            <w:tcBorders>
              <w:top w:val="nil"/>
              <w:left w:val="single" w:sz="4" w:space="0" w:color="979991"/>
              <w:bottom w:val="single" w:sz="4" w:space="0" w:color="979991"/>
              <w:right w:val="nil"/>
            </w:tcBorders>
            <w:shd w:val="clear" w:color="000000" w:fill="FFFFFF"/>
            <w:vAlign w:val="center"/>
            <w:hideMark/>
          </w:tcPr>
          <w:p w14:paraId="40C38C93"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8,000</w:t>
            </w:r>
          </w:p>
        </w:tc>
        <w:tc>
          <w:tcPr>
            <w:tcW w:w="904" w:type="dxa"/>
            <w:tcBorders>
              <w:top w:val="nil"/>
              <w:left w:val="single" w:sz="4" w:space="0" w:color="979991"/>
              <w:bottom w:val="single" w:sz="4" w:space="0" w:color="979991"/>
              <w:right w:val="nil"/>
            </w:tcBorders>
            <w:shd w:val="clear" w:color="000000" w:fill="FFFFFF"/>
            <w:vAlign w:val="center"/>
            <w:hideMark/>
          </w:tcPr>
          <w:p w14:paraId="28F4A797"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166,100</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4CCE0A9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155,360</w:t>
            </w:r>
          </w:p>
        </w:tc>
        <w:tc>
          <w:tcPr>
            <w:tcW w:w="904" w:type="dxa"/>
            <w:tcBorders>
              <w:top w:val="nil"/>
              <w:left w:val="single" w:sz="4" w:space="0" w:color="979991"/>
              <w:bottom w:val="single" w:sz="4" w:space="0" w:color="979991"/>
              <w:right w:val="nil"/>
            </w:tcBorders>
            <w:shd w:val="clear" w:color="000000" w:fill="FFFFFF"/>
            <w:vAlign w:val="center"/>
            <w:hideMark/>
          </w:tcPr>
          <w:p w14:paraId="17785E28"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150,000</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7FC0D335"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137,196</w:t>
            </w:r>
          </w:p>
        </w:tc>
        <w:tc>
          <w:tcPr>
            <w:tcW w:w="904" w:type="dxa"/>
            <w:tcBorders>
              <w:top w:val="nil"/>
              <w:left w:val="single" w:sz="4" w:space="0" w:color="979991"/>
              <w:bottom w:val="single" w:sz="4" w:space="0" w:color="979991"/>
              <w:right w:val="nil"/>
            </w:tcBorders>
            <w:shd w:val="clear" w:color="000000" w:fill="FFFFFF"/>
            <w:vAlign w:val="center"/>
            <w:hideMark/>
          </w:tcPr>
          <w:p w14:paraId="23739EA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137,470</w:t>
            </w:r>
          </w:p>
        </w:tc>
        <w:tc>
          <w:tcPr>
            <w:tcW w:w="1072" w:type="dxa"/>
            <w:gridSpan w:val="3"/>
            <w:tcBorders>
              <w:top w:val="nil"/>
              <w:left w:val="single" w:sz="4" w:space="0" w:color="979991"/>
              <w:bottom w:val="single" w:sz="4" w:space="0" w:color="979991"/>
              <w:right w:val="nil"/>
            </w:tcBorders>
            <w:shd w:val="clear" w:color="000000" w:fill="FFFFFF"/>
            <w:vAlign w:val="center"/>
            <w:hideMark/>
          </w:tcPr>
          <w:p w14:paraId="259B2798"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135,158</w:t>
            </w:r>
          </w:p>
        </w:tc>
        <w:tc>
          <w:tcPr>
            <w:tcW w:w="852" w:type="dxa"/>
            <w:tcBorders>
              <w:top w:val="nil"/>
              <w:left w:val="single" w:sz="4" w:space="0" w:color="979991"/>
              <w:bottom w:val="single" w:sz="4" w:space="0" w:color="979991"/>
              <w:right w:val="single" w:sz="4" w:space="0" w:color="979991"/>
            </w:tcBorders>
            <w:shd w:val="clear" w:color="000000" w:fill="FFFFFF"/>
            <w:vAlign w:val="center"/>
            <w:hideMark/>
          </w:tcPr>
          <w:p w14:paraId="4C4AB667"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142,054</w:t>
            </w:r>
          </w:p>
        </w:tc>
      </w:tr>
      <w:tr w:rsidR="008F371F" w:rsidRPr="00F03B35" w14:paraId="4A58E44F" w14:textId="77777777" w:rsidTr="008F371F">
        <w:trPr>
          <w:gridAfter w:val="2"/>
          <w:wAfter w:w="995" w:type="dxa"/>
          <w:trHeight w:val="298"/>
          <w:jc w:val="center"/>
        </w:trPr>
        <w:tc>
          <w:tcPr>
            <w:tcW w:w="1053" w:type="dxa"/>
            <w:gridSpan w:val="2"/>
            <w:tcBorders>
              <w:top w:val="nil"/>
              <w:left w:val="single" w:sz="4" w:space="0" w:color="979991"/>
              <w:bottom w:val="single" w:sz="4" w:space="0" w:color="979991"/>
              <w:right w:val="nil"/>
            </w:tcBorders>
            <w:shd w:val="clear" w:color="000000" w:fill="F0F4FA"/>
            <w:vAlign w:val="center"/>
            <w:hideMark/>
          </w:tcPr>
          <w:p w14:paraId="01E94D41"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383002</w:t>
            </w:r>
          </w:p>
        </w:tc>
        <w:tc>
          <w:tcPr>
            <w:tcW w:w="1314" w:type="dxa"/>
            <w:gridSpan w:val="2"/>
            <w:tcBorders>
              <w:top w:val="nil"/>
              <w:left w:val="single" w:sz="4" w:space="0" w:color="979991"/>
              <w:bottom w:val="single" w:sz="4" w:space="0" w:color="979991"/>
              <w:right w:val="nil"/>
            </w:tcBorders>
            <w:shd w:val="clear" w:color="000000" w:fill="FFFFFF"/>
            <w:vAlign w:val="center"/>
            <w:hideMark/>
          </w:tcPr>
          <w:p w14:paraId="6E45654B"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774BCE4E"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1,334,269</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3236720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947,461</w:t>
            </w:r>
          </w:p>
        </w:tc>
        <w:tc>
          <w:tcPr>
            <w:tcW w:w="904" w:type="dxa"/>
            <w:tcBorders>
              <w:top w:val="nil"/>
              <w:left w:val="single" w:sz="4" w:space="0" w:color="979991"/>
              <w:bottom w:val="single" w:sz="4" w:space="0" w:color="979991"/>
              <w:right w:val="nil"/>
            </w:tcBorders>
            <w:shd w:val="clear" w:color="000000" w:fill="FFFFFF"/>
            <w:vAlign w:val="center"/>
            <w:hideMark/>
          </w:tcPr>
          <w:p w14:paraId="6DC09150"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1,176,517</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0F939B0F"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634,824</w:t>
            </w:r>
          </w:p>
        </w:tc>
        <w:tc>
          <w:tcPr>
            <w:tcW w:w="904" w:type="dxa"/>
            <w:tcBorders>
              <w:top w:val="nil"/>
              <w:left w:val="single" w:sz="4" w:space="0" w:color="979991"/>
              <w:bottom w:val="single" w:sz="4" w:space="0" w:color="979991"/>
              <w:right w:val="nil"/>
            </w:tcBorders>
            <w:shd w:val="clear" w:color="000000" w:fill="FFFFFF"/>
            <w:vAlign w:val="center"/>
            <w:hideMark/>
          </w:tcPr>
          <w:p w14:paraId="2CB03EA1"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704,762</w:t>
            </w:r>
          </w:p>
        </w:tc>
        <w:tc>
          <w:tcPr>
            <w:tcW w:w="1072" w:type="dxa"/>
            <w:gridSpan w:val="3"/>
            <w:tcBorders>
              <w:top w:val="nil"/>
              <w:left w:val="single" w:sz="4" w:space="0" w:color="979991"/>
              <w:bottom w:val="single" w:sz="4" w:space="0" w:color="979991"/>
              <w:right w:val="nil"/>
            </w:tcBorders>
            <w:shd w:val="clear" w:color="000000" w:fill="FFFFFF"/>
            <w:vAlign w:val="center"/>
            <w:hideMark/>
          </w:tcPr>
          <w:p w14:paraId="005F7877"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767,015</w:t>
            </w:r>
          </w:p>
        </w:tc>
        <w:tc>
          <w:tcPr>
            <w:tcW w:w="852" w:type="dxa"/>
            <w:tcBorders>
              <w:top w:val="nil"/>
              <w:left w:val="single" w:sz="4" w:space="0" w:color="979991"/>
              <w:bottom w:val="single" w:sz="4" w:space="0" w:color="979991"/>
              <w:right w:val="single" w:sz="4" w:space="0" w:color="979991"/>
            </w:tcBorders>
            <w:shd w:val="clear" w:color="000000" w:fill="FFFFFF"/>
            <w:vAlign w:val="center"/>
            <w:hideMark/>
          </w:tcPr>
          <w:p w14:paraId="699D15C4"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885,961</w:t>
            </w:r>
          </w:p>
        </w:tc>
      </w:tr>
      <w:tr w:rsidR="008F371F" w:rsidRPr="00F03B35" w14:paraId="0CFD1A5D" w14:textId="77777777" w:rsidTr="008F371F">
        <w:trPr>
          <w:gridBefore w:val="1"/>
          <w:wBefore w:w="972" w:type="dxa"/>
          <w:trHeight w:val="298"/>
          <w:jc w:val="center"/>
        </w:trPr>
        <w:tc>
          <w:tcPr>
            <w:tcW w:w="8292" w:type="dxa"/>
            <w:gridSpan w:val="17"/>
            <w:tcBorders>
              <w:top w:val="nil"/>
              <w:left w:val="nil"/>
              <w:bottom w:val="nil"/>
              <w:right w:val="nil"/>
            </w:tcBorders>
            <w:shd w:val="clear" w:color="auto" w:fill="auto"/>
            <w:vAlign w:val="center"/>
            <w:hideMark/>
          </w:tcPr>
          <w:p w14:paraId="4F3B8656" w14:textId="77777777" w:rsidR="008F371F" w:rsidRDefault="008F371F" w:rsidP="00B93DB1">
            <w:pPr>
              <w:contextualSpacing/>
              <w:jc w:val="center"/>
              <w:rPr>
                <w:rFonts w:ascii="Calibri" w:hAnsi="Calibri" w:cs="Calibri"/>
                <w:b/>
                <w:bCs/>
                <w:color w:val="000000"/>
                <w:szCs w:val="20"/>
                <w:rtl/>
              </w:rPr>
            </w:pPr>
          </w:p>
          <w:p w14:paraId="562D4684" w14:textId="77777777" w:rsidR="008F371F" w:rsidRDefault="008F371F" w:rsidP="00B93DB1">
            <w:pPr>
              <w:contextualSpacing/>
              <w:jc w:val="center"/>
              <w:rPr>
                <w:rFonts w:ascii="Calibri" w:hAnsi="Calibri" w:cs="Calibri"/>
                <w:b/>
                <w:bCs/>
                <w:color w:val="000000"/>
                <w:szCs w:val="20"/>
                <w:rtl/>
              </w:rPr>
            </w:pPr>
          </w:p>
          <w:p w14:paraId="21F71D6E" w14:textId="77777777" w:rsidR="008F371F" w:rsidRPr="00F03B35" w:rsidRDefault="008F371F" w:rsidP="00B93DB1">
            <w:pPr>
              <w:contextualSpacing/>
              <w:jc w:val="center"/>
              <w:rPr>
                <w:rFonts w:ascii="Calibri" w:hAnsi="Calibri" w:cs="Calibri"/>
                <w:b/>
                <w:bCs/>
                <w:color w:val="000000"/>
                <w:szCs w:val="20"/>
              </w:rPr>
            </w:pPr>
            <w:r w:rsidRPr="00F03B35">
              <w:rPr>
                <w:rFonts w:ascii="Calibri" w:hAnsi="Calibri" w:cs="Calibri"/>
                <w:b/>
                <w:bCs/>
                <w:color w:val="000000"/>
                <w:szCs w:val="20"/>
                <w:rtl/>
              </w:rPr>
              <w:t>היסטוריה תקציבית של הפנייה - הרשאה להתחייב</w:t>
            </w:r>
          </w:p>
        </w:tc>
        <w:tc>
          <w:tcPr>
            <w:tcW w:w="864" w:type="dxa"/>
            <w:tcBorders>
              <w:top w:val="nil"/>
              <w:left w:val="nil"/>
              <w:bottom w:val="nil"/>
              <w:right w:val="nil"/>
            </w:tcBorders>
            <w:shd w:val="clear" w:color="auto" w:fill="auto"/>
            <w:noWrap/>
            <w:vAlign w:val="bottom"/>
            <w:hideMark/>
          </w:tcPr>
          <w:p w14:paraId="2030D8E2" w14:textId="77777777" w:rsidR="008F371F" w:rsidRPr="00F03B35" w:rsidRDefault="008F371F" w:rsidP="00B93DB1">
            <w:pPr>
              <w:contextualSpacing/>
              <w:jc w:val="center"/>
              <w:rPr>
                <w:rFonts w:ascii="Calibri" w:hAnsi="Calibri" w:cs="Calibri"/>
                <w:b/>
                <w:bCs/>
                <w:color w:val="000000"/>
                <w:szCs w:val="20"/>
                <w:rtl/>
              </w:rPr>
            </w:pPr>
          </w:p>
        </w:tc>
      </w:tr>
      <w:tr w:rsidR="008F371F" w:rsidRPr="00F03B35" w14:paraId="71B7D8D2" w14:textId="77777777" w:rsidTr="008F371F">
        <w:trPr>
          <w:gridBefore w:val="1"/>
          <w:wBefore w:w="972" w:type="dxa"/>
          <w:trHeight w:val="298"/>
          <w:jc w:val="center"/>
        </w:trPr>
        <w:tc>
          <w:tcPr>
            <w:tcW w:w="1064" w:type="dxa"/>
            <w:gridSpan w:val="2"/>
            <w:tcBorders>
              <w:top w:val="nil"/>
              <w:left w:val="nil"/>
              <w:bottom w:val="nil"/>
              <w:right w:val="nil"/>
            </w:tcBorders>
            <w:shd w:val="clear" w:color="auto" w:fill="auto"/>
            <w:vAlign w:val="center"/>
            <w:hideMark/>
          </w:tcPr>
          <w:p w14:paraId="64E92777" w14:textId="77777777" w:rsidR="008F371F" w:rsidRPr="00F03B35" w:rsidRDefault="008F371F" w:rsidP="00B93DB1">
            <w:pPr>
              <w:bidi w:val="0"/>
              <w:contextualSpacing/>
              <w:rPr>
                <w:rFonts w:cs="Times New Roman"/>
                <w:szCs w:val="20"/>
              </w:rPr>
            </w:pPr>
          </w:p>
        </w:tc>
        <w:tc>
          <w:tcPr>
            <w:tcW w:w="1314" w:type="dxa"/>
            <w:gridSpan w:val="3"/>
            <w:tcBorders>
              <w:top w:val="nil"/>
              <w:left w:val="nil"/>
              <w:bottom w:val="nil"/>
              <w:right w:val="nil"/>
            </w:tcBorders>
            <w:shd w:val="clear" w:color="auto" w:fill="auto"/>
            <w:noWrap/>
            <w:vAlign w:val="bottom"/>
            <w:hideMark/>
          </w:tcPr>
          <w:p w14:paraId="5F9BFD95" w14:textId="77777777" w:rsidR="008F371F" w:rsidRPr="00F03B35" w:rsidRDefault="008F371F" w:rsidP="00B93DB1">
            <w:pPr>
              <w:bidi w:val="0"/>
              <w:ind w:firstLineChars="100" w:firstLine="200"/>
              <w:contextualSpacing/>
              <w:jc w:val="center"/>
              <w:rPr>
                <w:rFonts w:cs="Times New Roman"/>
                <w:szCs w:val="20"/>
              </w:rPr>
            </w:pPr>
          </w:p>
        </w:tc>
        <w:tc>
          <w:tcPr>
            <w:tcW w:w="904" w:type="dxa"/>
            <w:tcBorders>
              <w:top w:val="nil"/>
              <w:left w:val="nil"/>
              <w:bottom w:val="nil"/>
              <w:right w:val="nil"/>
            </w:tcBorders>
            <w:shd w:val="clear" w:color="auto" w:fill="auto"/>
            <w:noWrap/>
            <w:vAlign w:val="bottom"/>
            <w:hideMark/>
          </w:tcPr>
          <w:p w14:paraId="7E5C38E8" w14:textId="77777777" w:rsidR="008F371F" w:rsidRPr="00F03B35" w:rsidRDefault="008F371F" w:rsidP="00B93DB1">
            <w:pPr>
              <w:bidi w:val="0"/>
              <w:contextualSpacing/>
              <w:rPr>
                <w:rFonts w:cs="Times New Roman"/>
                <w:szCs w:val="20"/>
              </w:rPr>
            </w:pPr>
          </w:p>
        </w:tc>
        <w:tc>
          <w:tcPr>
            <w:tcW w:w="1065" w:type="dxa"/>
            <w:gridSpan w:val="3"/>
            <w:tcBorders>
              <w:top w:val="nil"/>
              <w:left w:val="nil"/>
              <w:bottom w:val="nil"/>
              <w:right w:val="nil"/>
            </w:tcBorders>
            <w:shd w:val="clear" w:color="auto" w:fill="auto"/>
            <w:noWrap/>
            <w:vAlign w:val="bottom"/>
            <w:hideMark/>
          </w:tcPr>
          <w:p w14:paraId="33001F2F"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26B90E24" w14:textId="77777777" w:rsidR="008F371F" w:rsidRPr="00F03B35" w:rsidRDefault="008F371F" w:rsidP="00B93DB1">
            <w:pPr>
              <w:bidi w:val="0"/>
              <w:contextualSpacing/>
              <w:rPr>
                <w:rFonts w:cs="Times New Roman"/>
                <w:szCs w:val="20"/>
              </w:rPr>
            </w:pPr>
          </w:p>
        </w:tc>
        <w:tc>
          <w:tcPr>
            <w:tcW w:w="1065" w:type="dxa"/>
            <w:gridSpan w:val="3"/>
            <w:tcBorders>
              <w:top w:val="nil"/>
              <w:left w:val="nil"/>
              <w:bottom w:val="nil"/>
              <w:right w:val="nil"/>
            </w:tcBorders>
            <w:shd w:val="clear" w:color="auto" w:fill="auto"/>
            <w:noWrap/>
            <w:vAlign w:val="bottom"/>
            <w:hideMark/>
          </w:tcPr>
          <w:p w14:paraId="24603A2B"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1AA45B37" w14:textId="77777777" w:rsidR="008F371F" w:rsidRPr="00F03B35" w:rsidRDefault="008F371F" w:rsidP="00B93DB1">
            <w:pPr>
              <w:bidi w:val="0"/>
              <w:contextualSpacing/>
              <w:rPr>
                <w:rFonts w:cs="Times New Roman"/>
                <w:szCs w:val="20"/>
              </w:rPr>
            </w:pPr>
          </w:p>
        </w:tc>
        <w:tc>
          <w:tcPr>
            <w:tcW w:w="1072" w:type="dxa"/>
            <w:gridSpan w:val="3"/>
            <w:tcBorders>
              <w:top w:val="nil"/>
              <w:left w:val="nil"/>
              <w:bottom w:val="nil"/>
              <w:right w:val="nil"/>
            </w:tcBorders>
            <w:shd w:val="clear" w:color="auto" w:fill="auto"/>
            <w:noWrap/>
            <w:vAlign w:val="bottom"/>
            <w:hideMark/>
          </w:tcPr>
          <w:p w14:paraId="2E4C0D6C" w14:textId="77777777" w:rsidR="008F371F" w:rsidRPr="00F03B35" w:rsidRDefault="008F371F" w:rsidP="00B93DB1">
            <w:pPr>
              <w:bidi w:val="0"/>
              <w:contextualSpacing/>
              <w:rPr>
                <w:rFonts w:cs="Times New Roman"/>
                <w:szCs w:val="20"/>
              </w:rPr>
            </w:pPr>
          </w:p>
        </w:tc>
        <w:tc>
          <w:tcPr>
            <w:tcW w:w="864" w:type="dxa"/>
            <w:tcBorders>
              <w:top w:val="nil"/>
              <w:left w:val="nil"/>
              <w:bottom w:val="nil"/>
              <w:right w:val="nil"/>
            </w:tcBorders>
            <w:shd w:val="clear" w:color="auto" w:fill="auto"/>
            <w:noWrap/>
            <w:vAlign w:val="bottom"/>
            <w:hideMark/>
          </w:tcPr>
          <w:p w14:paraId="36ABA3CE" w14:textId="77777777" w:rsidR="008F371F" w:rsidRPr="00F03B35" w:rsidRDefault="008F371F" w:rsidP="00B93DB1">
            <w:pPr>
              <w:bidi w:val="0"/>
              <w:contextualSpacing/>
              <w:rPr>
                <w:rFonts w:cs="Times New Roman"/>
                <w:szCs w:val="20"/>
              </w:rPr>
            </w:pPr>
          </w:p>
        </w:tc>
      </w:tr>
      <w:tr w:rsidR="008F371F" w:rsidRPr="00F03B35" w14:paraId="2E2A5784" w14:textId="77777777" w:rsidTr="008F371F">
        <w:trPr>
          <w:gridBefore w:val="1"/>
          <w:wBefore w:w="972" w:type="dxa"/>
          <w:trHeight w:val="298"/>
          <w:jc w:val="center"/>
        </w:trPr>
        <w:tc>
          <w:tcPr>
            <w:tcW w:w="1064" w:type="dxa"/>
            <w:gridSpan w:val="2"/>
            <w:tcBorders>
              <w:top w:val="single" w:sz="4" w:space="0" w:color="979991"/>
              <w:left w:val="single" w:sz="4" w:space="0" w:color="979991"/>
              <w:bottom w:val="nil"/>
              <w:right w:val="nil"/>
            </w:tcBorders>
            <w:shd w:val="clear" w:color="000000" w:fill="F0F4FA"/>
            <w:vAlign w:val="center"/>
            <w:hideMark/>
          </w:tcPr>
          <w:p w14:paraId="3505D8F7" w14:textId="77777777" w:rsidR="008F371F" w:rsidRPr="00F03B35" w:rsidRDefault="008F371F" w:rsidP="00B93DB1">
            <w:pPr>
              <w:contextualSpacing/>
              <w:jc w:val="center"/>
              <w:rPr>
                <w:rFonts w:ascii="Calibri" w:hAnsi="Calibri" w:cs="Calibri"/>
                <w:b/>
                <w:bCs/>
                <w:color w:val="000000"/>
                <w:sz w:val="16"/>
                <w:szCs w:val="16"/>
              </w:rPr>
            </w:pPr>
            <w:r w:rsidRPr="00F03B35">
              <w:rPr>
                <w:rFonts w:ascii="Calibri" w:hAnsi="Calibri" w:cs="Calibri"/>
                <w:b/>
                <w:bCs/>
                <w:color w:val="000000"/>
                <w:sz w:val="16"/>
                <w:szCs w:val="16"/>
                <w:rtl/>
              </w:rPr>
              <w:t>קוד תוכנית</w:t>
            </w:r>
          </w:p>
        </w:tc>
        <w:tc>
          <w:tcPr>
            <w:tcW w:w="1314"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3C614C21"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השינוי המוצע בפניה זו</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7BB26401"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תקציב 2026</w:t>
            </w:r>
          </w:p>
        </w:tc>
        <w:tc>
          <w:tcPr>
            <w:tcW w:w="1065"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05B36849"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2025</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4EB47DFA"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2025</w:t>
            </w:r>
          </w:p>
        </w:tc>
        <w:tc>
          <w:tcPr>
            <w:tcW w:w="1065"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7D51C844"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2024</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457CE0D9"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2024</w:t>
            </w:r>
          </w:p>
        </w:tc>
        <w:tc>
          <w:tcPr>
            <w:tcW w:w="1072" w:type="dxa"/>
            <w:gridSpan w:val="3"/>
            <w:tcBorders>
              <w:top w:val="single" w:sz="4" w:space="0" w:color="979991"/>
              <w:left w:val="single" w:sz="4" w:space="0" w:color="979991"/>
              <w:bottom w:val="single" w:sz="4" w:space="0" w:color="979991"/>
              <w:right w:val="nil"/>
            </w:tcBorders>
            <w:shd w:val="clear" w:color="000000" w:fill="F0F4FA"/>
            <w:vAlign w:val="center"/>
            <w:hideMark/>
          </w:tcPr>
          <w:p w14:paraId="62CAC051"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2023</w:t>
            </w:r>
          </w:p>
        </w:tc>
        <w:tc>
          <w:tcPr>
            <w:tcW w:w="864"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740DB50"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2023</w:t>
            </w:r>
          </w:p>
        </w:tc>
      </w:tr>
      <w:tr w:rsidR="008F371F" w:rsidRPr="00F03B35" w14:paraId="46669A67" w14:textId="77777777" w:rsidTr="008F371F">
        <w:trPr>
          <w:gridBefore w:val="1"/>
          <w:wBefore w:w="972" w:type="dxa"/>
          <w:trHeight w:val="298"/>
          <w:jc w:val="center"/>
        </w:trPr>
        <w:tc>
          <w:tcPr>
            <w:tcW w:w="1064" w:type="dxa"/>
            <w:gridSpan w:val="2"/>
            <w:tcBorders>
              <w:top w:val="single" w:sz="4" w:space="0" w:color="979991"/>
              <w:left w:val="single" w:sz="4" w:space="0" w:color="979991"/>
              <w:bottom w:val="single" w:sz="4" w:space="0" w:color="979991"/>
              <w:right w:val="nil"/>
            </w:tcBorders>
            <w:shd w:val="clear" w:color="000000" w:fill="F0F4FA"/>
            <w:vAlign w:val="center"/>
            <w:hideMark/>
          </w:tcPr>
          <w:p w14:paraId="296C396C" w14:textId="77777777" w:rsidR="008F371F" w:rsidRPr="00F03B35" w:rsidRDefault="008F371F" w:rsidP="00B93DB1">
            <w:pPr>
              <w:bidi w:val="0"/>
              <w:contextualSpacing/>
              <w:jc w:val="center"/>
              <w:rPr>
                <w:rFonts w:ascii="Calibri" w:hAnsi="Calibri" w:cs="Calibri"/>
                <w:color w:val="000000"/>
                <w:sz w:val="16"/>
                <w:szCs w:val="16"/>
                <w:rtl/>
              </w:rPr>
            </w:pPr>
            <w:r w:rsidRPr="00F03B35">
              <w:rPr>
                <w:rFonts w:ascii="Calibri" w:hAnsi="Calibri" w:cs="Calibri"/>
                <w:color w:val="000000"/>
                <w:sz w:val="16"/>
                <w:szCs w:val="16"/>
              </w:rPr>
              <w:t>383001</w:t>
            </w:r>
          </w:p>
        </w:tc>
        <w:tc>
          <w:tcPr>
            <w:tcW w:w="1314" w:type="dxa"/>
            <w:gridSpan w:val="3"/>
            <w:tcBorders>
              <w:top w:val="nil"/>
              <w:left w:val="single" w:sz="4" w:space="0" w:color="979991"/>
              <w:bottom w:val="single" w:sz="4" w:space="0" w:color="979991"/>
              <w:right w:val="nil"/>
            </w:tcBorders>
            <w:shd w:val="clear" w:color="000000" w:fill="FFFFFF"/>
            <w:vAlign w:val="center"/>
            <w:hideMark/>
          </w:tcPr>
          <w:p w14:paraId="37E3AF3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34C68A2F"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3FAFEA71"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5AC1C1D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56358E26"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5F9B211E"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1072" w:type="dxa"/>
            <w:gridSpan w:val="3"/>
            <w:tcBorders>
              <w:top w:val="nil"/>
              <w:left w:val="single" w:sz="4" w:space="0" w:color="979991"/>
              <w:bottom w:val="single" w:sz="4" w:space="0" w:color="979991"/>
              <w:right w:val="nil"/>
            </w:tcBorders>
            <w:shd w:val="clear" w:color="000000" w:fill="FFFFFF"/>
            <w:vAlign w:val="center"/>
            <w:hideMark/>
          </w:tcPr>
          <w:p w14:paraId="5D526984"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864" w:type="dxa"/>
            <w:tcBorders>
              <w:top w:val="nil"/>
              <w:left w:val="single" w:sz="4" w:space="0" w:color="979991"/>
              <w:bottom w:val="single" w:sz="4" w:space="0" w:color="979991"/>
              <w:right w:val="single" w:sz="4" w:space="0" w:color="979991"/>
            </w:tcBorders>
            <w:shd w:val="clear" w:color="000000" w:fill="FFFFFF"/>
            <w:vAlign w:val="center"/>
            <w:hideMark/>
          </w:tcPr>
          <w:p w14:paraId="3DA6E331"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r>
      <w:tr w:rsidR="008F371F" w:rsidRPr="00F03B35" w14:paraId="77626323" w14:textId="77777777" w:rsidTr="008F371F">
        <w:trPr>
          <w:gridBefore w:val="1"/>
          <w:wBefore w:w="972" w:type="dxa"/>
          <w:trHeight w:val="298"/>
          <w:jc w:val="center"/>
        </w:trPr>
        <w:tc>
          <w:tcPr>
            <w:tcW w:w="1064" w:type="dxa"/>
            <w:gridSpan w:val="2"/>
            <w:tcBorders>
              <w:top w:val="nil"/>
              <w:left w:val="single" w:sz="4" w:space="0" w:color="979991"/>
              <w:bottom w:val="single" w:sz="4" w:space="0" w:color="979991"/>
              <w:right w:val="nil"/>
            </w:tcBorders>
            <w:shd w:val="clear" w:color="000000" w:fill="F0F4FA"/>
            <w:vAlign w:val="center"/>
            <w:hideMark/>
          </w:tcPr>
          <w:p w14:paraId="693E45D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383002</w:t>
            </w:r>
          </w:p>
        </w:tc>
        <w:tc>
          <w:tcPr>
            <w:tcW w:w="1314" w:type="dxa"/>
            <w:gridSpan w:val="3"/>
            <w:tcBorders>
              <w:top w:val="nil"/>
              <w:left w:val="single" w:sz="4" w:space="0" w:color="979991"/>
              <w:bottom w:val="single" w:sz="4" w:space="0" w:color="979991"/>
              <w:right w:val="nil"/>
            </w:tcBorders>
            <w:shd w:val="clear" w:color="000000" w:fill="FFFFFF"/>
            <w:vAlign w:val="center"/>
            <w:hideMark/>
          </w:tcPr>
          <w:p w14:paraId="1509726B"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26772048"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2,039,680</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431E207B"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2,185,038</w:t>
            </w:r>
          </w:p>
        </w:tc>
        <w:tc>
          <w:tcPr>
            <w:tcW w:w="904" w:type="dxa"/>
            <w:tcBorders>
              <w:top w:val="nil"/>
              <w:left w:val="single" w:sz="4" w:space="0" w:color="979991"/>
              <w:bottom w:val="single" w:sz="4" w:space="0" w:color="979991"/>
              <w:right w:val="nil"/>
            </w:tcBorders>
            <w:shd w:val="clear" w:color="000000" w:fill="FFFFFF"/>
            <w:vAlign w:val="center"/>
            <w:hideMark/>
          </w:tcPr>
          <w:p w14:paraId="75D0DC9B"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2,008,207</w:t>
            </w:r>
          </w:p>
        </w:tc>
        <w:tc>
          <w:tcPr>
            <w:tcW w:w="1065" w:type="dxa"/>
            <w:gridSpan w:val="3"/>
            <w:tcBorders>
              <w:top w:val="nil"/>
              <w:left w:val="single" w:sz="4" w:space="0" w:color="979991"/>
              <w:bottom w:val="single" w:sz="4" w:space="0" w:color="979991"/>
              <w:right w:val="nil"/>
            </w:tcBorders>
            <w:shd w:val="clear" w:color="000000" w:fill="FFFFFF"/>
            <w:vAlign w:val="center"/>
            <w:hideMark/>
          </w:tcPr>
          <w:p w14:paraId="68AC22EA"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2,784,207</w:t>
            </w:r>
          </w:p>
        </w:tc>
        <w:tc>
          <w:tcPr>
            <w:tcW w:w="904" w:type="dxa"/>
            <w:tcBorders>
              <w:top w:val="nil"/>
              <w:left w:val="single" w:sz="4" w:space="0" w:color="979991"/>
              <w:bottom w:val="single" w:sz="4" w:space="0" w:color="979991"/>
              <w:right w:val="nil"/>
            </w:tcBorders>
            <w:shd w:val="clear" w:color="000000" w:fill="FFFFFF"/>
            <w:vAlign w:val="center"/>
            <w:hideMark/>
          </w:tcPr>
          <w:p w14:paraId="2EC4478C"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1,844,207</w:t>
            </w:r>
          </w:p>
        </w:tc>
        <w:tc>
          <w:tcPr>
            <w:tcW w:w="1072" w:type="dxa"/>
            <w:gridSpan w:val="3"/>
            <w:tcBorders>
              <w:top w:val="nil"/>
              <w:left w:val="single" w:sz="4" w:space="0" w:color="979991"/>
              <w:bottom w:val="single" w:sz="4" w:space="0" w:color="979991"/>
              <w:right w:val="nil"/>
            </w:tcBorders>
            <w:shd w:val="clear" w:color="000000" w:fill="FFFFFF"/>
            <w:vAlign w:val="center"/>
            <w:hideMark/>
          </w:tcPr>
          <w:p w14:paraId="3AF985D9"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1,779,845</w:t>
            </w:r>
          </w:p>
        </w:tc>
        <w:tc>
          <w:tcPr>
            <w:tcW w:w="864" w:type="dxa"/>
            <w:tcBorders>
              <w:top w:val="nil"/>
              <w:left w:val="single" w:sz="4" w:space="0" w:color="979991"/>
              <w:bottom w:val="single" w:sz="4" w:space="0" w:color="979991"/>
              <w:right w:val="single" w:sz="4" w:space="0" w:color="979991"/>
            </w:tcBorders>
            <w:shd w:val="clear" w:color="000000" w:fill="FFFFFF"/>
            <w:vAlign w:val="center"/>
            <w:hideMark/>
          </w:tcPr>
          <w:p w14:paraId="1190B45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1,729,845</w:t>
            </w:r>
          </w:p>
        </w:tc>
      </w:tr>
    </w:tbl>
    <w:p w14:paraId="14821C25" w14:textId="77777777" w:rsidR="008F371F" w:rsidRPr="00081B2C" w:rsidRDefault="008F371F" w:rsidP="008F371F">
      <w:pPr>
        <w:contextualSpacing/>
        <w:rPr>
          <w:rFonts w:cs="FrankRuehl"/>
          <w:sz w:val="26"/>
          <w:szCs w:val="26"/>
        </w:rPr>
      </w:pPr>
    </w:p>
    <w:tbl>
      <w:tblPr>
        <w:tblW w:w="9128" w:type="dxa"/>
        <w:tblInd w:w="108" w:type="dxa"/>
        <w:tblLook w:val="04A0" w:firstRow="1" w:lastRow="0" w:firstColumn="1" w:lastColumn="0" w:noHBand="0" w:noVBand="1"/>
      </w:tblPr>
      <w:tblGrid>
        <w:gridCol w:w="1063"/>
        <w:gridCol w:w="1311"/>
        <w:gridCol w:w="904"/>
        <w:gridCol w:w="1063"/>
        <w:gridCol w:w="904"/>
        <w:gridCol w:w="1063"/>
        <w:gridCol w:w="904"/>
        <w:gridCol w:w="1066"/>
        <w:gridCol w:w="850"/>
      </w:tblGrid>
      <w:tr w:rsidR="008F371F" w:rsidRPr="00F03B35" w14:paraId="6B438554" w14:textId="77777777" w:rsidTr="00B93DB1">
        <w:trPr>
          <w:trHeight w:val="302"/>
        </w:trPr>
        <w:tc>
          <w:tcPr>
            <w:tcW w:w="8278" w:type="dxa"/>
            <w:gridSpan w:val="8"/>
            <w:tcBorders>
              <w:top w:val="nil"/>
              <w:left w:val="nil"/>
              <w:bottom w:val="nil"/>
              <w:right w:val="nil"/>
            </w:tcBorders>
            <w:shd w:val="clear" w:color="auto" w:fill="auto"/>
            <w:vAlign w:val="center"/>
            <w:hideMark/>
          </w:tcPr>
          <w:p w14:paraId="5E7E769B" w14:textId="77777777" w:rsidR="008F371F" w:rsidRPr="00F03B35" w:rsidRDefault="008F371F" w:rsidP="00B93DB1">
            <w:pPr>
              <w:contextualSpacing/>
              <w:jc w:val="center"/>
              <w:rPr>
                <w:rFonts w:ascii="Calibri" w:hAnsi="Calibri" w:cs="Calibri"/>
                <w:b/>
                <w:bCs/>
                <w:color w:val="000000"/>
                <w:szCs w:val="20"/>
              </w:rPr>
            </w:pPr>
            <w:r w:rsidRPr="00F03B35">
              <w:rPr>
                <w:rFonts w:ascii="Calibri" w:hAnsi="Calibri" w:cs="Calibri"/>
                <w:b/>
                <w:bCs/>
                <w:color w:val="000000"/>
                <w:szCs w:val="20"/>
                <w:rtl/>
              </w:rPr>
              <w:t>היסטוריה תקציבית של הפנייה - הוצאה מותנית בהכנסה</w:t>
            </w:r>
          </w:p>
        </w:tc>
        <w:tc>
          <w:tcPr>
            <w:tcW w:w="850" w:type="dxa"/>
            <w:tcBorders>
              <w:top w:val="nil"/>
              <w:left w:val="nil"/>
              <w:bottom w:val="nil"/>
              <w:right w:val="nil"/>
            </w:tcBorders>
            <w:shd w:val="clear" w:color="auto" w:fill="auto"/>
            <w:noWrap/>
            <w:vAlign w:val="bottom"/>
            <w:hideMark/>
          </w:tcPr>
          <w:p w14:paraId="3498F6DE" w14:textId="77777777" w:rsidR="008F371F" w:rsidRPr="00F03B35" w:rsidRDefault="008F371F" w:rsidP="00B93DB1">
            <w:pPr>
              <w:contextualSpacing/>
              <w:jc w:val="center"/>
              <w:rPr>
                <w:rFonts w:ascii="Calibri" w:hAnsi="Calibri" w:cs="Calibri"/>
                <w:b/>
                <w:bCs/>
                <w:color w:val="000000"/>
                <w:szCs w:val="20"/>
                <w:rtl/>
              </w:rPr>
            </w:pPr>
          </w:p>
        </w:tc>
      </w:tr>
      <w:tr w:rsidR="008F371F" w:rsidRPr="00F03B35" w14:paraId="32F1C213" w14:textId="77777777" w:rsidTr="00B93DB1">
        <w:trPr>
          <w:trHeight w:val="302"/>
        </w:trPr>
        <w:tc>
          <w:tcPr>
            <w:tcW w:w="1063" w:type="dxa"/>
            <w:tcBorders>
              <w:top w:val="nil"/>
              <w:left w:val="nil"/>
              <w:bottom w:val="nil"/>
              <w:right w:val="nil"/>
            </w:tcBorders>
            <w:shd w:val="clear" w:color="auto" w:fill="auto"/>
            <w:vAlign w:val="center"/>
            <w:hideMark/>
          </w:tcPr>
          <w:p w14:paraId="185EC9D3" w14:textId="77777777" w:rsidR="008F371F" w:rsidRPr="00F03B35" w:rsidRDefault="008F371F" w:rsidP="00B93DB1">
            <w:pPr>
              <w:bidi w:val="0"/>
              <w:contextualSpacing/>
              <w:rPr>
                <w:rFonts w:cs="Times New Roman"/>
                <w:szCs w:val="20"/>
              </w:rPr>
            </w:pPr>
          </w:p>
        </w:tc>
        <w:tc>
          <w:tcPr>
            <w:tcW w:w="1311" w:type="dxa"/>
            <w:tcBorders>
              <w:top w:val="nil"/>
              <w:left w:val="nil"/>
              <w:bottom w:val="nil"/>
              <w:right w:val="nil"/>
            </w:tcBorders>
            <w:shd w:val="clear" w:color="auto" w:fill="auto"/>
            <w:noWrap/>
            <w:vAlign w:val="bottom"/>
            <w:hideMark/>
          </w:tcPr>
          <w:p w14:paraId="0771631F" w14:textId="77777777" w:rsidR="008F371F" w:rsidRPr="00F03B35" w:rsidRDefault="008F371F" w:rsidP="00B93DB1">
            <w:pPr>
              <w:bidi w:val="0"/>
              <w:ind w:firstLineChars="100" w:firstLine="200"/>
              <w:contextualSpacing/>
              <w:jc w:val="center"/>
              <w:rPr>
                <w:rFonts w:cs="Times New Roman"/>
                <w:szCs w:val="20"/>
              </w:rPr>
            </w:pPr>
          </w:p>
        </w:tc>
        <w:tc>
          <w:tcPr>
            <w:tcW w:w="904" w:type="dxa"/>
            <w:tcBorders>
              <w:top w:val="nil"/>
              <w:left w:val="nil"/>
              <w:bottom w:val="nil"/>
              <w:right w:val="nil"/>
            </w:tcBorders>
            <w:shd w:val="clear" w:color="auto" w:fill="auto"/>
            <w:noWrap/>
            <w:vAlign w:val="bottom"/>
            <w:hideMark/>
          </w:tcPr>
          <w:p w14:paraId="23F449F8" w14:textId="77777777" w:rsidR="008F371F" w:rsidRPr="00F03B35" w:rsidRDefault="008F371F" w:rsidP="00B93DB1">
            <w:pPr>
              <w:bidi w:val="0"/>
              <w:contextualSpacing/>
              <w:rPr>
                <w:rFonts w:cs="Times New Roman"/>
                <w:szCs w:val="20"/>
              </w:rPr>
            </w:pPr>
          </w:p>
        </w:tc>
        <w:tc>
          <w:tcPr>
            <w:tcW w:w="1063" w:type="dxa"/>
            <w:tcBorders>
              <w:top w:val="nil"/>
              <w:left w:val="nil"/>
              <w:bottom w:val="nil"/>
              <w:right w:val="nil"/>
            </w:tcBorders>
            <w:shd w:val="clear" w:color="auto" w:fill="auto"/>
            <w:noWrap/>
            <w:vAlign w:val="bottom"/>
            <w:hideMark/>
          </w:tcPr>
          <w:p w14:paraId="6DC6814A"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735AD7AF" w14:textId="77777777" w:rsidR="008F371F" w:rsidRPr="00F03B35" w:rsidRDefault="008F371F" w:rsidP="00B93DB1">
            <w:pPr>
              <w:bidi w:val="0"/>
              <w:contextualSpacing/>
              <w:rPr>
                <w:rFonts w:cs="Times New Roman"/>
                <w:szCs w:val="20"/>
              </w:rPr>
            </w:pPr>
          </w:p>
        </w:tc>
        <w:tc>
          <w:tcPr>
            <w:tcW w:w="1063" w:type="dxa"/>
            <w:tcBorders>
              <w:top w:val="nil"/>
              <w:left w:val="nil"/>
              <w:bottom w:val="nil"/>
              <w:right w:val="nil"/>
            </w:tcBorders>
            <w:shd w:val="clear" w:color="auto" w:fill="auto"/>
            <w:noWrap/>
            <w:vAlign w:val="bottom"/>
            <w:hideMark/>
          </w:tcPr>
          <w:p w14:paraId="7F1152AD" w14:textId="77777777" w:rsidR="008F371F" w:rsidRPr="00F03B35" w:rsidRDefault="008F371F" w:rsidP="00B93DB1">
            <w:pPr>
              <w:bidi w:val="0"/>
              <w:contextualSpacing/>
              <w:rPr>
                <w:rFonts w:cs="Times New Roman"/>
                <w:szCs w:val="20"/>
              </w:rPr>
            </w:pPr>
          </w:p>
        </w:tc>
        <w:tc>
          <w:tcPr>
            <w:tcW w:w="904" w:type="dxa"/>
            <w:tcBorders>
              <w:top w:val="nil"/>
              <w:left w:val="nil"/>
              <w:bottom w:val="nil"/>
              <w:right w:val="nil"/>
            </w:tcBorders>
            <w:shd w:val="clear" w:color="auto" w:fill="auto"/>
            <w:noWrap/>
            <w:vAlign w:val="bottom"/>
            <w:hideMark/>
          </w:tcPr>
          <w:p w14:paraId="569DABA9" w14:textId="77777777" w:rsidR="008F371F" w:rsidRPr="00F03B35" w:rsidRDefault="008F371F" w:rsidP="00B93DB1">
            <w:pPr>
              <w:bidi w:val="0"/>
              <w:contextualSpacing/>
              <w:rPr>
                <w:rFonts w:cs="Times New Roman"/>
                <w:szCs w:val="20"/>
              </w:rPr>
            </w:pPr>
          </w:p>
        </w:tc>
        <w:tc>
          <w:tcPr>
            <w:tcW w:w="1063" w:type="dxa"/>
            <w:tcBorders>
              <w:top w:val="nil"/>
              <w:left w:val="nil"/>
              <w:bottom w:val="nil"/>
              <w:right w:val="nil"/>
            </w:tcBorders>
            <w:shd w:val="clear" w:color="auto" w:fill="auto"/>
            <w:noWrap/>
            <w:vAlign w:val="bottom"/>
            <w:hideMark/>
          </w:tcPr>
          <w:p w14:paraId="79CF5320" w14:textId="77777777" w:rsidR="008F371F" w:rsidRPr="00F03B35" w:rsidRDefault="008F371F" w:rsidP="00B93DB1">
            <w:pPr>
              <w:bidi w:val="0"/>
              <w:contextualSpacing/>
              <w:rPr>
                <w:rFonts w:cs="Times New Roman"/>
                <w:szCs w:val="20"/>
              </w:rPr>
            </w:pPr>
          </w:p>
        </w:tc>
        <w:tc>
          <w:tcPr>
            <w:tcW w:w="850" w:type="dxa"/>
            <w:tcBorders>
              <w:top w:val="nil"/>
              <w:left w:val="nil"/>
              <w:bottom w:val="nil"/>
              <w:right w:val="nil"/>
            </w:tcBorders>
            <w:shd w:val="clear" w:color="auto" w:fill="auto"/>
            <w:noWrap/>
            <w:vAlign w:val="bottom"/>
            <w:hideMark/>
          </w:tcPr>
          <w:p w14:paraId="21B4DF93" w14:textId="77777777" w:rsidR="008F371F" w:rsidRPr="00F03B35" w:rsidRDefault="008F371F" w:rsidP="00B93DB1">
            <w:pPr>
              <w:bidi w:val="0"/>
              <w:contextualSpacing/>
              <w:rPr>
                <w:rFonts w:cs="Times New Roman"/>
                <w:szCs w:val="20"/>
              </w:rPr>
            </w:pPr>
          </w:p>
        </w:tc>
      </w:tr>
      <w:tr w:rsidR="008F371F" w:rsidRPr="00F03B35" w14:paraId="2DD8C3C1" w14:textId="77777777" w:rsidTr="00B93DB1">
        <w:trPr>
          <w:trHeight w:val="438"/>
        </w:trPr>
        <w:tc>
          <w:tcPr>
            <w:tcW w:w="1063" w:type="dxa"/>
            <w:tcBorders>
              <w:top w:val="single" w:sz="4" w:space="0" w:color="979991"/>
              <w:left w:val="single" w:sz="4" w:space="0" w:color="979991"/>
              <w:bottom w:val="nil"/>
              <w:right w:val="nil"/>
            </w:tcBorders>
            <w:shd w:val="clear" w:color="000000" w:fill="F0F4FA"/>
            <w:vAlign w:val="center"/>
            <w:hideMark/>
          </w:tcPr>
          <w:p w14:paraId="7FAF2B2A" w14:textId="77777777" w:rsidR="008F371F" w:rsidRPr="00F03B35" w:rsidRDefault="008F371F" w:rsidP="00B93DB1">
            <w:pPr>
              <w:contextualSpacing/>
              <w:jc w:val="center"/>
              <w:rPr>
                <w:rFonts w:ascii="Calibri" w:hAnsi="Calibri" w:cs="Calibri"/>
                <w:b/>
                <w:bCs/>
                <w:color w:val="000000"/>
                <w:sz w:val="16"/>
                <w:szCs w:val="16"/>
              </w:rPr>
            </w:pPr>
            <w:r w:rsidRPr="00F03B35">
              <w:rPr>
                <w:rFonts w:ascii="Calibri" w:hAnsi="Calibri" w:cs="Calibri"/>
                <w:b/>
                <w:bCs/>
                <w:color w:val="000000"/>
                <w:sz w:val="16"/>
                <w:szCs w:val="16"/>
                <w:rtl/>
              </w:rPr>
              <w:t>קוד תוכנית</w:t>
            </w:r>
          </w:p>
        </w:tc>
        <w:tc>
          <w:tcPr>
            <w:tcW w:w="1311" w:type="dxa"/>
            <w:tcBorders>
              <w:top w:val="single" w:sz="4" w:space="0" w:color="979991"/>
              <w:left w:val="single" w:sz="4" w:space="0" w:color="979991"/>
              <w:bottom w:val="single" w:sz="4" w:space="0" w:color="979991"/>
              <w:right w:val="nil"/>
            </w:tcBorders>
            <w:shd w:val="clear" w:color="000000" w:fill="F0F4FA"/>
            <w:vAlign w:val="center"/>
            <w:hideMark/>
          </w:tcPr>
          <w:p w14:paraId="7E17E968"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השינוי התקציבי המוצע בפנייה זו</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7662446C"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2026</w:t>
            </w:r>
          </w:p>
        </w:tc>
        <w:tc>
          <w:tcPr>
            <w:tcW w:w="1063" w:type="dxa"/>
            <w:tcBorders>
              <w:top w:val="single" w:sz="4" w:space="0" w:color="979991"/>
              <w:left w:val="single" w:sz="4" w:space="0" w:color="979991"/>
              <w:bottom w:val="single" w:sz="4" w:space="0" w:color="979991"/>
              <w:right w:val="nil"/>
            </w:tcBorders>
            <w:shd w:val="clear" w:color="000000" w:fill="F0F4FA"/>
            <w:vAlign w:val="center"/>
            <w:hideMark/>
          </w:tcPr>
          <w:p w14:paraId="32E7D700"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2025</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032FE6E8"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2025</w:t>
            </w:r>
          </w:p>
        </w:tc>
        <w:tc>
          <w:tcPr>
            <w:tcW w:w="1063" w:type="dxa"/>
            <w:tcBorders>
              <w:top w:val="single" w:sz="4" w:space="0" w:color="979991"/>
              <w:left w:val="single" w:sz="4" w:space="0" w:color="979991"/>
              <w:bottom w:val="single" w:sz="4" w:space="0" w:color="979991"/>
              <w:right w:val="nil"/>
            </w:tcBorders>
            <w:shd w:val="clear" w:color="000000" w:fill="F0F4FA"/>
            <w:vAlign w:val="center"/>
            <w:hideMark/>
          </w:tcPr>
          <w:p w14:paraId="5FBA05D5"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2024</w:t>
            </w:r>
          </w:p>
        </w:tc>
        <w:tc>
          <w:tcPr>
            <w:tcW w:w="904" w:type="dxa"/>
            <w:tcBorders>
              <w:top w:val="single" w:sz="4" w:space="0" w:color="979991"/>
              <w:left w:val="single" w:sz="4" w:space="0" w:color="979991"/>
              <w:bottom w:val="single" w:sz="4" w:space="0" w:color="979991"/>
              <w:right w:val="nil"/>
            </w:tcBorders>
            <w:shd w:val="clear" w:color="000000" w:fill="F0F4FA"/>
            <w:vAlign w:val="center"/>
            <w:hideMark/>
          </w:tcPr>
          <w:p w14:paraId="7E7E9505"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2024</w:t>
            </w:r>
          </w:p>
        </w:tc>
        <w:tc>
          <w:tcPr>
            <w:tcW w:w="1063" w:type="dxa"/>
            <w:tcBorders>
              <w:top w:val="single" w:sz="4" w:space="0" w:color="979991"/>
              <w:left w:val="single" w:sz="4" w:space="0" w:color="979991"/>
              <w:bottom w:val="single" w:sz="4" w:space="0" w:color="979991"/>
              <w:right w:val="nil"/>
            </w:tcBorders>
            <w:shd w:val="clear" w:color="000000" w:fill="F0F4FA"/>
            <w:vAlign w:val="center"/>
            <w:hideMark/>
          </w:tcPr>
          <w:p w14:paraId="5927CD16"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מאושר 2023</w:t>
            </w:r>
          </w:p>
        </w:tc>
        <w:tc>
          <w:tcPr>
            <w:tcW w:w="85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66F3B0F6" w14:textId="77777777" w:rsidR="008F371F" w:rsidRPr="00F03B35" w:rsidRDefault="008F371F" w:rsidP="00B93DB1">
            <w:pPr>
              <w:contextualSpacing/>
              <w:jc w:val="center"/>
              <w:rPr>
                <w:rFonts w:ascii="Calibri" w:hAnsi="Calibri" w:cs="Calibri"/>
                <w:b/>
                <w:bCs/>
                <w:color w:val="000000"/>
                <w:sz w:val="16"/>
                <w:szCs w:val="16"/>
                <w:rtl/>
              </w:rPr>
            </w:pPr>
            <w:r w:rsidRPr="00F03B35">
              <w:rPr>
                <w:rFonts w:ascii="Calibri" w:hAnsi="Calibri" w:cs="Calibri"/>
                <w:b/>
                <w:bCs/>
                <w:color w:val="000000"/>
                <w:sz w:val="16"/>
                <w:szCs w:val="16"/>
                <w:rtl/>
              </w:rPr>
              <w:t>מקורי 2023</w:t>
            </w:r>
          </w:p>
        </w:tc>
      </w:tr>
      <w:tr w:rsidR="008F371F" w:rsidRPr="00F03B35" w14:paraId="578069CD" w14:textId="77777777" w:rsidTr="00B93DB1">
        <w:trPr>
          <w:trHeight w:val="302"/>
        </w:trPr>
        <w:tc>
          <w:tcPr>
            <w:tcW w:w="1063" w:type="dxa"/>
            <w:tcBorders>
              <w:top w:val="single" w:sz="4" w:space="0" w:color="979991"/>
              <w:left w:val="single" w:sz="4" w:space="0" w:color="979991"/>
              <w:bottom w:val="single" w:sz="4" w:space="0" w:color="979991"/>
              <w:right w:val="nil"/>
            </w:tcBorders>
            <w:shd w:val="clear" w:color="000000" w:fill="F0F4FA"/>
            <w:vAlign w:val="center"/>
            <w:hideMark/>
          </w:tcPr>
          <w:p w14:paraId="6FDA9CA6" w14:textId="77777777" w:rsidR="008F371F" w:rsidRPr="00F03B35" w:rsidRDefault="008F371F" w:rsidP="00B93DB1">
            <w:pPr>
              <w:bidi w:val="0"/>
              <w:contextualSpacing/>
              <w:jc w:val="center"/>
              <w:rPr>
                <w:rFonts w:ascii="Calibri" w:hAnsi="Calibri" w:cs="Calibri"/>
                <w:color w:val="000000"/>
                <w:sz w:val="16"/>
                <w:szCs w:val="16"/>
                <w:rtl/>
              </w:rPr>
            </w:pPr>
            <w:r w:rsidRPr="00F03B35">
              <w:rPr>
                <w:rFonts w:ascii="Calibri" w:hAnsi="Calibri" w:cs="Calibri"/>
                <w:color w:val="000000"/>
                <w:sz w:val="16"/>
                <w:szCs w:val="16"/>
              </w:rPr>
              <w:t>383001</w:t>
            </w:r>
          </w:p>
        </w:tc>
        <w:tc>
          <w:tcPr>
            <w:tcW w:w="1311" w:type="dxa"/>
            <w:tcBorders>
              <w:top w:val="nil"/>
              <w:left w:val="single" w:sz="4" w:space="0" w:color="979991"/>
              <w:bottom w:val="single" w:sz="4" w:space="0" w:color="979991"/>
              <w:right w:val="nil"/>
            </w:tcBorders>
            <w:shd w:val="clear" w:color="000000" w:fill="FFFFFF"/>
            <w:vAlign w:val="center"/>
            <w:hideMark/>
          </w:tcPr>
          <w:p w14:paraId="30B88ED5"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334C450A"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w:t>
            </w:r>
          </w:p>
        </w:tc>
        <w:tc>
          <w:tcPr>
            <w:tcW w:w="1063" w:type="dxa"/>
            <w:tcBorders>
              <w:top w:val="nil"/>
              <w:left w:val="single" w:sz="4" w:space="0" w:color="979991"/>
              <w:bottom w:val="single" w:sz="4" w:space="0" w:color="979991"/>
              <w:right w:val="nil"/>
            </w:tcBorders>
            <w:shd w:val="clear" w:color="000000" w:fill="FFFFFF"/>
            <w:vAlign w:val="center"/>
            <w:hideMark/>
          </w:tcPr>
          <w:p w14:paraId="10016B4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10,000</w:t>
            </w:r>
          </w:p>
        </w:tc>
        <w:tc>
          <w:tcPr>
            <w:tcW w:w="904" w:type="dxa"/>
            <w:tcBorders>
              <w:top w:val="nil"/>
              <w:left w:val="single" w:sz="4" w:space="0" w:color="979991"/>
              <w:bottom w:val="single" w:sz="4" w:space="0" w:color="979991"/>
              <w:right w:val="nil"/>
            </w:tcBorders>
            <w:shd w:val="clear" w:color="000000" w:fill="FFFFFF"/>
            <w:vAlign w:val="center"/>
            <w:hideMark/>
          </w:tcPr>
          <w:p w14:paraId="217E1435"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w:t>
            </w:r>
          </w:p>
        </w:tc>
        <w:tc>
          <w:tcPr>
            <w:tcW w:w="1063" w:type="dxa"/>
            <w:tcBorders>
              <w:top w:val="nil"/>
              <w:left w:val="single" w:sz="4" w:space="0" w:color="979991"/>
              <w:bottom w:val="single" w:sz="4" w:space="0" w:color="979991"/>
              <w:right w:val="nil"/>
            </w:tcBorders>
            <w:shd w:val="clear" w:color="000000" w:fill="FFFFFF"/>
            <w:vAlign w:val="center"/>
            <w:hideMark/>
          </w:tcPr>
          <w:p w14:paraId="7CDA07AC"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w:t>
            </w:r>
          </w:p>
        </w:tc>
        <w:tc>
          <w:tcPr>
            <w:tcW w:w="904" w:type="dxa"/>
            <w:tcBorders>
              <w:top w:val="nil"/>
              <w:left w:val="single" w:sz="4" w:space="0" w:color="979991"/>
              <w:bottom w:val="single" w:sz="4" w:space="0" w:color="979991"/>
              <w:right w:val="nil"/>
            </w:tcBorders>
            <w:shd w:val="clear" w:color="000000" w:fill="FFFFFF"/>
            <w:vAlign w:val="center"/>
            <w:hideMark/>
          </w:tcPr>
          <w:p w14:paraId="53654A31"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w:t>
            </w:r>
          </w:p>
        </w:tc>
        <w:tc>
          <w:tcPr>
            <w:tcW w:w="1063" w:type="dxa"/>
            <w:tcBorders>
              <w:top w:val="nil"/>
              <w:left w:val="single" w:sz="4" w:space="0" w:color="979991"/>
              <w:bottom w:val="single" w:sz="4" w:space="0" w:color="979991"/>
              <w:right w:val="nil"/>
            </w:tcBorders>
            <w:shd w:val="clear" w:color="000000" w:fill="FFFFFF"/>
            <w:vAlign w:val="center"/>
            <w:hideMark/>
          </w:tcPr>
          <w:p w14:paraId="6FDC2B9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4,200</w:t>
            </w:r>
          </w:p>
        </w:tc>
        <w:tc>
          <w:tcPr>
            <w:tcW w:w="850" w:type="dxa"/>
            <w:tcBorders>
              <w:top w:val="nil"/>
              <w:left w:val="single" w:sz="4" w:space="0" w:color="979991"/>
              <w:bottom w:val="single" w:sz="4" w:space="0" w:color="979991"/>
              <w:right w:val="single" w:sz="4" w:space="0" w:color="979991"/>
            </w:tcBorders>
            <w:shd w:val="clear" w:color="000000" w:fill="FFFFFF"/>
            <w:vAlign w:val="center"/>
            <w:hideMark/>
          </w:tcPr>
          <w:p w14:paraId="6C8222D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1,000</w:t>
            </w:r>
          </w:p>
        </w:tc>
      </w:tr>
      <w:tr w:rsidR="008F371F" w:rsidRPr="00F03B35" w14:paraId="5F62E409" w14:textId="77777777" w:rsidTr="00B93DB1">
        <w:trPr>
          <w:trHeight w:val="302"/>
        </w:trPr>
        <w:tc>
          <w:tcPr>
            <w:tcW w:w="1063" w:type="dxa"/>
            <w:tcBorders>
              <w:top w:val="nil"/>
              <w:left w:val="single" w:sz="4" w:space="0" w:color="979991"/>
              <w:bottom w:val="single" w:sz="4" w:space="0" w:color="979991"/>
              <w:right w:val="nil"/>
            </w:tcBorders>
            <w:shd w:val="clear" w:color="000000" w:fill="F0F4FA"/>
            <w:vAlign w:val="center"/>
            <w:hideMark/>
          </w:tcPr>
          <w:p w14:paraId="7467BE80"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383002</w:t>
            </w:r>
          </w:p>
        </w:tc>
        <w:tc>
          <w:tcPr>
            <w:tcW w:w="1311" w:type="dxa"/>
            <w:tcBorders>
              <w:top w:val="nil"/>
              <w:left w:val="single" w:sz="4" w:space="0" w:color="979991"/>
              <w:bottom w:val="single" w:sz="4" w:space="0" w:color="979991"/>
              <w:right w:val="nil"/>
            </w:tcBorders>
            <w:shd w:val="clear" w:color="000000" w:fill="FFFFFF"/>
            <w:vAlign w:val="center"/>
            <w:hideMark/>
          </w:tcPr>
          <w:p w14:paraId="4B043D52"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0</w:t>
            </w:r>
          </w:p>
        </w:tc>
        <w:tc>
          <w:tcPr>
            <w:tcW w:w="904" w:type="dxa"/>
            <w:tcBorders>
              <w:top w:val="nil"/>
              <w:left w:val="single" w:sz="4" w:space="0" w:color="979991"/>
              <w:bottom w:val="single" w:sz="4" w:space="0" w:color="979991"/>
              <w:right w:val="nil"/>
            </w:tcBorders>
            <w:shd w:val="clear" w:color="000000" w:fill="FFFFFF"/>
            <w:vAlign w:val="center"/>
            <w:hideMark/>
          </w:tcPr>
          <w:p w14:paraId="7CB14056"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498,000</w:t>
            </w:r>
          </w:p>
        </w:tc>
        <w:tc>
          <w:tcPr>
            <w:tcW w:w="1063" w:type="dxa"/>
            <w:tcBorders>
              <w:top w:val="nil"/>
              <w:left w:val="single" w:sz="4" w:space="0" w:color="979991"/>
              <w:bottom w:val="single" w:sz="4" w:space="0" w:color="979991"/>
              <w:right w:val="nil"/>
            </w:tcBorders>
            <w:shd w:val="clear" w:color="000000" w:fill="FFFFFF"/>
            <w:vAlign w:val="center"/>
            <w:hideMark/>
          </w:tcPr>
          <w:p w14:paraId="36FE235F"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489,000</w:t>
            </w:r>
          </w:p>
        </w:tc>
        <w:tc>
          <w:tcPr>
            <w:tcW w:w="904" w:type="dxa"/>
            <w:tcBorders>
              <w:top w:val="nil"/>
              <w:left w:val="single" w:sz="4" w:space="0" w:color="979991"/>
              <w:bottom w:val="single" w:sz="4" w:space="0" w:color="979991"/>
              <w:right w:val="nil"/>
            </w:tcBorders>
            <w:shd w:val="clear" w:color="000000" w:fill="FFFFFF"/>
            <w:vAlign w:val="center"/>
            <w:hideMark/>
          </w:tcPr>
          <w:p w14:paraId="4E9FBE5D"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498,000</w:t>
            </w:r>
          </w:p>
        </w:tc>
        <w:tc>
          <w:tcPr>
            <w:tcW w:w="1063" w:type="dxa"/>
            <w:tcBorders>
              <w:top w:val="nil"/>
              <w:left w:val="single" w:sz="4" w:space="0" w:color="979991"/>
              <w:bottom w:val="single" w:sz="4" w:space="0" w:color="979991"/>
              <w:right w:val="nil"/>
            </w:tcBorders>
            <w:shd w:val="clear" w:color="000000" w:fill="FFFFFF"/>
            <w:vAlign w:val="center"/>
            <w:hideMark/>
          </w:tcPr>
          <w:p w14:paraId="6156E13B"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498,000</w:t>
            </w:r>
          </w:p>
        </w:tc>
        <w:tc>
          <w:tcPr>
            <w:tcW w:w="904" w:type="dxa"/>
            <w:tcBorders>
              <w:top w:val="nil"/>
              <w:left w:val="single" w:sz="4" w:space="0" w:color="979991"/>
              <w:bottom w:val="single" w:sz="4" w:space="0" w:color="979991"/>
              <w:right w:val="nil"/>
            </w:tcBorders>
            <w:shd w:val="clear" w:color="000000" w:fill="FFFFFF"/>
            <w:vAlign w:val="center"/>
            <w:hideMark/>
          </w:tcPr>
          <w:p w14:paraId="5D0B8067"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498,000</w:t>
            </w:r>
          </w:p>
        </w:tc>
        <w:tc>
          <w:tcPr>
            <w:tcW w:w="1063" w:type="dxa"/>
            <w:tcBorders>
              <w:top w:val="nil"/>
              <w:left w:val="single" w:sz="4" w:space="0" w:color="979991"/>
              <w:bottom w:val="single" w:sz="4" w:space="0" w:color="979991"/>
              <w:right w:val="nil"/>
            </w:tcBorders>
            <w:shd w:val="clear" w:color="000000" w:fill="FFFFFF"/>
            <w:vAlign w:val="center"/>
            <w:hideMark/>
          </w:tcPr>
          <w:p w14:paraId="1D49E5CF"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566,500</w:t>
            </w:r>
          </w:p>
        </w:tc>
        <w:tc>
          <w:tcPr>
            <w:tcW w:w="850" w:type="dxa"/>
            <w:tcBorders>
              <w:top w:val="nil"/>
              <w:left w:val="single" w:sz="4" w:space="0" w:color="979991"/>
              <w:bottom w:val="single" w:sz="4" w:space="0" w:color="979991"/>
              <w:right w:val="single" w:sz="4" w:space="0" w:color="979991"/>
            </w:tcBorders>
            <w:shd w:val="clear" w:color="000000" w:fill="FFFFFF"/>
            <w:vAlign w:val="center"/>
            <w:hideMark/>
          </w:tcPr>
          <w:p w14:paraId="3701E960" w14:textId="77777777" w:rsidR="008F371F" w:rsidRPr="00F03B35" w:rsidRDefault="008F371F" w:rsidP="00B93DB1">
            <w:pPr>
              <w:bidi w:val="0"/>
              <w:contextualSpacing/>
              <w:jc w:val="center"/>
              <w:rPr>
                <w:rFonts w:ascii="Calibri" w:hAnsi="Calibri" w:cs="Calibri"/>
                <w:color w:val="000000"/>
                <w:sz w:val="16"/>
                <w:szCs w:val="16"/>
              </w:rPr>
            </w:pPr>
            <w:r w:rsidRPr="00F03B35">
              <w:rPr>
                <w:rFonts w:ascii="Calibri" w:hAnsi="Calibri" w:cs="Calibri"/>
                <w:color w:val="000000"/>
                <w:sz w:val="16"/>
                <w:szCs w:val="16"/>
              </w:rPr>
              <w:t>498,000</w:t>
            </w:r>
          </w:p>
        </w:tc>
      </w:tr>
    </w:tbl>
    <w:p w14:paraId="1EDF282E"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597A" w14:textId="77777777" w:rsidR="00EB71F3" w:rsidRDefault="00EB71F3" w:rsidP="004374A5">
      <w:r>
        <w:separator/>
      </w:r>
    </w:p>
  </w:endnote>
  <w:endnote w:type="continuationSeparator" w:id="0">
    <w:p w14:paraId="373BD11F" w14:textId="77777777" w:rsidR="00EB71F3" w:rsidRDefault="00EB71F3"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1F5E"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E661A"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2E99A"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E253B" w14:textId="77777777" w:rsidR="00EB71F3" w:rsidRDefault="00EB71F3" w:rsidP="004374A5">
      <w:r>
        <w:separator/>
      </w:r>
    </w:p>
  </w:footnote>
  <w:footnote w:type="continuationSeparator" w:id="0">
    <w:p w14:paraId="39E97EAF" w14:textId="77777777" w:rsidR="00EB71F3" w:rsidRDefault="00EB71F3"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B7EE"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1D64C" w14:textId="77777777" w:rsidR="004374A5" w:rsidRDefault="00EB71F3">
    <w:pPr>
      <w:pStyle w:val="a4"/>
    </w:pPr>
    <w:r>
      <w:rPr>
        <w:noProof/>
      </w:rPr>
      <w:pict w14:anchorId="70EEB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A1BB"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11DA3"/>
    <w:multiLevelType w:val="multilevel"/>
    <w:tmpl w:val="E61E8B18"/>
    <w:lvl w:ilvl="0">
      <w:start w:val="1"/>
      <w:numFmt w:val="decimal"/>
      <w:lvlRestart w:val="0"/>
      <w:lvlText w:val="%1 ."/>
      <w:lvlJc w:val="left"/>
      <w:pPr>
        <w:tabs>
          <w:tab w:val="num" w:pos="397"/>
        </w:tabs>
        <w:ind w:left="397" w:hanging="397"/>
      </w:pPr>
      <w:rPr>
        <w:rFonts w:hint="default"/>
      </w:r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5A22CA"/>
    <w:rsid w:val="007847C9"/>
    <w:rsid w:val="007C275A"/>
    <w:rsid w:val="008F371F"/>
    <w:rsid w:val="00AC2EE6"/>
    <w:rsid w:val="00B0145B"/>
    <w:rsid w:val="00B42666"/>
    <w:rsid w:val="00B61EA5"/>
    <w:rsid w:val="00BB3BA1"/>
    <w:rsid w:val="00C13197"/>
    <w:rsid w:val="00EB71F3"/>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66DF7BC"/>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rsid w:val="008F371F"/>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910</Words>
  <Characters>4555</Characters>
  <Application>Microsoft Office Word</Application>
  <DocSecurity>0</DocSecurity>
  <Lines>37</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2026-07-27T05:31:00Z</dcterms:created>
  <dcterms:modified xsi:type="dcterms:W3CDTF">2026-07-27T05:36:00Z</dcterms:modified>
</cp:coreProperties>
</file>