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2D43A" w14:textId="77777777" w:rsidR="00436E4E" w:rsidRDefault="00436E4E">
      <w:pPr>
        <w:pStyle w:val="a6"/>
        <w:rPr>
          <w:rtl/>
        </w:rPr>
      </w:pPr>
    </w:p>
    <w:p w14:paraId="72B48DA2" w14:textId="77777777" w:rsidR="00436E4E" w:rsidRDefault="00436E4E">
      <w:pPr>
        <w:pStyle w:val="a6"/>
        <w:rPr>
          <w:rtl/>
        </w:rPr>
      </w:pPr>
      <w:r>
        <w:rPr>
          <w:rtl/>
        </w:rPr>
        <w:t>מדינת ישראל</w:t>
      </w:r>
    </w:p>
    <w:p w14:paraId="13AA7485" w14:textId="77777777" w:rsidR="00436E4E" w:rsidRDefault="00436E4E">
      <w:pPr>
        <w:pStyle w:val="a6"/>
        <w:rPr>
          <w:szCs w:val="24"/>
          <w:rtl/>
        </w:rPr>
      </w:pPr>
      <w:r>
        <w:rPr>
          <w:rtl/>
        </w:rPr>
        <w:t>האוצר - אגף התקציבים</w:t>
      </w:r>
    </w:p>
    <w:p w14:paraId="0D44BEC1" w14:textId="77777777" w:rsidR="00436E4E" w:rsidRDefault="00436E4E">
      <w:pPr>
        <w:rPr>
          <w:rtl/>
        </w:rPr>
      </w:pPr>
    </w:p>
    <w:p w14:paraId="21569A94" w14:textId="77777777" w:rsidR="00436E4E" w:rsidRDefault="00436E4E">
      <w:pPr>
        <w:rPr>
          <w:rtl/>
        </w:rPr>
      </w:pPr>
    </w:p>
    <w:p w14:paraId="1274D68B" w14:textId="71CFA6EF" w:rsidR="00436E4E" w:rsidRDefault="00436E4E">
      <w:pPr>
        <w:tabs>
          <w:tab w:val="left" w:pos="6300"/>
        </w:tabs>
        <w:rPr>
          <w:rtl/>
        </w:rPr>
      </w:pPr>
      <w:r>
        <w:rPr>
          <w:rtl/>
        </w:rPr>
        <w:tab/>
      </w:r>
      <w:bookmarkStart w:id="0" w:name="TAKZIV8"/>
      <w:r w:rsidR="007F5DF6">
        <w:rPr>
          <w:rtl/>
        </w:rPr>
        <w:t>תקציב רגיל</w:t>
      </w:r>
      <w:bookmarkEnd w:id="0"/>
    </w:p>
    <w:p w14:paraId="27573D82" w14:textId="77777777" w:rsidR="00436E4E" w:rsidRDefault="00436E4E">
      <w:pPr>
        <w:tabs>
          <w:tab w:val="left" w:pos="6300"/>
        </w:tabs>
        <w:rPr>
          <w:rtl/>
        </w:rPr>
      </w:pPr>
      <w:r>
        <w:rPr>
          <w:rtl/>
        </w:rPr>
        <w:tab/>
      </w:r>
    </w:p>
    <w:p w14:paraId="58DF61BE"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0CB594BC" w14:textId="0B7CA0D0"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7F5DF6">
        <w:rPr>
          <w:rFonts w:cs="FrankRuehl"/>
          <w:sz w:val="26"/>
          <w:szCs w:val="26"/>
          <w:rtl/>
        </w:rPr>
        <w:t>010</w:t>
      </w:r>
      <w:bookmarkEnd w:id="2"/>
      <w:r w:rsidRPr="002E1D22">
        <w:rPr>
          <w:rFonts w:cs="FrankRuehl"/>
          <w:sz w:val="26"/>
          <w:szCs w:val="26"/>
          <w:rtl/>
        </w:rPr>
        <w:t xml:space="preserve"> </w:t>
      </w:r>
      <w:r w:rsidR="00EF2E5F">
        <w:rPr>
          <w:rFonts w:cs="FrankRuehl"/>
          <w:sz w:val="26"/>
          <w:szCs w:val="26"/>
          <w:rtl/>
        </w:rPr>
        <w:t>–</w:t>
      </w:r>
      <w:r w:rsidRPr="002E1D22">
        <w:rPr>
          <w:rFonts w:cs="FrankRuehl"/>
          <w:sz w:val="26"/>
          <w:szCs w:val="26"/>
          <w:rtl/>
        </w:rPr>
        <w:t xml:space="preserve"> </w:t>
      </w:r>
      <w:bookmarkStart w:id="3" w:name="TAKZIV3"/>
      <w:r w:rsidR="007F5DF6">
        <w:rPr>
          <w:rFonts w:cs="FrankRuehl"/>
          <w:sz w:val="26"/>
          <w:szCs w:val="26"/>
          <w:rtl/>
        </w:rPr>
        <w:t>18</w:t>
      </w:r>
      <w:bookmarkEnd w:id="3"/>
      <w:r w:rsidR="00EF2E5F">
        <w:rPr>
          <w:rFonts w:cs="FrankRuehl" w:hint="cs"/>
          <w:sz w:val="26"/>
          <w:szCs w:val="26"/>
          <w:rtl/>
        </w:rPr>
        <w:t>,</w:t>
      </w:r>
    </w:p>
    <w:p w14:paraId="4731FB84" w14:textId="75E04FB5" w:rsidR="00EF2E5F" w:rsidRPr="002E1D22" w:rsidRDefault="00EF2E5F" w:rsidP="002E1D22">
      <w:pPr>
        <w:tabs>
          <w:tab w:val="left" w:pos="5755"/>
        </w:tabs>
        <w:rPr>
          <w:rFonts w:cs="FrankRuehl"/>
          <w:sz w:val="26"/>
          <w:szCs w:val="26"/>
          <w:rtl/>
        </w:rPr>
      </w:pPr>
      <w:r>
        <w:rPr>
          <w:rFonts w:cs="FrankRuehl"/>
          <w:sz w:val="26"/>
          <w:szCs w:val="26"/>
          <w:rtl/>
        </w:rPr>
        <w:tab/>
      </w:r>
      <w:r>
        <w:rPr>
          <w:rFonts w:cs="FrankRuehl" w:hint="cs"/>
          <w:sz w:val="26"/>
          <w:szCs w:val="26"/>
          <w:rtl/>
        </w:rPr>
        <w:t>13-215</w:t>
      </w:r>
    </w:p>
    <w:p w14:paraId="05D5927F" w14:textId="77777777" w:rsidR="00EF2E5F"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proofErr w:type="spellStart"/>
      <w:r w:rsidRPr="002E1D22">
        <w:rPr>
          <w:rFonts w:cs="FrankRuehl"/>
          <w:sz w:val="26"/>
          <w:szCs w:val="26"/>
          <w:rtl/>
        </w:rPr>
        <w:t>לועדה</w:t>
      </w:r>
      <w:proofErr w:type="spellEnd"/>
      <w:r w:rsidRPr="002E1D22">
        <w:rPr>
          <w:rFonts w:cs="FrankRuehl"/>
          <w:sz w:val="26"/>
          <w:szCs w:val="26"/>
          <w:rtl/>
        </w:rPr>
        <w:t>:</w:t>
      </w:r>
    </w:p>
    <w:p w14:paraId="2D17BA8D" w14:textId="45D74DB4" w:rsidR="00436E4E" w:rsidRDefault="00EF2E5F" w:rsidP="00EF2E5F">
      <w:pPr>
        <w:ind w:left="5040" w:firstLine="720"/>
        <w:rPr>
          <w:rFonts w:cs="FrankRuehl"/>
          <w:sz w:val="26"/>
          <w:szCs w:val="26"/>
          <w:rtl/>
        </w:rPr>
      </w:pPr>
      <w:r>
        <w:rPr>
          <w:rFonts w:cs="FrankRuehl" w:hint="cs"/>
          <w:sz w:val="26"/>
          <w:szCs w:val="26"/>
          <w:rtl/>
        </w:rPr>
        <w:t>140 עד</w:t>
      </w:r>
      <w:r w:rsidR="00436E4E" w:rsidRPr="002E1D22">
        <w:rPr>
          <w:rFonts w:cs="FrankRuehl"/>
          <w:sz w:val="26"/>
          <w:szCs w:val="26"/>
          <w:rtl/>
        </w:rPr>
        <w:t xml:space="preserve"> </w:t>
      </w:r>
      <w:bookmarkStart w:id="4" w:name="TAKZIV11"/>
      <w:r w:rsidR="007F5DF6">
        <w:rPr>
          <w:rFonts w:cs="FrankRuehl"/>
          <w:sz w:val="26"/>
          <w:szCs w:val="26"/>
          <w:rtl/>
        </w:rPr>
        <w:t>141</w:t>
      </w:r>
      <w:bookmarkEnd w:id="4"/>
      <w:r w:rsidR="00436E4E" w:rsidRPr="002E1D22">
        <w:rPr>
          <w:rFonts w:cs="FrankRuehl"/>
          <w:sz w:val="26"/>
          <w:szCs w:val="26"/>
          <w:rtl/>
        </w:rPr>
        <w:tab/>
      </w:r>
    </w:p>
    <w:p w14:paraId="6FCCDE23" w14:textId="77777777" w:rsidR="00EF2E5F" w:rsidRPr="002E1D22" w:rsidRDefault="00EF2E5F" w:rsidP="00EF2E5F">
      <w:pPr>
        <w:ind w:left="5040" w:firstLine="720"/>
        <w:rPr>
          <w:rFonts w:cs="FrankRuehl"/>
          <w:sz w:val="26"/>
          <w:szCs w:val="26"/>
          <w:rtl/>
        </w:rPr>
      </w:pPr>
    </w:p>
    <w:p w14:paraId="025C8D4A" w14:textId="77777777" w:rsidR="00436E4E" w:rsidRPr="002E1D22" w:rsidRDefault="00436E4E">
      <w:pPr>
        <w:rPr>
          <w:rFonts w:cs="FrankRuehl"/>
          <w:sz w:val="26"/>
          <w:szCs w:val="26"/>
          <w:rtl/>
        </w:rPr>
      </w:pPr>
      <w:r w:rsidRPr="002E1D22">
        <w:rPr>
          <w:rFonts w:cs="FrankRuehl"/>
          <w:sz w:val="26"/>
          <w:szCs w:val="26"/>
          <w:rtl/>
        </w:rPr>
        <w:t>לכבוד,</w:t>
      </w:r>
    </w:p>
    <w:p w14:paraId="33A51019" w14:textId="77777777" w:rsidR="00436E4E" w:rsidRPr="002E1D22" w:rsidRDefault="00436E4E">
      <w:pPr>
        <w:rPr>
          <w:rFonts w:cs="FrankRuehl"/>
          <w:sz w:val="26"/>
          <w:szCs w:val="26"/>
          <w:rtl/>
        </w:rPr>
      </w:pPr>
      <w:r w:rsidRPr="002E1D22">
        <w:rPr>
          <w:rFonts w:cs="FrankRuehl"/>
          <w:sz w:val="26"/>
          <w:szCs w:val="26"/>
          <w:rtl/>
        </w:rPr>
        <w:t>יו"ר ועדת הכספים</w:t>
      </w:r>
    </w:p>
    <w:p w14:paraId="5E675C1C" w14:textId="77777777" w:rsidR="00436E4E" w:rsidRPr="002E1D22" w:rsidRDefault="00436E4E">
      <w:pPr>
        <w:rPr>
          <w:rFonts w:cs="FrankRuehl"/>
          <w:sz w:val="26"/>
          <w:szCs w:val="26"/>
          <w:rtl/>
        </w:rPr>
      </w:pPr>
      <w:r w:rsidRPr="002E1D22">
        <w:rPr>
          <w:rFonts w:cs="FrankRuehl"/>
          <w:sz w:val="26"/>
          <w:szCs w:val="26"/>
          <w:rtl/>
        </w:rPr>
        <w:t>של הכנסת</w:t>
      </w:r>
    </w:p>
    <w:p w14:paraId="3E458486" w14:textId="77777777" w:rsidR="00436E4E" w:rsidRPr="002E1D22" w:rsidRDefault="00436E4E">
      <w:pPr>
        <w:rPr>
          <w:rFonts w:cs="FrankRuehl"/>
          <w:sz w:val="26"/>
          <w:szCs w:val="26"/>
          <w:rtl/>
        </w:rPr>
      </w:pPr>
    </w:p>
    <w:p w14:paraId="0BF9E72B" w14:textId="77777777" w:rsidR="00436E4E" w:rsidRPr="002E1D22" w:rsidRDefault="00436E4E">
      <w:pPr>
        <w:rPr>
          <w:rFonts w:cs="FrankRuehl"/>
          <w:sz w:val="26"/>
          <w:szCs w:val="26"/>
          <w:rtl/>
        </w:rPr>
      </w:pPr>
      <w:r w:rsidRPr="002E1D22">
        <w:rPr>
          <w:rFonts w:cs="FrankRuehl"/>
          <w:sz w:val="26"/>
          <w:szCs w:val="26"/>
          <w:rtl/>
        </w:rPr>
        <w:t>א.נ.,</w:t>
      </w:r>
    </w:p>
    <w:p w14:paraId="0D2611F9" w14:textId="77777777" w:rsidR="00436E4E" w:rsidRPr="002E1D22" w:rsidRDefault="00436E4E">
      <w:pPr>
        <w:rPr>
          <w:rFonts w:cs="FrankRuehl"/>
          <w:sz w:val="26"/>
          <w:szCs w:val="26"/>
          <w:rtl/>
        </w:rPr>
      </w:pPr>
    </w:p>
    <w:p w14:paraId="088C3D86"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7F5DF6">
        <w:rPr>
          <w:rFonts w:cs="FrankRuehl"/>
          <w:sz w:val="26"/>
          <w:rtl/>
        </w:rPr>
        <w:t>2026</w:t>
      </w:r>
      <w:bookmarkEnd w:id="5"/>
      <w:r w:rsidRPr="002E1D22">
        <w:rPr>
          <w:rFonts w:cs="FrankRuehl"/>
          <w:sz w:val="26"/>
          <w:rtl/>
        </w:rPr>
        <w:t xml:space="preserve">     </w:t>
      </w:r>
    </w:p>
    <w:p w14:paraId="0720FCC6" w14:textId="77777777" w:rsidR="00436E4E" w:rsidRPr="002E1D22" w:rsidRDefault="00436E4E" w:rsidP="002E1D22">
      <w:pPr>
        <w:jc w:val="both"/>
        <w:rPr>
          <w:rFonts w:cs="FrankRuehl"/>
          <w:sz w:val="26"/>
          <w:szCs w:val="26"/>
          <w:rtl/>
        </w:rPr>
      </w:pPr>
    </w:p>
    <w:p w14:paraId="178DE929" w14:textId="1EB13AA6" w:rsidR="00436E4E" w:rsidRPr="002E1D22" w:rsidRDefault="00436E4E" w:rsidP="00EF2E5F">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7F5DF6">
        <w:rPr>
          <w:rFonts w:cs="FrankRuehl"/>
          <w:sz w:val="26"/>
          <w:szCs w:val="26"/>
          <w:rtl/>
        </w:rPr>
        <w:t>247,700</w:t>
      </w:r>
      <w:bookmarkEnd w:id="6"/>
      <w:r w:rsidRPr="002E1D22">
        <w:rPr>
          <w:rFonts w:cs="FrankRuehl"/>
          <w:sz w:val="26"/>
          <w:szCs w:val="26"/>
          <w:rtl/>
        </w:rPr>
        <w:t xml:space="preserve"> אלפי שקלים חדשים מסעיף</w:t>
      </w:r>
      <w:r w:rsidR="00EF2E5F">
        <w:rPr>
          <w:rFonts w:cs="FrankRuehl" w:hint="cs"/>
          <w:sz w:val="26"/>
          <w:szCs w:val="26"/>
          <w:rtl/>
        </w:rPr>
        <w:t xml:space="preserve"> 13 </w:t>
      </w:r>
      <w:r w:rsidR="00EF2E5F">
        <w:rPr>
          <w:rFonts w:cs="FrankRuehl"/>
          <w:sz w:val="26"/>
          <w:szCs w:val="26"/>
          <w:rtl/>
        </w:rPr>
        <w:t>–</w:t>
      </w:r>
      <w:r w:rsidR="00EF2E5F">
        <w:rPr>
          <w:rFonts w:cs="FrankRuehl" w:hint="cs"/>
          <w:sz w:val="26"/>
          <w:szCs w:val="26"/>
          <w:rtl/>
        </w:rPr>
        <w:t xml:space="preserve"> הוצאות שונות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3A368A55" w14:textId="77777777" w:rsidR="00436E4E" w:rsidRPr="002E1D22" w:rsidRDefault="00436E4E" w:rsidP="00EF2E5F">
      <w:pPr>
        <w:jc w:val="both"/>
        <w:rPr>
          <w:rFonts w:cs="FrankRuehl"/>
          <w:sz w:val="26"/>
          <w:szCs w:val="26"/>
          <w:rtl/>
        </w:rPr>
      </w:pPr>
    </w:p>
    <w:p w14:paraId="2FA2AE8D" w14:textId="46D23478" w:rsidR="00436E4E" w:rsidRPr="002E1D22" w:rsidRDefault="00436E4E" w:rsidP="00EF2E5F">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EF2E5F" w:rsidRPr="002E1D22">
        <w:rPr>
          <w:rFonts w:cs="FrankRuehl"/>
          <w:sz w:val="26"/>
          <w:szCs w:val="26"/>
          <w:rtl/>
        </w:rPr>
        <w:t xml:space="preserve">של </w:t>
      </w:r>
      <w:r w:rsidR="00EF2E5F">
        <w:rPr>
          <w:rFonts w:cs="FrankRuehl"/>
          <w:sz w:val="26"/>
          <w:szCs w:val="26"/>
          <w:rtl/>
        </w:rPr>
        <w:t>247,700</w:t>
      </w:r>
      <w:r w:rsidR="00EF2E5F"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EF2E5F" w:rsidRPr="002E1D22">
        <w:rPr>
          <w:rFonts w:cs="FrankRuehl"/>
          <w:sz w:val="26"/>
          <w:szCs w:val="26"/>
          <w:rtl/>
        </w:rPr>
        <w:t xml:space="preserve">לסעיף </w:t>
      </w:r>
      <w:bookmarkStart w:id="7" w:name="TAKZIV3_1"/>
      <w:r w:rsidR="00EF2E5F">
        <w:rPr>
          <w:rFonts w:cs="FrankRuehl"/>
          <w:sz w:val="26"/>
          <w:szCs w:val="26"/>
          <w:rtl/>
        </w:rPr>
        <w:t>18</w:t>
      </w:r>
      <w:bookmarkEnd w:id="7"/>
      <w:r w:rsidR="00EF2E5F" w:rsidRPr="002E1D22">
        <w:rPr>
          <w:rFonts w:cs="FrankRuehl"/>
          <w:sz w:val="26"/>
          <w:szCs w:val="26"/>
          <w:rtl/>
        </w:rPr>
        <w:t xml:space="preserve"> - </w:t>
      </w:r>
      <w:bookmarkStart w:id="8" w:name="TAKZIV6"/>
      <w:r w:rsidR="00EF2E5F">
        <w:rPr>
          <w:rFonts w:cs="FrankRuehl"/>
          <w:sz w:val="26"/>
          <w:szCs w:val="26"/>
          <w:rtl/>
        </w:rPr>
        <w:t>הרשויות המקומיות</w:t>
      </w:r>
      <w:bookmarkEnd w:id="8"/>
      <w:r w:rsidR="00EF2E5F" w:rsidRPr="002E1D22">
        <w:rPr>
          <w:rFonts w:cs="FrankRuehl"/>
          <w:sz w:val="26"/>
          <w:szCs w:val="26"/>
          <w:rtl/>
        </w:rPr>
        <w:t xml:space="preserve"> </w:t>
      </w:r>
      <w:r w:rsidRPr="002E1D22">
        <w:rPr>
          <w:rFonts w:cs="FrankRuehl"/>
          <w:sz w:val="26"/>
          <w:szCs w:val="26"/>
          <w:rtl/>
        </w:rPr>
        <w:t>בהתאם לסעיף 12 (א)</w:t>
      </w:r>
      <w:r w:rsidR="00EF2E5F">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0F0F198A" w14:textId="77777777" w:rsidR="00436E4E" w:rsidRPr="002E1D22" w:rsidRDefault="00436E4E" w:rsidP="00EF2E5F">
      <w:pPr>
        <w:jc w:val="both"/>
        <w:rPr>
          <w:rFonts w:cs="FrankRuehl"/>
          <w:sz w:val="26"/>
          <w:szCs w:val="26"/>
          <w:rtl/>
        </w:rPr>
      </w:pPr>
    </w:p>
    <w:p w14:paraId="18D11A66" w14:textId="77777777" w:rsidR="00EF2E5F" w:rsidRDefault="00EF2E5F" w:rsidP="00EF2E5F">
      <w:pPr>
        <w:contextualSpacing/>
        <w:jc w:val="both"/>
        <w:rPr>
          <w:rFonts w:ascii="FrankRuehl" w:hAnsi="FrankRuehl" w:cs="FrankRuehl"/>
          <w:b/>
          <w:bCs/>
          <w:sz w:val="26"/>
          <w:szCs w:val="26"/>
          <w:lang w:eastAsia="en-US"/>
        </w:rPr>
      </w:pPr>
      <w:bookmarkStart w:id="9" w:name="DIVREY_HESBER"/>
      <w:bookmarkStart w:id="10" w:name="_Hlk185772928"/>
      <w:bookmarkEnd w:id="9"/>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18 - הרשויות המקומיות</w:t>
      </w:r>
      <w:r>
        <w:rPr>
          <w:rFonts w:ascii="FrankRuehl" w:hAnsi="FrankRuehl" w:cs="FrankRuehl" w:hint="cs"/>
          <w:b/>
          <w:bCs/>
          <w:sz w:val="26"/>
          <w:szCs w:val="26"/>
          <w:rtl/>
        </w:rPr>
        <w:t xml:space="preserve"> </w:t>
      </w:r>
    </w:p>
    <w:p w14:paraId="28EE7E44" w14:textId="77777777" w:rsidR="00EF2E5F" w:rsidRDefault="00EF2E5F" w:rsidP="00EF2E5F">
      <w:pPr>
        <w:contextualSpacing/>
        <w:jc w:val="both"/>
        <w:rPr>
          <w:rFonts w:ascii="FrankRuehl" w:hAnsi="FrankRuehl" w:cs="FrankRuehl" w:hint="cs"/>
          <w:b/>
          <w:bCs/>
          <w:sz w:val="26"/>
          <w:szCs w:val="26"/>
        </w:rPr>
      </w:pPr>
    </w:p>
    <w:p w14:paraId="606ECDEB" w14:textId="77777777" w:rsidR="00EF2E5F" w:rsidRDefault="00EF2E5F" w:rsidP="00EF2E5F">
      <w:pPr>
        <w:contextualSpacing/>
        <w:jc w:val="both"/>
        <w:rPr>
          <w:rFonts w:ascii="FrankRuehl" w:hAnsi="FrankRuehl" w:cs="FrankRuehl" w:hint="cs"/>
          <w:b/>
          <w:bCs/>
          <w:sz w:val="26"/>
          <w:szCs w:val="26"/>
        </w:rPr>
      </w:pPr>
      <w:r>
        <w:rPr>
          <w:rFonts w:ascii="FrankRuehl" w:hAnsi="FrankRuehl" w:cs="FrankRuehl" w:hint="cs"/>
          <w:b/>
          <w:bCs/>
          <w:sz w:val="26"/>
          <w:szCs w:val="26"/>
          <w:rtl/>
        </w:rPr>
        <w:t>עיקרי הפנייה:</w:t>
      </w:r>
    </w:p>
    <w:p w14:paraId="15DE9AB2" w14:textId="77777777" w:rsidR="00EF2E5F" w:rsidRDefault="00EF2E5F" w:rsidP="00EF2E5F">
      <w:pPr>
        <w:contextualSpacing/>
        <w:jc w:val="both"/>
        <w:rPr>
          <w:rFonts w:ascii="FrankRuehl" w:hAnsi="FrankRuehl" w:cs="FrankRuehl" w:hint="cs"/>
          <w:sz w:val="26"/>
          <w:szCs w:val="26"/>
          <w:rtl/>
        </w:rPr>
      </w:pPr>
      <w:r>
        <w:rPr>
          <w:rFonts w:ascii="FrankRuehl" w:hAnsi="FrankRuehl" w:cs="FrankRuehl" w:hint="cs"/>
          <w:sz w:val="26"/>
          <w:szCs w:val="26"/>
          <w:rtl/>
        </w:rPr>
        <w:t>הפנייה התקציבית נועדה לתקצוב סך של 247,700 אלפי ש"ח בהוצאה וסך של 29,000 אלפי ש״ח בהרשאה להתחייב עבור יישום החלטות ממשלה כפי שיפורט להלן.</w:t>
      </w:r>
    </w:p>
    <w:p w14:paraId="17E16ED7" w14:textId="77777777" w:rsidR="00EF2E5F" w:rsidRDefault="00EF2E5F" w:rsidP="00EF2E5F">
      <w:pPr>
        <w:jc w:val="both"/>
        <w:rPr>
          <w:rFonts w:ascii="FrankRuehl" w:hAnsi="FrankRuehl" w:cs="FrankRuehl" w:hint="cs"/>
          <w:sz w:val="26"/>
          <w:szCs w:val="26"/>
          <w:rtl/>
        </w:rPr>
      </w:pPr>
    </w:p>
    <w:p w14:paraId="3E65EF38" w14:textId="77777777" w:rsidR="00EF2E5F" w:rsidRDefault="00EF2E5F" w:rsidP="00EF2E5F">
      <w:pPr>
        <w:jc w:val="both"/>
        <w:rPr>
          <w:rFonts w:ascii="FrankRuehl" w:hAnsi="FrankRuehl" w:cs="FrankRuehl" w:hint="cs"/>
          <w:b/>
          <w:bCs/>
          <w:sz w:val="26"/>
          <w:szCs w:val="26"/>
          <w:rtl/>
        </w:rPr>
      </w:pPr>
      <w:r>
        <w:rPr>
          <w:rFonts w:ascii="FrankRuehl" w:hAnsi="FrankRuehl" w:cs="FrankRuehl" w:hint="cs"/>
          <w:b/>
          <w:bCs/>
          <w:sz w:val="26"/>
          <w:szCs w:val="26"/>
          <w:rtl/>
        </w:rPr>
        <w:t xml:space="preserve">עיקרי הפנייה בחלוקה </w:t>
      </w:r>
      <w:proofErr w:type="spellStart"/>
      <w:r>
        <w:rPr>
          <w:rFonts w:ascii="FrankRuehl" w:hAnsi="FrankRuehl" w:cs="FrankRuehl" w:hint="cs"/>
          <w:b/>
          <w:bCs/>
          <w:sz w:val="26"/>
          <w:szCs w:val="26"/>
          <w:rtl/>
        </w:rPr>
        <w:t>לתכניות</w:t>
      </w:r>
      <w:proofErr w:type="spellEnd"/>
      <w:r>
        <w:rPr>
          <w:rFonts w:ascii="FrankRuehl" w:hAnsi="FrankRuehl" w:cs="FrankRuehl" w:hint="cs"/>
          <w:b/>
          <w:bCs/>
          <w:sz w:val="26"/>
          <w:szCs w:val="26"/>
          <w:rtl/>
        </w:rPr>
        <w:t xml:space="preserve"> מובאים להלן:</w:t>
      </w:r>
    </w:p>
    <w:p w14:paraId="67970B43" w14:textId="77777777" w:rsidR="00EF2E5F" w:rsidRDefault="00EF2E5F" w:rsidP="00EF2E5F">
      <w:pPr>
        <w:jc w:val="both"/>
        <w:rPr>
          <w:rFonts w:ascii="FrankRuehl" w:hAnsi="FrankRuehl" w:cs="FrankRuehl" w:hint="cs"/>
          <w:b/>
          <w:bCs/>
          <w:sz w:val="26"/>
          <w:szCs w:val="26"/>
          <w:rtl/>
        </w:rPr>
      </w:pPr>
    </w:p>
    <w:p w14:paraId="2897F3F7" w14:textId="77777777" w:rsidR="00EF2E5F" w:rsidRDefault="00EF2E5F" w:rsidP="00EF2E5F">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181103- מענקים שוטפים– תקצוב סך של 247,000 אלפי ש"ח בהוצאה.</w:t>
      </w:r>
    </w:p>
    <w:p w14:paraId="68771069" w14:textId="77777777" w:rsidR="00EF2E5F" w:rsidRDefault="00EF2E5F" w:rsidP="00EF2E5F">
      <w:pPr>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זו מתוקצבים המענקים והתקציבים המועברים לרשויות מקומיות ישירות. מענקים אלה כוללים את מענקי האיזון לרשויות המקומיות, מענקי ההבראה, מענק הבירה לעיריית ירושלים ומענקים שוטפים אחרים. כמו כן, במסגרת תכנית זו מתוקצבים רואי החשבון אשר עורכים את הדוחות הכספיים והביקורות ברשויות המקומיות.</w:t>
      </w:r>
    </w:p>
    <w:p w14:paraId="3ABD8980" w14:textId="77777777" w:rsidR="00EF2E5F" w:rsidRDefault="00EF2E5F" w:rsidP="00EF2E5F">
      <w:pPr>
        <w:jc w:val="both"/>
        <w:rPr>
          <w:rFonts w:ascii="FrankRuehl" w:hAnsi="FrankRuehl" w:cs="FrankRuehl" w:hint="cs"/>
          <w:b/>
          <w:bCs/>
          <w:sz w:val="26"/>
          <w:szCs w:val="26"/>
          <w:rtl/>
        </w:rPr>
      </w:pPr>
      <w:r>
        <w:rPr>
          <w:rFonts w:ascii="FrankRuehl" w:hAnsi="FrankRuehl" w:cs="FrankRuehl" w:hint="cs"/>
          <w:b/>
          <w:bCs/>
          <w:sz w:val="26"/>
          <w:szCs w:val="26"/>
          <w:rtl/>
        </w:rPr>
        <w:t>מטרת השינוי:</w:t>
      </w:r>
    </w:p>
    <w:p w14:paraId="1450C8EC" w14:textId="77777777" w:rsidR="00EF2E5F" w:rsidRDefault="00EF2E5F" w:rsidP="00EF2E5F">
      <w:pPr>
        <w:jc w:val="both"/>
        <w:rPr>
          <w:rFonts w:ascii="FrankRuehl" w:hAnsi="FrankRuehl" w:cs="FrankRuehl" w:hint="cs"/>
          <w:sz w:val="26"/>
          <w:szCs w:val="26"/>
          <w:rtl/>
        </w:rPr>
      </w:pPr>
      <w:r>
        <w:rPr>
          <w:rFonts w:ascii="FrankRuehl" w:hAnsi="FrankRuehl" w:cs="FrankRuehl" w:hint="cs"/>
          <w:sz w:val="26"/>
          <w:szCs w:val="26"/>
          <w:rtl/>
        </w:rPr>
        <w:t xml:space="preserve">סך של 100,000 אלפי ש"ח בהוצאה בהתאם לאמור בהחלטת ממשלה מס' </w:t>
      </w:r>
      <w:hyperlink r:id="rId6" w:history="1">
        <w:r>
          <w:rPr>
            <w:rStyle w:val="Hyperlink"/>
            <w:rFonts w:ascii="FrankRuehl" w:hAnsi="FrankRuehl" w:cs="FrankRuehl" w:hint="cs"/>
            <w:sz w:val="26"/>
            <w:szCs w:val="26"/>
            <w:rtl/>
          </w:rPr>
          <w:t>4125</w:t>
        </w:r>
      </w:hyperlink>
      <w:r>
        <w:rPr>
          <w:rFonts w:ascii="FrankRuehl" w:hAnsi="FrankRuehl" w:cs="FrankRuehl" w:hint="cs"/>
          <w:sz w:val="26"/>
          <w:szCs w:val="26"/>
          <w:rtl/>
        </w:rPr>
        <w:t xml:space="preserve"> מיום 17 במאי 2026 שעניינה "הקצאת תקציב נוסף לשנים 2026 עד 2028 לעיר ירושלים".</w:t>
      </w:r>
    </w:p>
    <w:p w14:paraId="7A38BBE8" w14:textId="77777777" w:rsidR="00EF2E5F" w:rsidRDefault="00EF2E5F" w:rsidP="00EF2E5F">
      <w:pPr>
        <w:jc w:val="both"/>
        <w:rPr>
          <w:rFonts w:ascii="FrankRuehl" w:hAnsi="FrankRuehl" w:cs="FrankRuehl" w:hint="cs"/>
          <w:sz w:val="26"/>
          <w:szCs w:val="26"/>
          <w:rtl/>
        </w:rPr>
      </w:pPr>
      <w:r>
        <w:rPr>
          <w:rFonts w:ascii="FrankRuehl" w:hAnsi="FrankRuehl" w:cs="FrankRuehl" w:hint="cs"/>
          <w:sz w:val="26"/>
          <w:szCs w:val="26"/>
          <w:rtl/>
        </w:rPr>
        <w:t xml:space="preserve">סך של 147,000 אלפי ש"ח בהוצאה בהתאם לאמור בהחלטת ממשלה מס' </w:t>
      </w:r>
      <w:hyperlink r:id="rId7" w:history="1">
        <w:r>
          <w:rPr>
            <w:rStyle w:val="Hyperlink"/>
            <w:rFonts w:ascii="FrankRuehl" w:hAnsi="FrankRuehl" w:cs="FrankRuehl" w:hint="cs"/>
            <w:sz w:val="26"/>
            <w:szCs w:val="26"/>
            <w:rtl/>
          </w:rPr>
          <w:t>3920</w:t>
        </w:r>
      </w:hyperlink>
      <w:r>
        <w:rPr>
          <w:rFonts w:ascii="FrankRuehl" w:hAnsi="FrankRuehl" w:cs="FrankRuehl" w:hint="cs"/>
          <w:sz w:val="26"/>
          <w:szCs w:val="26"/>
          <w:rtl/>
        </w:rPr>
        <w:t xml:space="preserve"> מיום 24 בפברואר 2026 שעניינה "צעדים משלימים לפיתוח העיר ירושלים ותיקון החלטות ממשלה".</w:t>
      </w:r>
    </w:p>
    <w:p w14:paraId="6D8D99A1" w14:textId="77777777" w:rsidR="00EF2E5F" w:rsidRDefault="00EF2E5F" w:rsidP="00EF2E5F">
      <w:pPr>
        <w:jc w:val="both"/>
        <w:rPr>
          <w:rFonts w:ascii="FrankRuehl" w:hAnsi="FrankRuehl" w:cs="FrankRuehl" w:hint="cs"/>
          <w:sz w:val="26"/>
          <w:szCs w:val="26"/>
          <w:rtl/>
        </w:rPr>
      </w:pPr>
    </w:p>
    <w:p w14:paraId="6C4BBA7C" w14:textId="77777777" w:rsidR="00EF2E5F" w:rsidRDefault="00EF2E5F" w:rsidP="00EF2E5F">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181104 - מענקי פיתוח – תקצוב סך של 29,000 אלפי ש"ח בהרשאה להתחייב.</w:t>
      </w:r>
    </w:p>
    <w:p w14:paraId="303E10C6" w14:textId="77777777" w:rsidR="00EF2E5F" w:rsidRDefault="00EF2E5F" w:rsidP="00EF2E5F">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sz w:val="26"/>
          <w:szCs w:val="26"/>
          <w:rtl/>
        </w:rPr>
        <w:t xml:space="preserve">: </w:t>
      </w: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זו מתוקצבים כלל המענקים והתקציבים המועברים לרשויות המקומיות בגין </w:t>
      </w:r>
      <w:proofErr w:type="spellStart"/>
      <w:r>
        <w:rPr>
          <w:rFonts w:ascii="FrankRuehl" w:hAnsi="FrankRuehl" w:cs="FrankRuehl" w:hint="cs"/>
          <w:sz w:val="26"/>
          <w:szCs w:val="26"/>
          <w:rtl/>
        </w:rPr>
        <w:t>פרויקטי</w:t>
      </w:r>
      <w:proofErr w:type="spellEnd"/>
      <w:r>
        <w:rPr>
          <w:rFonts w:ascii="FrankRuehl" w:hAnsi="FrankRuehl" w:cs="FrankRuehl" w:hint="cs"/>
          <w:sz w:val="26"/>
          <w:szCs w:val="26"/>
          <w:rtl/>
        </w:rPr>
        <w:t xml:space="preserve"> פיתוח. מענקים אלה כוללים את מענקי פיתוח כלליים, מענקים עבור פרויקטים לפיתוח כלכלי, פרויקטים בתאגידים עירוניים, בחופי רחצה ומענקים אחרים. במסגרת תכנית זו מתוקצבים האשכולות האזוריים.</w:t>
      </w:r>
    </w:p>
    <w:p w14:paraId="58163ACB" w14:textId="77777777" w:rsidR="00EF2E5F" w:rsidRDefault="00EF2E5F" w:rsidP="00EF2E5F">
      <w:pPr>
        <w:contextualSpacing/>
        <w:jc w:val="both"/>
        <w:rPr>
          <w:rFonts w:ascii="FrankRuehl" w:hAnsi="FrankRuehl" w:cs="FrankRuehl" w:hint="cs"/>
          <w:b/>
          <w:bCs/>
          <w:sz w:val="26"/>
          <w:szCs w:val="26"/>
        </w:rPr>
      </w:pPr>
      <w:r>
        <w:rPr>
          <w:rFonts w:ascii="FrankRuehl" w:hAnsi="FrankRuehl" w:cs="FrankRuehl" w:hint="cs"/>
          <w:b/>
          <w:bCs/>
          <w:sz w:val="26"/>
          <w:szCs w:val="26"/>
          <w:rtl/>
        </w:rPr>
        <w:lastRenderedPageBreak/>
        <w:t>מטרת השינוי:</w:t>
      </w:r>
    </w:p>
    <w:p w14:paraId="67DA66CB" w14:textId="77777777" w:rsidR="00EF2E5F" w:rsidRDefault="00EF2E5F" w:rsidP="00EF2E5F">
      <w:pPr>
        <w:jc w:val="both"/>
        <w:rPr>
          <w:rFonts w:ascii="FrankRuehl" w:hAnsi="FrankRuehl" w:cs="FrankRuehl" w:hint="cs"/>
          <w:sz w:val="26"/>
          <w:szCs w:val="26"/>
        </w:rPr>
      </w:pPr>
      <w:r>
        <w:rPr>
          <w:rFonts w:ascii="FrankRuehl" w:hAnsi="FrankRuehl" w:cs="FrankRuehl" w:hint="cs"/>
          <w:sz w:val="26"/>
          <w:szCs w:val="26"/>
          <w:rtl/>
        </w:rPr>
        <w:t xml:space="preserve">סך של 29,000 אלפי ש"ח בהוצאה בהתאם לאמור בהחלטת ממשלה מס' </w:t>
      </w:r>
      <w:hyperlink r:id="rId8" w:history="1">
        <w:r>
          <w:rPr>
            <w:rStyle w:val="Hyperlink"/>
            <w:rFonts w:ascii="FrankRuehl" w:hAnsi="FrankRuehl" w:cs="FrankRuehl" w:hint="cs"/>
            <w:sz w:val="26"/>
            <w:szCs w:val="26"/>
            <w:rtl/>
          </w:rPr>
          <w:t>3920</w:t>
        </w:r>
      </w:hyperlink>
      <w:r>
        <w:rPr>
          <w:rFonts w:ascii="FrankRuehl" w:hAnsi="FrankRuehl" w:cs="FrankRuehl" w:hint="cs"/>
          <w:sz w:val="26"/>
          <w:szCs w:val="26"/>
          <w:rtl/>
        </w:rPr>
        <w:t xml:space="preserve"> מיום 24 בפברואר 2026 שעניינה "צעדים משלימים לפיתוח העיר ירושלים ותיקון החלטות ממשלה".</w:t>
      </w:r>
    </w:p>
    <w:p w14:paraId="40A66CE9" w14:textId="77777777" w:rsidR="00EF2E5F" w:rsidRDefault="00EF2E5F" w:rsidP="00EF2E5F">
      <w:pPr>
        <w:contextualSpacing/>
        <w:jc w:val="both"/>
        <w:rPr>
          <w:rFonts w:ascii="FrankRuehl" w:hAnsi="FrankRuehl" w:cs="FrankRuehl" w:hint="cs"/>
          <w:b/>
          <w:bCs/>
          <w:sz w:val="26"/>
          <w:szCs w:val="26"/>
          <w:rtl/>
        </w:rPr>
      </w:pPr>
    </w:p>
    <w:p w14:paraId="4BAD0774" w14:textId="77777777" w:rsidR="00EF2E5F" w:rsidRDefault="00EF2E5F" w:rsidP="00EF2E5F">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השפעה על </w:t>
      </w:r>
      <w:proofErr w:type="spellStart"/>
      <w:r>
        <w:rPr>
          <w:rFonts w:ascii="FrankRuehl" w:hAnsi="FrankRuehl" w:cs="FrankRuehl" w:hint="cs"/>
          <w:b/>
          <w:bCs/>
          <w:sz w:val="26"/>
          <w:szCs w:val="26"/>
          <w:rtl/>
        </w:rPr>
        <w:t>כח</w:t>
      </w:r>
      <w:proofErr w:type="spellEnd"/>
      <w:r>
        <w:rPr>
          <w:rFonts w:ascii="FrankRuehl" w:hAnsi="FrankRuehl" w:cs="FrankRuehl" w:hint="cs"/>
          <w:b/>
          <w:bCs/>
          <w:sz w:val="26"/>
          <w:szCs w:val="26"/>
          <w:rtl/>
        </w:rPr>
        <w:t xml:space="preserve"> אדם: </w:t>
      </w:r>
      <w:r>
        <w:rPr>
          <w:rFonts w:ascii="FrankRuehl" w:hAnsi="FrankRuehl" w:cs="FrankRuehl" w:hint="cs"/>
          <w:sz w:val="26"/>
          <w:szCs w:val="26"/>
          <w:rtl/>
        </w:rPr>
        <w:t>אין.</w:t>
      </w:r>
      <w:bookmarkEnd w:id="10"/>
    </w:p>
    <w:p w14:paraId="4803BAB1" w14:textId="77777777" w:rsidR="00EF2E5F" w:rsidRDefault="00EF2E5F" w:rsidP="00EF2E5F">
      <w:pPr>
        <w:jc w:val="both"/>
        <w:rPr>
          <w:rFonts w:cs="FrankRuehl" w:hint="cs"/>
          <w:sz w:val="26"/>
          <w:szCs w:val="26"/>
          <w:rtl/>
        </w:rPr>
      </w:pPr>
    </w:p>
    <w:p w14:paraId="0158B479" w14:textId="77777777" w:rsidR="00EF2E5F" w:rsidRDefault="00EF2E5F" w:rsidP="00EF2E5F">
      <w:pPr>
        <w:tabs>
          <w:tab w:val="center" w:pos="6867"/>
        </w:tabs>
        <w:rPr>
          <w:rFonts w:cs="FrankRuehl" w:hint="cs"/>
          <w:sz w:val="26"/>
          <w:szCs w:val="26"/>
        </w:rPr>
      </w:pPr>
    </w:p>
    <w:p w14:paraId="431049EB" w14:textId="77777777" w:rsidR="00EF2E5F" w:rsidRDefault="00EF2E5F" w:rsidP="00EF2E5F">
      <w:pPr>
        <w:tabs>
          <w:tab w:val="center" w:pos="6888"/>
        </w:tabs>
        <w:rPr>
          <w:rFonts w:eastAsia="Calibri" w:cs="David"/>
          <w:sz w:val="24"/>
          <w:lang w:eastAsia="en-US"/>
        </w:rPr>
      </w:pPr>
    </w:p>
    <w:p w14:paraId="62F08C8B" w14:textId="77777777" w:rsidR="00EF2E5F" w:rsidRDefault="00EF2E5F" w:rsidP="00EF2E5F">
      <w:pPr>
        <w:rPr>
          <w:rFonts w:hint="cs"/>
          <w:rtl/>
        </w:rPr>
      </w:pPr>
    </w:p>
    <w:p w14:paraId="51536D18" w14:textId="77777777" w:rsidR="00436E4E" w:rsidRPr="002E1D22" w:rsidRDefault="00436E4E">
      <w:pPr>
        <w:rPr>
          <w:rFonts w:cs="FrankRuehl"/>
          <w:sz w:val="26"/>
          <w:szCs w:val="26"/>
          <w:rtl/>
        </w:rPr>
      </w:pPr>
    </w:p>
    <w:p w14:paraId="088D00C6" w14:textId="77777777" w:rsidR="00436E4E" w:rsidRPr="002E1D22" w:rsidRDefault="00436E4E">
      <w:pPr>
        <w:tabs>
          <w:tab w:val="center" w:pos="6867"/>
        </w:tabs>
        <w:rPr>
          <w:rFonts w:cs="FrankRuehl"/>
          <w:sz w:val="26"/>
          <w:szCs w:val="26"/>
          <w:rtl/>
        </w:rPr>
      </w:pPr>
    </w:p>
    <w:p w14:paraId="2463513F"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1130A2E6" w14:textId="77777777" w:rsidR="00436E4E" w:rsidRDefault="00C13197">
      <w:pPr>
        <w:tabs>
          <w:tab w:val="center" w:pos="6867"/>
        </w:tabs>
        <w:rPr>
          <w:rFonts w:cs="FrankRuehl"/>
          <w:sz w:val="26"/>
          <w:szCs w:val="26"/>
          <w:rtl/>
        </w:rPr>
      </w:pPr>
      <w:r>
        <w:rPr>
          <w:rFonts w:cs="FrankRuehl"/>
          <w:sz w:val="26"/>
          <w:szCs w:val="26"/>
          <w:rtl/>
        </w:rPr>
        <w:tab/>
      </w:r>
    </w:p>
    <w:p w14:paraId="11E61033" w14:textId="77777777" w:rsidR="00C13197" w:rsidRPr="002E1D22" w:rsidRDefault="00C13197">
      <w:pPr>
        <w:tabs>
          <w:tab w:val="center" w:pos="6867"/>
        </w:tabs>
        <w:rPr>
          <w:rFonts w:cs="FrankRuehl"/>
          <w:sz w:val="26"/>
          <w:szCs w:val="26"/>
        </w:rPr>
      </w:pPr>
      <w:r>
        <w:rPr>
          <w:rFonts w:cs="FrankRuehl"/>
          <w:sz w:val="26"/>
          <w:szCs w:val="26"/>
          <w:rtl/>
        </w:rPr>
        <w:tab/>
      </w:r>
      <w:bookmarkStart w:id="11" w:name="Sign_Image"/>
      <w:bookmarkEnd w:id="11"/>
    </w:p>
    <w:p w14:paraId="4208224F"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4D1909DD"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49C42F8"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09C1FC37" w14:textId="77777777" w:rsidR="00436E4E" w:rsidRPr="002E1D22" w:rsidRDefault="00436E4E">
      <w:pPr>
        <w:rPr>
          <w:rFonts w:cs="FrankRuehl"/>
          <w:sz w:val="26"/>
          <w:szCs w:val="26"/>
          <w:rtl/>
        </w:rPr>
      </w:pPr>
      <w:r w:rsidRPr="002E1D22">
        <w:rPr>
          <w:rFonts w:cs="FrankRuehl"/>
          <w:sz w:val="26"/>
          <w:szCs w:val="26"/>
          <w:rtl/>
        </w:rPr>
        <w:t>העתק:</w:t>
      </w:r>
    </w:p>
    <w:p w14:paraId="71F56E78" w14:textId="77777777" w:rsidR="00436E4E" w:rsidRPr="002E1D22" w:rsidRDefault="00436E4E">
      <w:pPr>
        <w:rPr>
          <w:rFonts w:cs="FrankRuehl"/>
          <w:sz w:val="26"/>
          <w:szCs w:val="26"/>
          <w:rtl/>
        </w:rPr>
      </w:pPr>
      <w:r w:rsidRPr="002E1D22">
        <w:rPr>
          <w:rFonts w:cs="FrankRuehl"/>
          <w:sz w:val="26"/>
          <w:szCs w:val="26"/>
          <w:rtl/>
        </w:rPr>
        <w:t>החשב הכללי</w:t>
      </w:r>
    </w:p>
    <w:p w14:paraId="6F9BDD0A" w14:textId="77777777" w:rsidR="00436E4E" w:rsidRPr="002E1D22" w:rsidRDefault="00436E4E">
      <w:pPr>
        <w:rPr>
          <w:rFonts w:cs="FrankRuehl"/>
          <w:sz w:val="26"/>
          <w:szCs w:val="26"/>
          <w:rtl/>
        </w:rPr>
      </w:pPr>
      <w:r w:rsidRPr="002E1D22">
        <w:rPr>
          <w:rFonts w:cs="FrankRuehl"/>
          <w:sz w:val="26"/>
          <w:szCs w:val="26"/>
          <w:rtl/>
        </w:rPr>
        <w:t>מבקר המדינה (2)</w:t>
      </w:r>
    </w:p>
    <w:p w14:paraId="628C6D4C" w14:textId="77777777" w:rsidR="007F5DF6" w:rsidRDefault="007F5DF6">
      <w:pPr>
        <w:rPr>
          <w:rFonts w:cs="FrankRuehl"/>
          <w:sz w:val="26"/>
          <w:szCs w:val="26"/>
          <w:rtl/>
        </w:rPr>
      </w:pPr>
      <w:bookmarkStart w:id="12" w:name="TAKZIV22"/>
      <w:r>
        <w:rPr>
          <w:rFonts w:cs="FrankRuehl"/>
          <w:sz w:val="26"/>
          <w:szCs w:val="26"/>
          <w:rtl/>
        </w:rPr>
        <w:t>חשב החשב הכללי</w:t>
      </w:r>
    </w:p>
    <w:p w14:paraId="497BB4C1" w14:textId="4049D8FF" w:rsidR="00436E4E" w:rsidRPr="002E1D22" w:rsidRDefault="007F5DF6">
      <w:pPr>
        <w:rPr>
          <w:rFonts w:cs="FrankRuehl"/>
          <w:sz w:val="26"/>
          <w:szCs w:val="26"/>
          <w:rtl/>
        </w:rPr>
      </w:pPr>
      <w:r>
        <w:rPr>
          <w:rFonts w:cs="FrankRuehl"/>
          <w:sz w:val="26"/>
          <w:szCs w:val="26"/>
          <w:rtl/>
        </w:rPr>
        <w:t>חשב משרד הפנים</w:t>
      </w:r>
      <w:bookmarkEnd w:id="12"/>
    </w:p>
    <w:p w14:paraId="29D22E26" w14:textId="776505B4" w:rsidR="00436E4E" w:rsidRPr="002E1D22" w:rsidRDefault="00436E4E">
      <w:pPr>
        <w:rPr>
          <w:rFonts w:cs="FrankRuehl"/>
          <w:sz w:val="26"/>
          <w:szCs w:val="26"/>
          <w:rtl/>
        </w:rPr>
      </w:pPr>
      <w:r w:rsidRPr="002E1D22">
        <w:rPr>
          <w:rFonts w:cs="FrankRuehl"/>
          <w:sz w:val="26"/>
          <w:szCs w:val="26"/>
          <w:rtl/>
        </w:rPr>
        <w:t xml:space="preserve">קצין תקציבים </w:t>
      </w:r>
      <w:bookmarkStart w:id="13" w:name="TAKZIV6_1"/>
      <w:r w:rsidR="007F5DF6">
        <w:rPr>
          <w:rFonts w:cs="FrankRuehl"/>
          <w:sz w:val="26"/>
          <w:szCs w:val="26"/>
          <w:rtl/>
        </w:rPr>
        <w:t>הרשויות המקומיות</w:t>
      </w:r>
      <w:bookmarkEnd w:id="13"/>
    </w:p>
    <w:p w14:paraId="7F414011" w14:textId="7998B11D" w:rsidR="00436E4E" w:rsidRPr="002E1D22" w:rsidRDefault="00436E4E">
      <w:pPr>
        <w:rPr>
          <w:rFonts w:cs="FrankRuehl"/>
          <w:sz w:val="26"/>
          <w:szCs w:val="26"/>
          <w:rtl/>
        </w:rPr>
      </w:pPr>
      <w:r w:rsidRPr="002E1D22">
        <w:rPr>
          <w:rFonts w:cs="FrankRuehl"/>
          <w:sz w:val="26"/>
          <w:szCs w:val="26"/>
          <w:rtl/>
        </w:rPr>
        <w:t xml:space="preserve">רפרנט </w:t>
      </w:r>
      <w:bookmarkStart w:id="14" w:name="TAKZIV6_2"/>
      <w:r w:rsidR="007F5DF6">
        <w:rPr>
          <w:rFonts w:cs="FrankRuehl"/>
          <w:sz w:val="26"/>
          <w:szCs w:val="26"/>
          <w:rtl/>
        </w:rPr>
        <w:t>הרשויות המקומיות</w:t>
      </w:r>
      <w:bookmarkEnd w:id="14"/>
    </w:p>
    <w:p w14:paraId="0543CB55" w14:textId="77777777" w:rsidR="00436E4E" w:rsidRPr="002E1D22" w:rsidRDefault="00436E4E">
      <w:pPr>
        <w:rPr>
          <w:rFonts w:cs="FrankRuehl"/>
          <w:sz w:val="26"/>
          <w:szCs w:val="26"/>
          <w:rtl/>
        </w:rPr>
      </w:pPr>
      <w:bookmarkStart w:id="15" w:name="TAKZIV23"/>
      <w:bookmarkEnd w:id="15"/>
    </w:p>
    <w:p w14:paraId="14DC38CC" w14:textId="77777777" w:rsidR="00436E4E" w:rsidRPr="002E1D22" w:rsidRDefault="00436E4E">
      <w:pPr>
        <w:rPr>
          <w:rFonts w:cs="FrankRuehl"/>
          <w:sz w:val="26"/>
          <w:szCs w:val="26"/>
          <w:rtl/>
        </w:rPr>
      </w:pPr>
    </w:p>
    <w:p w14:paraId="280B2DE9" w14:textId="77777777" w:rsidR="00EF2E5F" w:rsidRDefault="00EF2E5F" w:rsidP="00EF2E5F">
      <w:pPr>
        <w:rPr>
          <w:rFonts w:cs="FrankRuehl" w:hint="cs"/>
          <w:sz w:val="26"/>
          <w:szCs w:val="26"/>
          <w:rtl/>
        </w:rPr>
      </w:pPr>
      <w:bookmarkStart w:id="16" w:name="TAKZIV25"/>
      <w:bookmarkEnd w:id="16"/>
    </w:p>
    <w:p w14:paraId="4FED02F5" w14:textId="77777777" w:rsidR="00EF2E5F" w:rsidRDefault="00EF2E5F" w:rsidP="00EF2E5F">
      <w:pPr>
        <w:contextualSpacing/>
        <w:rPr>
          <w:rFonts w:ascii="FrankRuehl" w:hAnsi="FrankRuehl" w:cs="FrankRuehl" w:hint="cs"/>
          <w:b/>
          <w:bCs/>
          <w:sz w:val="26"/>
          <w:szCs w:val="26"/>
          <w:rtl/>
        </w:rPr>
      </w:pPr>
      <w:r>
        <w:rPr>
          <w:rFonts w:ascii="FrankRuehl" w:hAnsi="FrankRuehl" w:cs="FrankRuehl" w:hint="cs"/>
          <w:b/>
          <w:bCs/>
          <w:sz w:val="26"/>
          <w:szCs w:val="26"/>
          <w:rtl/>
        </w:rPr>
        <w:t xml:space="preserve">היסטוריה תקציבית - </w:t>
      </w:r>
    </w:p>
    <w:p w14:paraId="52975D80" w14:textId="77777777" w:rsidR="00EF2E5F" w:rsidRDefault="00EF2E5F" w:rsidP="00EF2E5F">
      <w:pPr>
        <w:contextualSpacing/>
        <w:rPr>
          <w:rFonts w:ascii="FrankRuehl" w:hAnsi="FrankRuehl" w:cs="FrankRuehl" w:hint="cs"/>
          <w:b/>
          <w:bCs/>
          <w:sz w:val="26"/>
          <w:szCs w:val="26"/>
          <w:rtl/>
        </w:rPr>
      </w:pPr>
      <w:r>
        <w:rPr>
          <w:rFonts w:ascii="FrankRuehl" w:hAnsi="FrankRuehl" w:cs="FrankRuehl" w:hint="cs"/>
          <w:b/>
          <w:bCs/>
          <w:sz w:val="26"/>
          <w:szCs w:val="26"/>
          <w:rtl/>
        </w:rPr>
        <w:t>הוצאה נטו:</w:t>
      </w:r>
    </w:p>
    <w:p w14:paraId="13EAD1F1" w14:textId="77777777" w:rsidR="00EF2E5F" w:rsidRDefault="00EF2E5F" w:rsidP="00EF2E5F">
      <w:pPr>
        <w:contextualSpacing/>
        <w:rPr>
          <w:rFonts w:ascii="FrankRuehl" w:hAnsi="FrankRuehl" w:cs="FrankRuehl" w:hint="cs"/>
          <w:b/>
          <w:bCs/>
          <w:sz w:val="26"/>
          <w:szCs w:val="26"/>
          <w:rtl/>
        </w:rPr>
      </w:pPr>
    </w:p>
    <w:tbl>
      <w:tblPr>
        <w:bidiVisual/>
        <w:tblW w:w="9840" w:type="dxa"/>
        <w:tblInd w:w="113" w:type="dxa"/>
        <w:tblLook w:val="04A0" w:firstRow="1" w:lastRow="0" w:firstColumn="1" w:lastColumn="0" w:noHBand="0" w:noVBand="1"/>
      </w:tblPr>
      <w:tblGrid>
        <w:gridCol w:w="1140"/>
        <w:gridCol w:w="1420"/>
        <w:gridCol w:w="980"/>
        <w:gridCol w:w="1140"/>
        <w:gridCol w:w="980"/>
        <w:gridCol w:w="1140"/>
        <w:gridCol w:w="980"/>
        <w:gridCol w:w="1140"/>
        <w:gridCol w:w="920"/>
      </w:tblGrid>
      <w:tr w:rsidR="00EF2E5F" w14:paraId="22EB8492" w14:textId="77777777" w:rsidTr="007A5530">
        <w:trPr>
          <w:trHeight w:val="675"/>
        </w:trPr>
        <w:tc>
          <w:tcPr>
            <w:tcW w:w="1140" w:type="dxa"/>
            <w:tcBorders>
              <w:top w:val="single" w:sz="4" w:space="0" w:color="979991"/>
              <w:left w:val="single" w:sz="4" w:space="0" w:color="979991"/>
              <w:bottom w:val="nil"/>
              <w:right w:val="nil"/>
            </w:tcBorders>
            <w:shd w:val="clear" w:color="auto" w:fill="DA9694"/>
            <w:vAlign w:val="center"/>
            <w:hideMark/>
          </w:tcPr>
          <w:p w14:paraId="3284C73E" w14:textId="77777777" w:rsidR="00EF2E5F" w:rsidRDefault="00EF2E5F" w:rsidP="007A5530">
            <w:pPr>
              <w:jc w:val="center"/>
              <w:rPr>
                <w:rFonts w:ascii="Calibri" w:hAnsi="Calibri" w:cs="Calibri" w:hint="cs"/>
                <w:b/>
                <w:bCs/>
                <w:color w:val="000000"/>
                <w:sz w:val="16"/>
                <w:szCs w:val="16"/>
                <w:rtl/>
                <w:lang w:eastAsia="en-US"/>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DA9694"/>
            <w:vAlign w:val="center"/>
            <w:hideMark/>
          </w:tcPr>
          <w:p w14:paraId="2ADC744F"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DA9694"/>
            <w:vAlign w:val="center"/>
            <w:hideMark/>
          </w:tcPr>
          <w:p w14:paraId="6666CBEB" w14:textId="77777777" w:rsidR="00EF2E5F" w:rsidRDefault="00EF2E5F" w:rsidP="007A5530">
            <w:pPr>
              <w:jc w:val="center"/>
              <w:rPr>
                <w:rFonts w:ascii="Calibri" w:hAnsi="Calibri" w:cs="Calibri"/>
                <w:b/>
                <w:bCs/>
                <w:color w:val="000000"/>
                <w:sz w:val="16"/>
                <w:szCs w:val="16"/>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DA9694"/>
            <w:vAlign w:val="center"/>
            <w:hideMark/>
          </w:tcPr>
          <w:p w14:paraId="10A9F2AE"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DA9694"/>
            <w:vAlign w:val="center"/>
            <w:hideMark/>
          </w:tcPr>
          <w:p w14:paraId="62CFBDCC"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DA9694"/>
            <w:vAlign w:val="center"/>
            <w:hideMark/>
          </w:tcPr>
          <w:p w14:paraId="56B12AFA"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DA9694"/>
            <w:vAlign w:val="center"/>
            <w:hideMark/>
          </w:tcPr>
          <w:p w14:paraId="65CA99ED"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DA9694"/>
            <w:vAlign w:val="center"/>
            <w:hideMark/>
          </w:tcPr>
          <w:p w14:paraId="28800286"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DA9694"/>
            <w:vAlign w:val="center"/>
            <w:hideMark/>
          </w:tcPr>
          <w:p w14:paraId="51ED97F5"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EF2E5F" w14:paraId="1F014A76" w14:textId="77777777" w:rsidTr="007A5530">
        <w:trPr>
          <w:trHeight w:val="300"/>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4049A477" w14:textId="77777777" w:rsidR="00EF2E5F" w:rsidRDefault="00EF2E5F" w:rsidP="007A5530">
            <w:pPr>
              <w:bidi w:val="0"/>
              <w:jc w:val="center"/>
              <w:rPr>
                <w:rFonts w:ascii="Calibri" w:hAnsi="Calibri" w:cs="Calibri"/>
                <w:color w:val="000000"/>
                <w:sz w:val="16"/>
                <w:szCs w:val="16"/>
                <w:rtl/>
              </w:rPr>
            </w:pPr>
            <w:r>
              <w:rPr>
                <w:rFonts w:ascii="Calibri" w:hAnsi="Calibri" w:cs="Calibri"/>
                <w:color w:val="000000"/>
                <w:sz w:val="16"/>
                <w:szCs w:val="16"/>
              </w:rPr>
              <w:t>181103</w:t>
            </w:r>
          </w:p>
        </w:tc>
        <w:tc>
          <w:tcPr>
            <w:tcW w:w="1420" w:type="dxa"/>
            <w:tcBorders>
              <w:top w:val="nil"/>
              <w:left w:val="single" w:sz="4" w:space="0" w:color="979991"/>
              <w:bottom w:val="single" w:sz="4" w:space="0" w:color="979991"/>
              <w:right w:val="nil"/>
            </w:tcBorders>
            <w:shd w:val="clear" w:color="auto" w:fill="FFFFFF"/>
            <w:vAlign w:val="center"/>
            <w:hideMark/>
          </w:tcPr>
          <w:p w14:paraId="64373162" w14:textId="77777777" w:rsidR="00EF2E5F" w:rsidRDefault="00EF2E5F" w:rsidP="007A5530">
            <w:pPr>
              <w:bidi w:val="0"/>
              <w:jc w:val="center"/>
              <w:rPr>
                <w:rFonts w:ascii="Calibri" w:hAnsi="Calibri" w:cs="Calibri"/>
                <w:color w:val="000000"/>
                <w:sz w:val="16"/>
                <w:szCs w:val="16"/>
                <w:rtl/>
              </w:rPr>
            </w:pPr>
            <w:r>
              <w:rPr>
                <w:rFonts w:ascii="Calibri" w:hAnsi="Calibri" w:cs="Calibri"/>
                <w:color w:val="000000"/>
                <w:sz w:val="16"/>
                <w:szCs w:val="16"/>
              </w:rPr>
              <w:t>247,700</w:t>
            </w:r>
          </w:p>
        </w:tc>
        <w:tc>
          <w:tcPr>
            <w:tcW w:w="980" w:type="dxa"/>
            <w:tcBorders>
              <w:top w:val="nil"/>
              <w:left w:val="single" w:sz="4" w:space="0" w:color="979991"/>
              <w:bottom w:val="single" w:sz="4" w:space="0" w:color="979991"/>
              <w:right w:val="nil"/>
            </w:tcBorders>
            <w:shd w:val="clear" w:color="auto" w:fill="FFFFFF"/>
            <w:vAlign w:val="center"/>
            <w:hideMark/>
          </w:tcPr>
          <w:p w14:paraId="346E79BC" w14:textId="77777777" w:rsidR="00EF2E5F" w:rsidRDefault="00EF2E5F" w:rsidP="007A5530">
            <w:pPr>
              <w:bidi w:val="0"/>
              <w:jc w:val="center"/>
              <w:rPr>
                <w:rFonts w:ascii="Calibri" w:hAnsi="Calibri" w:cs="Calibri"/>
                <w:color w:val="000000"/>
                <w:sz w:val="16"/>
                <w:szCs w:val="16"/>
                <w:rtl/>
              </w:rPr>
            </w:pPr>
            <w:r>
              <w:rPr>
                <w:rFonts w:ascii="Calibri" w:hAnsi="Calibri" w:cs="Calibri"/>
                <w:color w:val="000000"/>
                <w:sz w:val="16"/>
                <w:szCs w:val="16"/>
              </w:rPr>
              <w:t>5,387,242</w:t>
            </w:r>
          </w:p>
        </w:tc>
        <w:tc>
          <w:tcPr>
            <w:tcW w:w="1140" w:type="dxa"/>
            <w:tcBorders>
              <w:top w:val="nil"/>
              <w:left w:val="single" w:sz="4" w:space="0" w:color="979991"/>
              <w:bottom w:val="single" w:sz="4" w:space="0" w:color="979991"/>
              <w:right w:val="nil"/>
            </w:tcBorders>
            <w:shd w:val="clear" w:color="auto" w:fill="FFFFFF"/>
            <w:vAlign w:val="center"/>
            <w:hideMark/>
          </w:tcPr>
          <w:p w14:paraId="0D40E1D0"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6,358,207</w:t>
            </w:r>
          </w:p>
        </w:tc>
        <w:tc>
          <w:tcPr>
            <w:tcW w:w="980" w:type="dxa"/>
            <w:tcBorders>
              <w:top w:val="nil"/>
              <w:left w:val="single" w:sz="4" w:space="0" w:color="979991"/>
              <w:bottom w:val="single" w:sz="4" w:space="0" w:color="979991"/>
              <w:right w:val="nil"/>
            </w:tcBorders>
            <w:shd w:val="clear" w:color="auto" w:fill="FFFFFF"/>
            <w:vAlign w:val="center"/>
            <w:hideMark/>
          </w:tcPr>
          <w:p w14:paraId="0D23AB1A"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5,234,652</w:t>
            </w:r>
          </w:p>
        </w:tc>
        <w:tc>
          <w:tcPr>
            <w:tcW w:w="1140" w:type="dxa"/>
            <w:tcBorders>
              <w:top w:val="nil"/>
              <w:left w:val="single" w:sz="4" w:space="0" w:color="979991"/>
              <w:bottom w:val="single" w:sz="4" w:space="0" w:color="979991"/>
              <w:right w:val="nil"/>
            </w:tcBorders>
            <w:shd w:val="clear" w:color="auto" w:fill="FFFFFF"/>
            <w:vAlign w:val="center"/>
            <w:hideMark/>
          </w:tcPr>
          <w:p w14:paraId="2C67C350"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5,972,439</w:t>
            </w:r>
          </w:p>
        </w:tc>
        <w:tc>
          <w:tcPr>
            <w:tcW w:w="980" w:type="dxa"/>
            <w:tcBorders>
              <w:top w:val="nil"/>
              <w:left w:val="single" w:sz="4" w:space="0" w:color="979991"/>
              <w:bottom w:val="single" w:sz="4" w:space="0" w:color="979991"/>
              <w:right w:val="nil"/>
            </w:tcBorders>
            <w:shd w:val="clear" w:color="auto" w:fill="FFFFFF"/>
            <w:vAlign w:val="center"/>
            <w:hideMark/>
          </w:tcPr>
          <w:p w14:paraId="23BC96C0"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5,146,496</w:t>
            </w:r>
          </w:p>
        </w:tc>
        <w:tc>
          <w:tcPr>
            <w:tcW w:w="1140" w:type="dxa"/>
            <w:tcBorders>
              <w:top w:val="nil"/>
              <w:left w:val="single" w:sz="4" w:space="0" w:color="979991"/>
              <w:bottom w:val="single" w:sz="4" w:space="0" w:color="979991"/>
              <w:right w:val="nil"/>
            </w:tcBorders>
            <w:shd w:val="clear" w:color="auto" w:fill="FFFFFF"/>
            <w:vAlign w:val="center"/>
            <w:hideMark/>
          </w:tcPr>
          <w:p w14:paraId="14F0108E"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5,890,915</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8B7D207"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4,847,657</w:t>
            </w:r>
          </w:p>
        </w:tc>
      </w:tr>
      <w:tr w:rsidR="00EF2E5F" w14:paraId="470A272B" w14:textId="77777777" w:rsidTr="007A5530">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0F924445"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181104</w:t>
            </w:r>
          </w:p>
        </w:tc>
        <w:tc>
          <w:tcPr>
            <w:tcW w:w="1420" w:type="dxa"/>
            <w:tcBorders>
              <w:top w:val="nil"/>
              <w:left w:val="single" w:sz="4" w:space="0" w:color="979991"/>
              <w:bottom w:val="single" w:sz="4" w:space="0" w:color="979991"/>
              <w:right w:val="nil"/>
            </w:tcBorders>
            <w:shd w:val="clear" w:color="auto" w:fill="FFFFFF"/>
            <w:vAlign w:val="center"/>
            <w:hideMark/>
          </w:tcPr>
          <w:p w14:paraId="7951D5C4"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5382C413"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694,467</w:t>
            </w:r>
          </w:p>
        </w:tc>
        <w:tc>
          <w:tcPr>
            <w:tcW w:w="1140" w:type="dxa"/>
            <w:tcBorders>
              <w:top w:val="nil"/>
              <w:left w:val="single" w:sz="4" w:space="0" w:color="979991"/>
              <w:bottom w:val="single" w:sz="4" w:space="0" w:color="979991"/>
              <w:right w:val="nil"/>
            </w:tcBorders>
            <w:shd w:val="clear" w:color="auto" w:fill="FFFFFF"/>
            <w:vAlign w:val="center"/>
            <w:hideMark/>
          </w:tcPr>
          <w:p w14:paraId="5AA9011D"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500,165</w:t>
            </w:r>
          </w:p>
        </w:tc>
        <w:tc>
          <w:tcPr>
            <w:tcW w:w="980" w:type="dxa"/>
            <w:tcBorders>
              <w:top w:val="nil"/>
              <w:left w:val="single" w:sz="4" w:space="0" w:color="979991"/>
              <w:bottom w:val="single" w:sz="4" w:space="0" w:color="979991"/>
              <w:right w:val="nil"/>
            </w:tcBorders>
            <w:shd w:val="clear" w:color="auto" w:fill="FFFFFF"/>
            <w:vAlign w:val="center"/>
            <w:hideMark/>
          </w:tcPr>
          <w:p w14:paraId="209CAB2D"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472,164</w:t>
            </w:r>
          </w:p>
        </w:tc>
        <w:tc>
          <w:tcPr>
            <w:tcW w:w="1140" w:type="dxa"/>
            <w:tcBorders>
              <w:top w:val="nil"/>
              <w:left w:val="single" w:sz="4" w:space="0" w:color="979991"/>
              <w:bottom w:val="single" w:sz="4" w:space="0" w:color="979991"/>
              <w:right w:val="nil"/>
            </w:tcBorders>
            <w:shd w:val="clear" w:color="auto" w:fill="FFFFFF"/>
            <w:vAlign w:val="center"/>
            <w:hideMark/>
          </w:tcPr>
          <w:p w14:paraId="355F9791"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623,148</w:t>
            </w:r>
          </w:p>
        </w:tc>
        <w:tc>
          <w:tcPr>
            <w:tcW w:w="980" w:type="dxa"/>
            <w:tcBorders>
              <w:top w:val="nil"/>
              <w:left w:val="single" w:sz="4" w:space="0" w:color="979991"/>
              <w:bottom w:val="single" w:sz="4" w:space="0" w:color="979991"/>
              <w:right w:val="nil"/>
            </w:tcBorders>
            <w:shd w:val="clear" w:color="auto" w:fill="FFFFFF"/>
            <w:vAlign w:val="center"/>
            <w:hideMark/>
          </w:tcPr>
          <w:p w14:paraId="2F4674B0"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344,513</w:t>
            </w:r>
          </w:p>
        </w:tc>
        <w:tc>
          <w:tcPr>
            <w:tcW w:w="1140" w:type="dxa"/>
            <w:tcBorders>
              <w:top w:val="nil"/>
              <w:left w:val="single" w:sz="4" w:space="0" w:color="979991"/>
              <w:bottom w:val="single" w:sz="4" w:space="0" w:color="979991"/>
              <w:right w:val="nil"/>
            </w:tcBorders>
            <w:shd w:val="clear" w:color="auto" w:fill="FFFFFF"/>
            <w:vAlign w:val="center"/>
            <w:hideMark/>
          </w:tcPr>
          <w:p w14:paraId="3CF743B4"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771,981</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74ED19F8"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495,992</w:t>
            </w:r>
          </w:p>
        </w:tc>
      </w:tr>
    </w:tbl>
    <w:p w14:paraId="6B8D81FF" w14:textId="77777777" w:rsidR="00EF2E5F" w:rsidRDefault="00EF2E5F" w:rsidP="00EF2E5F">
      <w:pPr>
        <w:contextualSpacing/>
        <w:rPr>
          <w:rFonts w:ascii="FrankRuehl" w:hAnsi="FrankRuehl" w:cs="FrankRuehl"/>
          <w:b/>
          <w:bCs/>
          <w:sz w:val="26"/>
          <w:szCs w:val="26"/>
        </w:rPr>
      </w:pPr>
    </w:p>
    <w:p w14:paraId="2EC10AA0" w14:textId="77777777" w:rsidR="00EF2E5F" w:rsidRDefault="00EF2E5F" w:rsidP="00EF2E5F">
      <w:pPr>
        <w:contextualSpacing/>
        <w:rPr>
          <w:rFonts w:ascii="FrankRuehl" w:hAnsi="FrankRuehl" w:cs="FrankRuehl" w:hint="cs"/>
          <w:b/>
          <w:bCs/>
          <w:sz w:val="26"/>
          <w:szCs w:val="26"/>
        </w:rPr>
      </w:pPr>
    </w:p>
    <w:p w14:paraId="3EC160AF" w14:textId="77777777" w:rsidR="00EF2E5F" w:rsidRDefault="00EF2E5F" w:rsidP="00EF2E5F">
      <w:pPr>
        <w:contextualSpacing/>
        <w:rPr>
          <w:rFonts w:ascii="FrankRuehl" w:hAnsi="FrankRuehl" w:cs="FrankRuehl" w:hint="cs"/>
          <w:b/>
          <w:bCs/>
          <w:sz w:val="26"/>
          <w:szCs w:val="26"/>
          <w:rtl/>
        </w:rPr>
      </w:pPr>
      <w:r>
        <w:rPr>
          <w:rFonts w:ascii="FrankRuehl" w:hAnsi="FrankRuehl" w:cs="FrankRuehl" w:hint="cs"/>
          <w:b/>
          <w:bCs/>
          <w:sz w:val="26"/>
          <w:szCs w:val="26"/>
          <w:rtl/>
        </w:rPr>
        <w:t>הרשאה להתחייב:</w:t>
      </w:r>
    </w:p>
    <w:p w14:paraId="1BA6FB22" w14:textId="77777777" w:rsidR="00EF2E5F" w:rsidRDefault="00EF2E5F" w:rsidP="00EF2E5F">
      <w:pPr>
        <w:contextualSpacing/>
        <w:rPr>
          <w:rFonts w:ascii="FrankRuehl" w:hAnsi="FrankRuehl" w:cs="FrankRuehl" w:hint="cs"/>
          <w:b/>
          <w:bCs/>
          <w:sz w:val="26"/>
          <w:szCs w:val="26"/>
        </w:rPr>
      </w:pPr>
    </w:p>
    <w:tbl>
      <w:tblPr>
        <w:bidiVisual/>
        <w:tblW w:w="9721" w:type="dxa"/>
        <w:tblInd w:w="113" w:type="dxa"/>
        <w:tblLook w:val="04A0" w:firstRow="1" w:lastRow="0" w:firstColumn="1" w:lastColumn="0" w:noHBand="0" w:noVBand="1"/>
      </w:tblPr>
      <w:tblGrid>
        <w:gridCol w:w="1160"/>
        <w:gridCol w:w="1160"/>
        <w:gridCol w:w="1000"/>
        <w:gridCol w:w="1000"/>
        <w:gridCol w:w="1000"/>
        <w:gridCol w:w="1000"/>
        <w:gridCol w:w="1000"/>
        <w:gridCol w:w="1000"/>
        <w:gridCol w:w="1401"/>
      </w:tblGrid>
      <w:tr w:rsidR="00EF2E5F" w14:paraId="2E09F8FD" w14:textId="77777777" w:rsidTr="007A5530">
        <w:trPr>
          <w:trHeight w:val="450"/>
        </w:trPr>
        <w:tc>
          <w:tcPr>
            <w:tcW w:w="1160" w:type="dxa"/>
            <w:tcBorders>
              <w:top w:val="single" w:sz="4" w:space="0" w:color="979991"/>
              <w:left w:val="single" w:sz="4" w:space="0" w:color="979991"/>
              <w:bottom w:val="nil"/>
              <w:right w:val="nil"/>
            </w:tcBorders>
            <w:shd w:val="clear" w:color="auto" w:fill="DA9694"/>
            <w:vAlign w:val="center"/>
            <w:hideMark/>
          </w:tcPr>
          <w:p w14:paraId="6FFD0DDB" w14:textId="77777777" w:rsidR="00EF2E5F" w:rsidRDefault="00EF2E5F" w:rsidP="007A5530">
            <w:pPr>
              <w:jc w:val="center"/>
              <w:rPr>
                <w:rFonts w:ascii="Calibri" w:hAnsi="Calibri" w:cs="Calibri" w:hint="cs"/>
                <w:b/>
                <w:bCs/>
                <w:color w:val="000000"/>
                <w:sz w:val="16"/>
                <w:szCs w:val="16"/>
                <w:lang w:eastAsia="en-US"/>
              </w:rPr>
            </w:pPr>
            <w:r>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auto" w:fill="DA9694"/>
            <w:vAlign w:val="center"/>
            <w:hideMark/>
          </w:tcPr>
          <w:p w14:paraId="5A0987D6"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auto" w:fill="DA9694"/>
            <w:vAlign w:val="center"/>
            <w:hideMark/>
          </w:tcPr>
          <w:p w14:paraId="3AAD118E" w14:textId="77777777" w:rsidR="00EF2E5F" w:rsidRDefault="00EF2E5F" w:rsidP="007A5530">
            <w:pPr>
              <w:jc w:val="center"/>
              <w:rPr>
                <w:rFonts w:ascii="Calibri" w:hAnsi="Calibri" w:cs="Calibri"/>
                <w:b/>
                <w:bCs/>
                <w:color w:val="000000"/>
                <w:sz w:val="16"/>
                <w:szCs w:val="16"/>
              </w:rPr>
            </w:pPr>
            <w:r>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auto" w:fill="DA9694"/>
            <w:vAlign w:val="center"/>
            <w:hideMark/>
          </w:tcPr>
          <w:p w14:paraId="1C87553F"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auto" w:fill="DA9694"/>
            <w:vAlign w:val="center"/>
            <w:hideMark/>
          </w:tcPr>
          <w:p w14:paraId="0EDE1181"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auto" w:fill="DA9694"/>
            <w:vAlign w:val="center"/>
            <w:hideMark/>
          </w:tcPr>
          <w:p w14:paraId="78523D81"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auto" w:fill="DA9694"/>
            <w:vAlign w:val="center"/>
            <w:hideMark/>
          </w:tcPr>
          <w:p w14:paraId="060E6E2F"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auto" w:fill="DA9694"/>
            <w:vAlign w:val="center"/>
            <w:hideMark/>
          </w:tcPr>
          <w:p w14:paraId="72A5BF56"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1401" w:type="dxa"/>
            <w:tcBorders>
              <w:top w:val="single" w:sz="4" w:space="0" w:color="979991"/>
              <w:left w:val="single" w:sz="4" w:space="0" w:color="979991"/>
              <w:bottom w:val="single" w:sz="4" w:space="0" w:color="979991"/>
              <w:right w:val="single" w:sz="4" w:space="0" w:color="979991"/>
            </w:tcBorders>
            <w:shd w:val="clear" w:color="auto" w:fill="DA9694"/>
            <w:vAlign w:val="center"/>
            <w:hideMark/>
          </w:tcPr>
          <w:p w14:paraId="5BAA4445" w14:textId="77777777" w:rsidR="00EF2E5F" w:rsidRDefault="00EF2E5F" w:rsidP="007A5530">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EF2E5F" w14:paraId="3D82ADEA" w14:textId="77777777" w:rsidTr="007A5530">
        <w:trPr>
          <w:trHeight w:val="300"/>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4FA1C74B" w14:textId="77777777" w:rsidR="00EF2E5F" w:rsidRDefault="00EF2E5F" w:rsidP="007A5530">
            <w:pPr>
              <w:bidi w:val="0"/>
              <w:jc w:val="center"/>
              <w:rPr>
                <w:rFonts w:ascii="Calibri" w:hAnsi="Calibri" w:cs="Calibri"/>
                <w:color w:val="000000"/>
                <w:sz w:val="16"/>
                <w:szCs w:val="16"/>
                <w:rtl/>
              </w:rPr>
            </w:pPr>
            <w:r>
              <w:rPr>
                <w:rFonts w:ascii="Calibri" w:hAnsi="Calibri" w:cs="Calibri"/>
                <w:color w:val="000000"/>
                <w:sz w:val="16"/>
                <w:szCs w:val="16"/>
              </w:rPr>
              <w:t>181103</w:t>
            </w:r>
          </w:p>
        </w:tc>
        <w:tc>
          <w:tcPr>
            <w:tcW w:w="1160" w:type="dxa"/>
            <w:tcBorders>
              <w:top w:val="nil"/>
              <w:left w:val="single" w:sz="4" w:space="0" w:color="979991"/>
              <w:bottom w:val="single" w:sz="4" w:space="0" w:color="979991"/>
              <w:right w:val="nil"/>
            </w:tcBorders>
            <w:shd w:val="clear" w:color="auto" w:fill="FFFFFF"/>
            <w:vAlign w:val="center"/>
            <w:hideMark/>
          </w:tcPr>
          <w:p w14:paraId="0C6769BB" w14:textId="77777777" w:rsidR="00EF2E5F" w:rsidRDefault="00EF2E5F" w:rsidP="007A5530">
            <w:pPr>
              <w:bidi w:val="0"/>
              <w:jc w:val="center"/>
              <w:rPr>
                <w:rFonts w:ascii="Calibri" w:hAnsi="Calibri" w:cs="Calibri"/>
                <w:color w:val="000000"/>
                <w:sz w:val="16"/>
                <w:szCs w:val="16"/>
                <w:rtl/>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764FEA78" w14:textId="77777777" w:rsidR="00EF2E5F" w:rsidRDefault="00EF2E5F" w:rsidP="007A5530">
            <w:pPr>
              <w:bidi w:val="0"/>
              <w:jc w:val="center"/>
              <w:rPr>
                <w:rFonts w:ascii="Calibri" w:hAnsi="Calibri" w:cs="Calibri"/>
                <w:color w:val="000000"/>
                <w:sz w:val="16"/>
                <w:szCs w:val="16"/>
                <w:rtl/>
              </w:rPr>
            </w:pPr>
            <w:r>
              <w:rPr>
                <w:rFonts w:ascii="Calibri" w:hAnsi="Calibri" w:cs="Calibri"/>
                <w:color w:val="000000"/>
                <w:sz w:val="16"/>
                <w:szCs w:val="16"/>
              </w:rPr>
              <w:t>162,081</w:t>
            </w:r>
          </w:p>
        </w:tc>
        <w:tc>
          <w:tcPr>
            <w:tcW w:w="1000" w:type="dxa"/>
            <w:tcBorders>
              <w:top w:val="nil"/>
              <w:left w:val="single" w:sz="4" w:space="0" w:color="979991"/>
              <w:bottom w:val="single" w:sz="4" w:space="0" w:color="979991"/>
              <w:right w:val="nil"/>
            </w:tcBorders>
            <w:shd w:val="clear" w:color="auto" w:fill="FFFFFF"/>
            <w:vAlign w:val="center"/>
            <w:hideMark/>
          </w:tcPr>
          <w:p w14:paraId="72E2FEFE"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258,593</w:t>
            </w:r>
          </w:p>
        </w:tc>
        <w:tc>
          <w:tcPr>
            <w:tcW w:w="1000" w:type="dxa"/>
            <w:tcBorders>
              <w:top w:val="nil"/>
              <w:left w:val="single" w:sz="4" w:space="0" w:color="979991"/>
              <w:bottom w:val="single" w:sz="4" w:space="0" w:color="979991"/>
              <w:right w:val="nil"/>
            </w:tcBorders>
            <w:shd w:val="clear" w:color="auto" w:fill="FFFFFF"/>
            <w:vAlign w:val="center"/>
            <w:hideMark/>
          </w:tcPr>
          <w:p w14:paraId="095D4ACA"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199,607</w:t>
            </w:r>
          </w:p>
        </w:tc>
        <w:tc>
          <w:tcPr>
            <w:tcW w:w="1000" w:type="dxa"/>
            <w:tcBorders>
              <w:top w:val="nil"/>
              <w:left w:val="single" w:sz="4" w:space="0" w:color="979991"/>
              <w:bottom w:val="single" w:sz="4" w:space="0" w:color="979991"/>
              <w:right w:val="nil"/>
            </w:tcBorders>
            <w:shd w:val="clear" w:color="auto" w:fill="FFFFFF"/>
            <w:vAlign w:val="center"/>
            <w:hideMark/>
          </w:tcPr>
          <w:p w14:paraId="5B0AEC3E"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211,082</w:t>
            </w:r>
          </w:p>
        </w:tc>
        <w:tc>
          <w:tcPr>
            <w:tcW w:w="1000" w:type="dxa"/>
            <w:tcBorders>
              <w:top w:val="nil"/>
              <w:left w:val="single" w:sz="4" w:space="0" w:color="979991"/>
              <w:bottom w:val="single" w:sz="4" w:space="0" w:color="979991"/>
              <w:right w:val="nil"/>
            </w:tcBorders>
            <w:shd w:val="clear" w:color="auto" w:fill="FFFFFF"/>
            <w:vAlign w:val="center"/>
            <w:hideMark/>
          </w:tcPr>
          <w:p w14:paraId="4D15DD97"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190,889</w:t>
            </w:r>
          </w:p>
        </w:tc>
        <w:tc>
          <w:tcPr>
            <w:tcW w:w="1000" w:type="dxa"/>
            <w:tcBorders>
              <w:top w:val="nil"/>
              <w:left w:val="single" w:sz="4" w:space="0" w:color="979991"/>
              <w:bottom w:val="single" w:sz="4" w:space="0" w:color="979991"/>
              <w:right w:val="nil"/>
            </w:tcBorders>
            <w:shd w:val="clear" w:color="auto" w:fill="FFFFFF"/>
            <w:vAlign w:val="center"/>
            <w:hideMark/>
          </w:tcPr>
          <w:p w14:paraId="5AE2C63E"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150,568</w:t>
            </w:r>
          </w:p>
        </w:tc>
        <w:tc>
          <w:tcPr>
            <w:tcW w:w="1401" w:type="dxa"/>
            <w:tcBorders>
              <w:top w:val="nil"/>
              <w:left w:val="single" w:sz="4" w:space="0" w:color="979991"/>
              <w:bottom w:val="single" w:sz="4" w:space="0" w:color="979991"/>
              <w:right w:val="single" w:sz="4" w:space="0" w:color="979991"/>
            </w:tcBorders>
            <w:shd w:val="clear" w:color="auto" w:fill="FFFFFF"/>
            <w:vAlign w:val="center"/>
            <w:hideMark/>
          </w:tcPr>
          <w:p w14:paraId="48DC10F0"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175,343</w:t>
            </w:r>
          </w:p>
        </w:tc>
      </w:tr>
      <w:tr w:rsidR="00EF2E5F" w14:paraId="09B8C8C5" w14:textId="77777777" w:rsidTr="007A5530">
        <w:trPr>
          <w:trHeight w:val="300"/>
        </w:trPr>
        <w:tc>
          <w:tcPr>
            <w:tcW w:w="1160" w:type="dxa"/>
            <w:tcBorders>
              <w:top w:val="nil"/>
              <w:left w:val="single" w:sz="4" w:space="0" w:color="979991"/>
              <w:bottom w:val="single" w:sz="4" w:space="0" w:color="979991"/>
              <w:right w:val="nil"/>
            </w:tcBorders>
            <w:shd w:val="clear" w:color="auto" w:fill="F0F4FA"/>
            <w:vAlign w:val="center"/>
            <w:hideMark/>
          </w:tcPr>
          <w:p w14:paraId="5956C4F8"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181104</w:t>
            </w:r>
          </w:p>
        </w:tc>
        <w:tc>
          <w:tcPr>
            <w:tcW w:w="1160" w:type="dxa"/>
            <w:tcBorders>
              <w:top w:val="nil"/>
              <w:left w:val="single" w:sz="4" w:space="0" w:color="979991"/>
              <w:bottom w:val="single" w:sz="4" w:space="0" w:color="979991"/>
              <w:right w:val="nil"/>
            </w:tcBorders>
            <w:shd w:val="clear" w:color="auto" w:fill="FFFFFF"/>
            <w:vAlign w:val="center"/>
            <w:hideMark/>
          </w:tcPr>
          <w:p w14:paraId="70CF4B90"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29,000</w:t>
            </w:r>
          </w:p>
        </w:tc>
        <w:tc>
          <w:tcPr>
            <w:tcW w:w="1000" w:type="dxa"/>
            <w:tcBorders>
              <w:top w:val="nil"/>
              <w:left w:val="single" w:sz="4" w:space="0" w:color="979991"/>
              <w:bottom w:val="single" w:sz="4" w:space="0" w:color="979991"/>
              <w:right w:val="nil"/>
            </w:tcBorders>
            <w:shd w:val="clear" w:color="auto" w:fill="FFFFFF"/>
            <w:vAlign w:val="center"/>
            <w:hideMark/>
          </w:tcPr>
          <w:p w14:paraId="5B92BB9C"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436,781</w:t>
            </w:r>
          </w:p>
        </w:tc>
        <w:tc>
          <w:tcPr>
            <w:tcW w:w="1000" w:type="dxa"/>
            <w:tcBorders>
              <w:top w:val="nil"/>
              <w:left w:val="single" w:sz="4" w:space="0" w:color="979991"/>
              <w:bottom w:val="single" w:sz="4" w:space="0" w:color="979991"/>
              <w:right w:val="nil"/>
            </w:tcBorders>
            <w:shd w:val="clear" w:color="auto" w:fill="FFFFFF"/>
            <w:vAlign w:val="center"/>
            <w:hideMark/>
          </w:tcPr>
          <w:p w14:paraId="273449E2"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952,880</w:t>
            </w:r>
          </w:p>
        </w:tc>
        <w:tc>
          <w:tcPr>
            <w:tcW w:w="1000" w:type="dxa"/>
            <w:tcBorders>
              <w:top w:val="nil"/>
              <w:left w:val="single" w:sz="4" w:space="0" w:color="979991"/>
              <w:bottom w:val="single" w:sz="4" w:space="0" w:color="979991"/>
              <w:right w:val="nil"/>
            </w:tcBorders>
            <w:shd w:val="clear" w:color="auto" w:fill="FFFFFF"/>
            <w:vAlign w:val="center"/>
            <w:hideMark/>
          </w:tcPr>
          <w:p w14:paraId="1C032065"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395,315</w:t>
            </w:r>
          </w:p>
        </w:tc>
        <w:tc>
          <w:tcPr>
            <w:tcW w:w="1000" w:type="dxa"/>
            <w:tcBorders>
              <w:top w:val="nil"/>
              <w:left w:val="single" w:sz="4" w:space="0" w:color="979991"/>
              <w:bottom w:val="single" w:sz="4" w:space="0" w:color="979991"/>
              <w:right w:val="nil"/>
            </w:tcBorders>
            <w:shd w:val="clear" w:color="auto" w:fill="FFFFFF"/>
            <w:vAlign w:val="center"/>
            <w:hideMark/>
          </w:tcPr>
          <w:p w14:paraId="3EFE8C7F"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702,637</w:t>
            </w:r>
          </w:p>
        </w:tc>
        <w:tc>
          <w:tcPr>
            <w:tcW w:w="1000" w:type="dxa"/>
            <w:tcBorders>
              <w:top w:val="nil"/>
              <w:left w:val="single" w:sz="4" w:space="0" w:color="979991"/>
              <w:bottom w:val="single" w:sz="4" w:space="0" w:color="979991"/>
              <w:right w:val="nil"/>
            </w:tcBorders>
            <w:shd w:val="clear" w:color="auto" w:fill="FFFFFF"/>
            <w:vAlign w:val="center"/>
            <w:hideMark/>
          </w:tcPr>
          <w:p w14:paraId="4660BAC1"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510,482</w:t>
            </w:r>
          </w:p>
        </w:tc>
        <w:tc>
          <w:tcPr>
            <w:tcW w:w="1000" w:type="dxa"/>
            <w:tcBorders>
              <w:top w:val="nil"/>
              <w:left w:val="single" w:sz="4" w:space="0" w:color="979991"/>
              <w:bottom w:val="single" w:sz="4" w:space="0" w:color="979991"/>
              <w:right w:val="nil"/>
            </w:tcBorders>
            <w:shd w:val="clear" w:color="auto" w:fill="FFFFFF"/>
            <w:vAlign w:val="center"/>
            <w:hideMark/>
          </w:tcPr>
          <w:p w14:paraId="07E9570F"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584,919</w:t>
            </w:r>
          </w:p>
        </w:tc>
        <w:tc>
          <w:tcPr>
            <w:tcW w:w="1401" w:type="dxa"/>
            <w:tcBorders>
              <w:top w:val="nil"/>
              <w:left w:val="single" w:sz="4" w:space="0" w:color="979991"/>
              <w:bottom w:val="single" w:sz="4" w:space="0" w:color="979991"/>
              <w:right w:val="single" w:sz="4" w:space="0" w:color="979991"/>
            </w:tcBorders>
            <w:shd w:val="clear" w:color="auto" w:fill="FFFFFF"/>
            <w:vAlign w:val="center"/>
            <w:hideMark/>
          </w:tcPr>
          <w:p w14:paraId="1DBD7EDE" w14:textId="77777777" w:rsidR="00EF2E5F" w:rsidRDefault="00EF2E5F" w:rsidP="007A5530">
            <w:pPr>
              <w:bidi w:val="0"/>
              <w:jc w:val="center"/>
              <w:rPr>
                <w:rFonts w:ascii="Calibri" w:hAnsi="Calibri" w:cs="Calibri"/>
                <w:color w:val="000000"/>
                <w:sz w:val="16"/>
                <w:szCs w:val="16"/>
              </w:rPr>
            </w:pPr>
            <w:r>
              <w:rPr>
                <w:rFonts w:ascii="Calibri" w:hAnsi="Calibri" w:cs="Calibri"/>
                <w:color w:val="000000"/>
                <w:sz w:val="16"/>
                <w:szCs w:val="16"/>
              </w:rPr>
              <w:t>412,644</w:t>
            </w:r>
          </w:p>
        </w:tc>
      </w:tr>
    </w:tbl>
    <w:p w14:paraId="10FAD0F0" w14:textId="77777777" w:rsidR="00EF2E5F" w:rsidRDefault="00EF2E5F" w:rsidP="00EF2E5F">
      <w:pPr>
        <w:contextualSpacing/>
        <w:rPr>
          <w:rFonts w:ascii="FrankRuehl" w:hAnsi="FrankRuehl" w:cs="FrankRuehl"/>
          <w:sz w:val="26"/>
          <w:szCs w:val="26"/>
        </w:rPr>
      </w:pPr>
    </w:p>
    <w:p w14:paraId="5F7BB76F" w14:textId="77777777" w:rsidR="00436E4E" w:rsidRPr="002E1D22" w:rsidRDefault="00436E4E">
      <w:pPr>
        <w:rPr>
          <w:rFonts w:cs="FrankRuehl"/>
          <w:sz w:val="26"/>
          <w:szCs w:val="26"/>
          <w:rtl/>
        </w:rPr>
      </w:pPr>
    </w:p>
    <w:sectPr w:rsidR="00436E4E" w:rsidRPr="002E1D22" w:rsidSect="004374A5">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A4E0C" w14:textId="77777777" w:rsidR="00477B34" w:rsidRDefault="00477B34" w:rsidP="004374A5">
      <w:r>
        <w:separator/>
      </w:r>
    </w:p>
  </w:endnote>
  <w:endnote w:type="continuationSeparator" w:id="0">
    <w:p w14:paraId="0DD517EE" w14:textId="77777777" w:rsidR="00477B34" w:rsidRDefault="00477B34"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96B8"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DC74"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582A"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4A53B" w14:textId="77777777" w:rsidR="00477B34" w:rsidRDefault="00477B34" w:rsidP="004374A5">
      <w:r>
        <w:separator/>
      </w:r>
    </w:p>
  </w:footnote>
  <w:footnote w:type="continuationSeparator" w:id="0">
    <w:p w14:paraId="54E6AECA" w14:textId="77777777" w:rsidR="00477B34" w:rsidRDefault="00477B34"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27A"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BC1A" w14:textId="77777777" w:rsidR="004374A5" w:rsidRDefault="00477B34">
    <w:pPr>
      <w:pStyle w:val="a4"/>
    </w:pPr>
    <w:r>
      <w:rPr>
        <w:noProof/>
      </w:rPr>
      <w:pict w14:anchorId="09616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2F03"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477B34"/>
    <w:rsid w:val="007847C9"/>
    <w:rsid w:val="007C275A"/>
    <w:rsid w:val="007F5DF6"/>
    <w:rsid w:val="00AC2EE6"/>
    <w:rsid w:val="00B0145B"/>
    <w:rsid w:val="00B42666"/>
    <w:rsid w:val="00B61EA5"/>
    <w:rsid w:val="00BB3BA1"/>
    <w:rsid w:val="00C13197"/>
    <w:rsid w:val="00EF0529"/>
    <w:rsid w:val="00EF2E5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DB5C25F"/>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character" w:styleId="Hyperlink">
    <w:name w:val="Hyperlink"/>
    <w:uiPriority w:val="99"/>
    <w:semiHidden/>
    <w:unhideWhenUsed/>
    <w:rsid w:val="00EF2E5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il/he/pages/dec3920-2026"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ww.gov.il/he/pages/dec3920-2026"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gov.il/he/pages/dec4125-2026"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510</Words>
  <Characters>2554</Characters>
  <Application>Microsoft Office Word</Application>
  <DocSecurity>0</DocSecurity>
  <Lines>21</Lines>
  <Paragraphs>6</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2026-07-27T06:34:00Z</dcterms:created>
  <dcterms:modified xsi:type="dcterms:W3CDTF">2026-07-27T06:37:00Z</dcterms:modified>
</cp:coreProperties>
</file>