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1289" w14:textId="77777777" w:rsidR="00436E4E" w:rsidRDefault="00436E4E">
      <w:pPr>
        <w:pStyle w:val="a6"/>
        <w:rPr>
          <w:rtl/>
        </w:rPr>
      </w:pPr>
    </w:p>
    <w:p w14:paraId="0ED9FCC6" w14:textId="77777777" w:rsidR="00436E4E" w:rsidRDefault="00436E4E">
      <w:pPr>
        <w:pStyle w:val="a6"/>
        <w:rPr>
          <w:rtl/>
        </w:rPr>
      </w:pPr>
      <w:r>
        <w:rPr>
          <w:rtl/>
        </w:rPr>
        <w:t>מדינת ישראל</w:t>
      </w:r>
    </w:p>
    <w:p w14:paraId="5BC2E21D" w14:textId="77777777" w:rsidR="00436E4E" w:rsidRDefault="00436E4E">
      <w:pPr>
        <w:pStyle w:val="a6"/>
        <w:rPr>
          <w:szCs w:val="24"/>
          <w:rtl/>
        </w:rPr>
      </w:pPr>
      <w:r>
        <w:rPr>
          <w:rtl/>
        </w:rPr>
        <w:t>האוצר - אגף התקציבים</w:t>
      </w:r>
    </w:p>
    <w:p w14:paraId="5E69567D" w14:textId="77777777" w:rsidR="00436E4E" w:rsidRDefault="00436E4E">
      <w:pPr>
        <w:rPr>
          <w:rtl/>
        </w:rPr>
      </w:pPr>
    </w:p>
    <w:p w14:paraId="0A27DF17" w14:textId="77777777" w:rsidR="00436E4E" w:rsidRDefault="00436E4E">
      <w:pPr>
        <w:rPr>
          <w:rtl/>
        </w:rPr>
      </w:pPr>
    </w:p>
    <w:p w14:paraId="36A63B7D" w14:textId="5EA19541" w:rsidR="00436E4E" w:rsidRDefault="00436E4E">
      <w:pPr>
        <w:tabs>
          <w:tab w:val="left" w:pos="6300"/>
        </w:tabs>
        <w:rPr>
          <w:rtl/>
        </w:rPr>
      </w:pPr>
      <w:r>
        <w:rPr>
          <w:rtl/>
        </w:rPr>
        <w:tab/>
      </w:r>
      <w:bookmarkStart w:id="0" w:name="TAKZIV8"/>
      <w:r w:rsidR="00DF1B28">
        <w:rPr>
          <w:rtl/>
        </w:rPr>
        <w:t>תקציב רגיל</w:t>
      </w:r>
      <w:bookmarkEnd w:id="0"/>
    </w:p>
    <w:p w14:paraId="224504DA" w14:textId="77777777" w:rsidR="00436E4E" w:rsidRDefault="00436E4E">
      <w:pPr>
        <w:tabs>
          <w:tab w:val="left" w:pos="6300"/>
        </w:tabs>
        <w:rPr>
          <w:rtl/>
        </w:rPr>
      </w:pPr>
      <w:r>
        <w:rPr>
          <w:rtl/>
        </w:rPr>
        <w:tab/>
      </w:r>
    </w:p>
    <w:p w14:paraId="4CD7DBE3"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101B7241" w14:textId="402CFF76"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DF1B28">
        <w:rPr>
          <w:rFonts w:cs="FrankRuehl"/>
          <w:sz w:val="26"/>
          <w:szCs w:val="26"/>
          <w:rtl/>
        </w:rPr>
        <w:t>229</w:t>
      </w:r>
      <w:bookmarkEnd w:id="2"/>
      <w:r w:rsidRPr="002E1D22">
        <w:rPr>
          <w:rFonts w:cs="FrankRuehl"/>
          <w:sz w:val="26"/>
          <w:szCs w:val="26"/>
          <w:rtl/>
        </w:rPr>
        <w:t xml:space="preserve"> </w:t>
      </w:r>
      <w:r w:rsidR="00493273">
        <w:rPr>
          <w:rFonts w:cs="FrankRuehl"/>
          <w:sz w:val="26"/>
          <w:szCs w:val="26"/>
          <w:rtl/>
        </w:rPr>
        <w:t>–</w:t>
      </w:r>
      <w:r w:rsidRPr="002E1D22">
        <w:rPr>
          <w:rFonts w:cs="FrankRuehl"/>
          <w:sz w:val="26"/>
          <w:szCs w:val="26"/>
          <w:rtl/>
        </w:rPr>
        <w:t xml:space="preserve"> </w:t>
      </w:r>
      <w:bookmarkStart w:id="3" w:name="TAKZIV3"/>
      <w:r w:rsidR="00DF1B28">
        <w:rPr>
          <w:rFonts w:cs="FrankRuehl"/>
          <w:sz w:val="26"/>
          <w:szCs w:val="26"/>
          <w:rtl/>
        </w:rPr>
        <w:t>04</w:t>
      </w:r>
      <w:bookmarkEnd w:id="3"/>
      <w:r w:rsidR="00493273">
        <w:rPr>
          <w:rFonts w:cs="FrankRuehl" w:hint="cs"/>
          <w:sz w:val="26"/>
          <w:szCs w:val="26"/>
          <w:rtl/>
        </w:rPr>
        <w:t>,</w:t>
      </w:r>
    </w:p>
    <w:p w14:paraId="1951342D" w14:textId="76CD42C4" w:rsidR="00493273" w:rsidRPr="002E1D22" w:rsidRDefault="00493273" w:rsidP="002E1D22">
      <w:pPr>
        <w:tabs>
          <w:tab w:val="left" w:pos="5755"/>
        </w:tabs>
        <w:rPr>
          <w:rFonts w:cs="FrankRuehl"/>
          <w:sz w:val="26"/>
          <w:szCs w:val="26"/>
          <w:rtl/>
        </w:rPr>
      </w:pPr>
      <w:r>
        <w:rPr>
          <w:rFonts w:cs="FrankRuehl"/>
          <w:sz w:val="26"/>
          <w:szCs w:val="26"/>
          <w:rtl/>
        </w:rPr>
        <w:tab/>
      </w:r>
      <w:r>
        <w:rPr>
          <w:rFonts w:cs="FrankRuehl" w:hint="cs"/>
          <w:sz w:val="26"/>
          <w:szCs w:val="26"/>
          <w:rtl/>
        </w:rPr>
        <w:t>26-012</w:t>
      </w:r>
    </w:p>
    <w:p w14:paraId="4EA6A8C2" w14:textId="0796DE9E" w:rsidR="00493273"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A31736" w:rsidRPr="002E1D22">
        <w:rPr>
          <w:rFonts w:cs="FrankRuehl" w:hint="cs"/>
          <w:sz w:val="26"/>
          <w:szCs w:val="26"/>
          <w:rtl/>
        </w:rPr>
        <w:t>לוועד</w:t>
      </w:r>
      <w:r w:rsidR="00A31736" w:rsidRPr="002E1D22">
        <w:rPr>
          <w:rFonts w:cs="FrankRuehl" w:hint="eastAsia"/>
          <w:sz w:val="26"/>
          <w:szCs w:val="26"/>
          <w:rtl/>
        </w:rPr>
        <w:t>ה</w:t>
      </w:r>
      <w:r w:rsidRPr="002E1D22">
        <w:rPr>
          <w:rFonts w:cs="FrankRuehl"/>
          <w:sz w:val="26"/>
          <w:szCs w:val="26"/>
          <w:rtl/>
        </w:rPr>
        <w:t>:</w:t>
      </w:r>
    </w:p>
    <w:p w14:paraId="07FAD27A" w14:textId="3ECE6827" w:rsidR="00436E4E" w:rsidRDefault="00493273" w:rsidP="00493273">
      <w:pPr>
        <w:ind w:left="5040" w:firstLine="720"/>
        <w:rPr>
          <w:rFonts w:cs="FrankRuehl"/>
          <w:sz w:val="26"/>
          <w:szCs w:val="26"/>
          <w:rtl/>
        </w:rPr>
      </w:pPr>
      <w:r>
        <w:rPr>
          <w:rFonts w:cs="FrankRuehl" w:hint="cs"/>
          <w:sz w:val="26"/>
          <w:szCs w:val="26"/>
          <w:rtl/>
        </w:rPr>
        <w:t>172 עד</w:t>
      </w:r>
      <w:r w:rsidR="00436E4E" w:rsidRPr="002E1D22">
        <w:rPr>
          <w:rFonts w:cs="FrankRuehl"/>
          <w:sz w:val="26"/>
          <w:szCs w:val="26"/>
          <w:rtl/>
        </w:rPr>
        <w:t xml:space="preserve"> </w:t>
      </w:r>
      <w:bookmarkStart w:id="4" w:name="TAKZIV11"/>
      <w:r w:rsidR="00DF1B28">
        <w:rPr>
          <w:rFonts w:cs="FrankRuehl"/>
          <w:sz w:val="26"/>
          <w:szCs w:val="26"/>
          <w:rtl/>
        </w:rPr>
        <w:t>173</w:t>
      </w:r>
      <w:bookmarkEnd w:id="4"/>
      <w:r w:rsidR="00436E4E" w:rsidRPr="002E1D22">
        <w:rPr>
          <w:rFonts w:cs="FrankRuehl"/>
          <w:sz w:val="26"/>
          <w:szCs w:val="26"/>
          <w:rtl/>
        </w:rPr>
        <w:tab/>
      </w:r>
    </w:p>
    <w:p w14:paraId="0F7E7DFB" w14:textId="77777777" w:rsidR="00493273" w:rsidRPr="002E1D22" w:rsidRDefault="00493273" w:rsidP="00493273">
      <w:pPr>
        <w:ind w:left="5040" w:firstLine="720"/>
        <w:rPr>
          <w:rFonts w:cs="FrankRuehl"/>
          <w:sz w:val="26"/>
          <w:szCs w:val="26"/>
          <w:rtl/>
        </w:rPr>
      </w:pPr>
    </w:p>
    <w:p w14:paraId="3C6941E6" w14:textId="77777777" w:rsidR="00436E4E" w:rsidRPr="002E1D22" w:rsidRDefault="00436E4E">
      <w:pPr>
        <w:rPr>
          <w:rFonts w:cs="FrankRuehl"/>
          <w:sz w:val="26"/>
          <w:szCs w:val="26"/>
          <w:rtl/>
        </w:rPr>
      </w:pPr>
      <w:r w:rsidRPr="002E1D22">
        <w:rPr>
          <w:rFonts w:cs="FrankRuehl"/>
          <w:sz w:val="26"/>
          <w:szCs w:val="26"/>
          <w:rtl/>
        </w:rPr>
        <w:t>לכבוד,</w:t>
      </w:r>
    </w:p>
    <w:p w14:paraId="2D11FB82" w14:textId="77777777" w:rsidR="00436E4E" w:rsidRPr="002E1D22" w:rsidRDefault="00436E4E">
      <w:pPr>
        <w:rPr>
          <w:rFonts w:cs="FrankRuehl"/>
          <w:sz w:val="26"/>
          <w:szCs w:val="26"/>
          <w:rtl/>
        </w:rPr>
      </w:pPr>
      <w:r w:rsidRPr="002E1D22">
        <w:rPr>
          <w:rFonts w:cs="FrankRuehl"/>
          <w:sz w:val="26"/>
          <w:szCs w:val="26"/>
          <w:rtl/>
        </w:rPr>
        <w:t>יו"ר ועדת הכספים</w:t>
      </w:r>
    </w:p>
    <w:p w14:paraId="25EA73BC" w14:textId="77777777" w:rsidR="00436E4E" w:rsidRPr="002E1D22" w:rsidRDefault="00436E4E">
      <w:pPr>
        <w:rPr>
          <w:rFonts w:cs="FrankRuehl"/>
          <w:sz w:val="26"/>
          <w:szCs w:val="26"/>
          <w:rtl/>
        </w:rPr>
      </w:pPr>
      <w:r w:rsidRPr="002E1D22">
        <w:rPr>
          <w:rFonts w:cs="FrankRuehl"/>
          <w:sz w:val="26"/>
          <w:szCs w:val="26"/>
          <w:rtl/>
        </w:rPr>
        <w:t>של הכנסת</w:t>
      </w:r>
    </w:p>
    <w:p w14:paraId="2E66AE0B" w14:textId="77777777" w:rsidR="00436E4E" w:rsidRPr="002E1D22" w:rsidRDefault="00436E4E">
      <w:pPr>
        <w:rPr>
          <w:rFonts w:cs="FrankRuehl"/>
          <w:sz w:val="26"/>
          <w:szCs w:val="26"/>
          <w:rtl/>
        </w:rPr>
      </w:pPr>
    </w:p>
    <w:p w14:paraId="342F9F0F" w14:textId="77777777" w:rsidR="00436E4E" w:rsidRPr="002E1D22" w:rsidRDefault="00436E4E">
      <w:pPr>
        <w:rPr>
          <w:rFonts w:cs="FrankRuehl"/>
          <w:sz w:val="26"/>
          <w:szCs w:val="26"/>
          <w:rtl/>
        </w:rPr>
      </w:pPr>
      <w:r w:rsidRPr="002E1D22">
        <w:rPr>
          <w:rFonts w:cs="FrankRuehl"/>
          <w:sz w:val="26"/>
          <w:szCs w:val="26"/>
          <w:rtl/>
        </w:rPr>
        <w:t>א.נ.,</w:t>
      </w:r>
    </w:p>
    <w:p w14:paraId="21F5CBBB" w14:textId="77777777" w:rsidR="00436E4E" w:rsidRPr="002E1D22" w:rsidRDefault="00436E4E">
      <w:pPr>
        <w:rPr>
          <w:rFonts w:cs="FrankRuehl"/>
          <w:sz w:val="26"/>
          <w:szCs w:val="26"/>
          <w:rtl/>
        </w:rPr>
      </w:pPr>
    </w:p>
    <w:p w14:paraId="6D959122"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DF1B28">
        <w:rPr>
          <w:rFonts w:cs="FrankRuehl"/>
          <w:sz w:val="26"/>
          <w:rtl/>
        </w:rPr>
        <w:t>2026</w:t>
      </w:r>
      <w:bookmarkEnd w:id="5"/>
      <w:r w:rsidRPr="002E1D22">
        <w:rPr>
          <w:rFonts w:cs="FrankRuehl"/>
          <w:sz w:val="26"/>
          <w:rtl/>
        </w:rPr>
        <w:t xml:space="preserve">     </w:t>
      </w:r>
    </w:p>
    <w:p w14:paraId="1DEDBB24" w14:textId="77777777" w:rsidR="00436E4E" w:rsidRPr="002E1D22" w:rsidRDefault="00436E4E" w:rsidP="002E1D22">
      <w:pPr>
        <w:jc w:val="both"/>
        <w:rPr>
          <w:rFonts w:cs="FrankRuehl"/>
          <w:sz w:val="26"/>
          <w:szCs w:val="26"/>
          <w:rtl/>
        </w:rPr>
      </w:pPr>
    </w:p>
    <w:p w14:paraId="44311C3C" w14:textId="3F10DBBE" w:rsidR="00436E4E" w:rsidRPr="002E1D22" w:rsidRDefault="00436E4E" w:rsidP="002E1D22">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DF1B28">
        <w:rPr>
          <w:rFonts w:cs="FrankRuehl"/>
          <w:sz w:val="26"/>
          <w:szCs w:val="26"/>
          <w:rtl/>
        </w:rPr>
        <w:t>1,000</w:t>
      </w:r>
      <w:bookmarkEnd w:id="6"/>
      <w:r w:rsidRPr="002E1D22">
        <w:rPr>
          <w:rFonts w:cs="FrankRuehl"/>
          <w:sz w:val="26"/>
          <w:szCs w:val="26"/>
          <w:rtl/>
        </w:rPr>
        <w:t xml:space="preserve"> אלפי שקלים חדשים מסעיף</w:t>
      </w:r>
      <w:r w:rsidR="00493273">
        <w:rPr>
          <w:rFonts w:cs="FrankRuehl" w:hint="cs"/>
          <w:sz w:val="26"/>
          <w:szCs w:val="26"/>
          <w:rtl/>
        </w:rPr>
        <w:t xml:space="preserve"> 26 </w:t>
      </w:r>
      <w:r w:rsidR="00493273">
        <w:rPr>
          <w:rFonts w:cs="FrankRuehl"/>
          <w:sz w:val="26"/>
          <w:szCs w:val="26"/>
          <w:rtl/>
        </w:rPr>
        <w:t>–</w:t>
      </w:r>
      <w:r w:rsidR="00493273">
        <w:rPr>
          <w:rFonts w:cs="FrankRuehl" w:hint="cs"/>
          <w:sz w:val="26"/>
          <w:szCs w:val="26"/>
          <w:rtl/>
        </w:rPr>
        <w:t xml:space="preserve"> המשרד להגנת הסביבה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2B150091" w14:textId="77777777" w:rsidR="00436E4E" w:rsidRPr="002E1D22" w:rsidRDefault="00436E4E" w:rsidP="002E1D22">
      <w:pPr>
        <w:jc w:val="both"/>
        <w:rPr>
          <w:rFonts w:cs="FrankRuehl"/>
          <w:sz w:val="26"/>
          <w:szCs w:val="26"/>
          <w:rtl/>
        </w:rPr>
      </w:pPr>
    </w:p>
    <w:p w14:paraId="6959C956" w14:textId="1457F827" w:rsidR="00436E4E" w:rsidRPr="002E1D22" w:rsidRDefault="00436E4E" w:rsidP="00493273">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493273" w:rsidRPr="002E1D22">
        <w:rPr>
          <w:rFonts w:cs="FrankRuehl"/>
          <w:sz w:val="26"/>
          <w:szCs w:val="26"/>
          <w:rtl/>
        </w:rPr>
        <w:t xml:space="preserve">של </w:t>
      </w:r>
      <w:r w:rsidR="00493273">
        <w:rPr>
          <w:rFonts w:cs="FrankRuehl"/>
          <w:sz w:val="26"/>
          <w:szCs w:val="26"/>
          <w:rtl/>
        </w:rPr>
        <w:t>1,000</w:t>
      </w:r>
      <w:r w:rsidR="00493273"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493273" w:rsidRPr="002E1D22">
        <w:rPr>
          <w:rFonts w:cs="FrankRuehl"/>
          <w:sz w:val="26"/>
          <w:szCs w:val="26"/>
          <w:rtl/>
        </w:rPr>
        <w:t xml:space="preserve">לסעיף </w:t>
      </w:r>
      <w:bookmarkStart w:id="7" w:name="TAKZIV3_1"/>
      <w:r w:rsidR="00493273">
        <w:rPr>
          <w:rFonts w:cs="FrankRuehl"/>
          <w:sz w:val="26"/>
          <w:szCs w:val="26"/>
          <w:rtl/>
        </w:rPr>
        <w:t>04</w:t>
      </w:r>
      <w:bookmarkEnd w:id="7"/>
      <w:r w:rsidR="00493273" w:rsidRPr="002E1D22">
        <w:rPr>
          <w:rFonts w:cs="FrankRuehl"/>
          <w:sz w:val="26"/>
          <w:szCs w:val="26"/>
          <w:rtl/>
        </w:rPr>
        <w:t xml:space="preserve"> - </w:t>
      </w:r>
      <w:bookmarkStart w:id="8" w:name="TAKZIV6"/>
      <w:r w:rsidR="00493273">
        <w:rPr>
          <w:rFonts w:cs="FrankRuehl"/>
          <w:sz w:val="26"/>
          <w:szCs w:val="26"/>
          <w:rtl/>
        </w:rPr>
        <w:t>משרד ראש הממשלה</w:t>
      </w:r>
      <w:bookmarkEnd w:id="8"/>
      <w:r w:rsidR="00493273">
        <w:rPr>
          <w:rFonts w:cs="FrankRuehl" w:hint="cs"/>
          <w:sz w:val="26"/>
          <w:szCs w:val="26"/>
          <w:rtl/>
        </w:rPr>
        <w:t>,</w:t>
      </w:r>
      <w:r w:rsidR="00493273" w:rsidRPr="002E1D22">
        <w:rPr>
          <w:rFonts w:cs="FrankRuehl"/>
          <w:sz w:val="26"/>
          <w:szCs w:val="26"/>
          <w:rtl/>
        </w:rPr>
        <w:t xml:space="preserve"> </w:t>
      </w:r>
      <w:r w:rsidRPr="002E1D22">
        <w:rPr>
          <w:rFonts w:cs="FrankRuehl"/>
          <w:sz w:val="26"/>
          <w:szCs w:val="26"/>
          <w:rtl/>
        </w:rPr>
        <w:t>בהתאם לסעיף 12 (א)</w:t>
      </w:r>
      <w:r w:rsidR="00493273">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348DCD79" w14:textId="77777777" w:rsidR="00436E4E" w:rsidRPr="002E1D22" w:rsidRDefault="00436E4E">
      <w:pPr>
        <w:rPr>
          <w:rFonts w:cs="FrankRuehl"/>
          <w:sz w:val="26"/>
          <w:szCs w:val="26"/>
          <w:rtl/>
        </w:rPr>
      </w:pPr>
    </w:p>
    <w:p w14:paraId="27FEAC02" w14:textId="77777777" w:rsidR="00493273" w:rsidRDefault="00493273" w:rsidP="00493273">
      <w:pPr>
        <w:rPr>
          <w:rFonts w:ascii="FrankRuehl" w:hAnsi="Calibri" w:cs="FrankRuehl"/>
          <w:b/>
          <w:bCs/>
          <w:sz w:val="26"/>
          <w:szCs w:val="26"/>
        </w:rPr>
      </w:pPr>
      <w:bookmarkStart w:id="9" w:name="_Hlk235912980"/>
      <w:bookmarkStart w:id="10" w:name="_Hlk235975012"/>
      <w:r>
        <w:rPr>
          <w:rFonts w:ascii="FrankRuehl" w:hAnsi="Calibri" w:cs="FrankRuehl" w:hint="cs"/>
          <w:b/>
          <w:bCs/>
          <w:sz w:val="26"/>
          <w:szCs w:val="26"/>
          <w:rtl/>
        </w:rPr>
        <w:t>הבקשה</w:t>
      </w:r>
      <w:r>
        <w:rPr>
          <w:rFonts w:ascii="FrankRuehl" w:hAnsi="Calibri" w:cs="FrankRuehl" w:hint="cs"/>
          <w:b/>
          <w:bCs/>
          <w:sz w:val="26"/>
          <w:szCs w:val="26"/>
        </w:rPr>
        <w:t xml:space="preserve"> </w:t>
      </w:r>
      <w:r>
        <w:rPr>
          <w:rFonts w:ascii="FrankRuehl" w:hAnsi="Calibri" w:cs="FrankRuehl" w:hint="cs"/>
          <w:b/>
          <w:bCs/>
          <w:sz w:val="26"/>
          <w:szCs w:val="26"/>
          <w:rtl/>
        </w:rPr>
        <w:t>דנה</w:t>
      </w:r>
      <w:r>
        <w:rPr>
          <w:rFonts w:ascii="FrankRuehl" w:hAnsi="Calibri" w:cs="FrankRuehl" w:hint="cs"/>
          <w:b/>
          <w:bCs/>
          <w:sz w:val="26"/>
          <w:szCs w:val="26"/>
        </w:rPr>
        <w:t xml:space="preserve"> </w:t>
      </w:r>
      <w:r>
        <w:rPr>
          <w:rFonts w:ascii="FrankRuehl" w:hAnsi="Calibri" w:cs="FrankRuehl" w:hint="cs"/>
          <w:b/>
          <w:bCs/>
          <w:sz w:val="26"/>
          <w:szCs w:val="26"/>
          <w:rtl/>
        </w:rPr>
        <w:t>בסעיף</w:t>
      </w:r>
      <w:r>
        <w:rPr>
          <w:rFonts w:ascii="FrankRuehl" w:hAnsi="Calibri" w:cs="FrankRuehl" w:hint="cs"/>
          <w:b/>
          <w:bCs/>
          <w:sz w:val="26"/>
          <w:szCs w:val="26"/>
        </w:rPr>
        <w:t xml:space="preserve"> </w:t>
      </w:r>
      <w:r>
        <w:rPr>
          <w:rFonts w:ascii="FrankRuehl" w:hAnsi="Calibri" w:cs="FrankRuehl" w:hint="cs"/>
          <w:b/>
          <w:bCs/>
          <w:sz w:val="26"/>
          <w:szCs w:val="26"/>
          <w:rtl/>
        </w:rPr>
        <w:t xml:space="preserve">תקציבי: </w:t>
      </w:r>
      <w:r>
        <w:rPr>
          <w:rFonts w:ascii="FrankRuehl" w:hAnsi="Calibri" w:cs="FrankRuehl" w:hint="cs"/>
          <w:sz w:val="26"/>
          <w:szCs w:val="26"/>
          <w:rtl/>
        </w:rPr>
        <w:t>04 – משרד ראש הממשלה</w:t>
      </w:r>
    </w:p>
    <w:p w14:paraId="70199CB8" w14:textId="77777777" w:rsidR="00493273" w:rsidRDefault="00493273" w:rsidP="00493273">
      <w:pPr>
        <w:rPr>
          <w:rFonts w:cs="FrankRuehl" w:hint="cs"/>
          <w:b/>
          <w:bCs/>
          <w:sz w:val="26"/>
          <w:szCs w:val="26"/>
        </w:rPr>
      </w:pPr>
    </w:p>
    <w:p w14:paraId="219E3070" w14:textId="77777777" w:rsidR="00493273" w:rsidRDefault="00493273" w:rsidP="00493273">
      <w:pPr>
        <w:rPr>
          <w:rFonts w:cs="FrankRuehl"/>
          <w:b/>
          <w:bCs/>
          <w:sz w:val="26"/>
          <w:szCs w:val="26"/>
        </w:rPr>
      </w:pPr>
      <w:r>
        <w:rPr>
          <w:rFonts w:cs="FrankRuehl" w:hint="cs"/>
          <w:b/>
          <w:bCs/>
          <w:sz w:val="26"/>
          <w:szCs w:val="26"/>
          <w:rtl/>
        </w:rPr>
        <w:t>עיקרי</w:t>
      </w:r>
      <w:r>
        <w:rPr>
          <w:rFonts w:cs="FrankRuehl" w:hint="cs"/>
          <w:b/>
          <w:bCs/>
          <w:sz w:val="26"/>
          <w:szCs w:val="26"/>
        </w:rPr>
        <w:t xml:space="preserve"> </w:t>
      </w:r>
      <w:r>
        <w:rPr>
          <w:rFonts w:cs="FrankRuehl" w:hint="cs"/>
          <w:b/>
          <w:bCs/>
          <w:sz w:val="26"/>
          <w:szCs w:val="26"/>
          <w:rtl/>
        </w:rPr>
        <w:t>הפנייה</w:t>
      </w:r>
      <w:r>
        <w:rPr>
          <w:rFonts w:cs="FrankRuehl"/>
          <w:b/>
          <w:bCs/>
          <w:sz w:val="26"/>
          <w:szCs w:val="26"/>
        </w:rPr>
        <w:t>:</w:t>
      </w:r>
    </w:p>
    <w:p w14:paraId="4CB4FA40" w14:textId="77777777" w:rsidR="00493273" w:rsidRDefault="00493273" w:rsidP="00493273">
      <w:pPr>
        <w:rPr>
          <w:rFonts w:cs="FrankRuehl"/>
          <w:sz w:val="26"/>
          <w:szCs w:val="26"/>
        </w:rPr>
      </w:pPr>
      <w:r>
        <w:rPr>
          <w:rFonts w:cs="FrankRuehl" w:hint="cs"/>
          <w:sz w:val="26"/>
          <w:szCs w:val="26"/>
          <w:rtl/>
        </w:rPr>
        <w:t>הפנייה</w:t>
      </w:r>
      <w:r>
        <w:rPr>
          <w:rFonts w:cs="FrankRuehl" w:hint="cs"/>
          <w:sz w:val="26"/>
          <w:szCs w:val="26"/>
        </w:rPr>
        <w:t xml:space="preserve"> </w:t>
      </w:r>
      <w:r>
        <w:rPr>
          <w:rFonts w:cs="FrankRuehl" w:hint="cs"/>
          <w:sz w:val="26"/>
          <w:szCs w:val="26"/>
          <w:rtl/>
        </w:rPr>
        <w:t>התקציבית</w:t>
      </w:r>
      <w:r>
        <w:rPr>
          <w:rFonts w:cs="FrankRuehl" w:hint="cs"/>
          <w:sz w:val="26"/>
          <w:szCs w:val="26"/>
        </w:rPr>
        <w:t xml:space="preserve"> </w:t>
      </w:r>
      <w:r>
        <w:rPr>
          <w:rFonts w:cs="FrankRuehl" w:hint="cs"/>
          <w:sz w:val="26"/>
          <w:szCs w:val="26"/>
          <w:rtl/>
        </w:rPr>
        <w:t>נועדה</w:t>
      </w:r>
      <w:r>
        <w:rPr>
          <w:rFonts w:cs="FrankRuehl" w:hint="cs"/>
          <w:sz w:val="26"/>
          <w:szCs w:val="26"/>
        </w:rPr>
        <w:t xml:space="preserve"> </w:t>
      </w:r>
      <w:r>
        <w:rPr>
          <w:rFonts w:cs="FrankRuehl" w:hint="cs"/>
          <w:sz w:val="26"/>
          <w:szCs w:val="26"/>
          <w:rtl/>
        </w:rPr>
        <w:t>לתקצוב סך 4,000 אלפי ש"ח בהוצאה כמפורט להלן.</w:t>
      </w:r>
    </w:p>
    <w:p w14:paraId="55F1409E" w14:textId="77777777" w:rsidR="00493273" w:rsidRDefault="00493273" w:rsidP="00493273">
      <w:pPr>
        <w:rPr>
          <w:rFonts w:ascii="FrankRuehl" w:hAnsi="Calibri" w:cs="FrankRuehl"/>
          <w:sz w:val="26"/>
          <w:szCs w:val="26"/>
        </w:rPr>
      </w:pPr>
    </w:p>
    <w:p w14:paraId="2348BF4C" w14:textId="77777777" w:rsidR="00493273" w:rsidRDefault="00493273" w:rsidP="00493273">
      <w:pPr>
        <w:rPr>
          <w:rFonts w:ascii="FrankRuehl" w:hAnsi="Calibri" w:cs="FrankRuehl" w:hint="cs"/>
          <w:b/>
          <w:bCs/>
          <w:sz w:val="26"/>
          <w:szCs w:val="26"/>
        </w:rPr>
      </w:pPr>
      <w:r>
        <w:rPr>
          <w:rFonts w:ascii="FrankRuehl" w:hAnsi="Calibri" w:cs="FrankRuehl" w:hint="cs"/>
          <w:b/>
          <w:bCs/>
          <w:sz w:val="26"/>
          <w:szCs w:val="26"/>
          <w:rtl/>
        </w:rPr>
        <w:t>תוכנית 04-52-12: משרד המורשת – 4,000 אלפי ש"ח</w:t>
      </w:r>
    </w:p>
    <w:p w14:paraId="38DF8E8B" w14:textId="77777777" w:rsidR="00493273" w:rsidRDefault="00493273" w:rsidP="00493273">
      <w:pPr>
        <w:rPr>
          <w:rFonts w:ascii="FrankRuehl" w:hAnsi="FrankRuehl" w:cs="FrankRuehl" w:hint="cs"/>
          <w:sz w:val="26"/>
          <w:szCs w:val="26"/>
        </w:rPr>
      </w:pPr>
      <w:r>
        <w:rPr>
          <w:rFonts w:ascii="FrankRuehl" w:hAnsi="Calibri" w:cs="FrankRuehl" w:hint="cs"/>
          <w:b/>
          <w:bCs/>
          <w:sz w:val="26"/>
          <w:szCs w:val="26"/>
          <w:rtl/>
        </w:rPr>
        <w:t xml:space="preserve">תיאור </w:t>
      </w:r>
      <w:proofErr w:type="spellStart"/>
      <w:r>
        <w:rPr>
          <w:rFonts w:ascii="FrankRuehl" w:hAnsi="Calibri" w:cs="FrankRuehl" w:hint="cs"/>
          <w:b/>
          <w:bCs/>
          <w:sz w:val="26"/>
          <w:szCs w:val="26"/>
          <w:rtl/>
        </w:rPr>
        <w:t>התכנית</w:t>
      </w:r>
      <w:proofErr w:type="spellEnd"/>
      <w:r>
        <w:rPr>
          <w:rFonts w:ascii="FrankRuehl" w:hAnsi="Calibri" w:cs="FrankRuehl" w:hint="cs"/>
          <w:b/>
          <w:bCs/>
          <w:sz w:val="26"/>
          <w:szCs w:val="26"/>
          <w:rtl/>
        </w:rPr>
        <w:t>:</w:t>
      </w:r>
      <w:r>
        <w:rPr>
          <w:rFonts w:ascii="FrankRuehl" w:hAnsi="Calibri" w:cs="FrankRuehl" w:hint="cs"/>
          <w:sz w:val="26"/>
          <w:szCs w:val="26"/>
          <w:rtl/>
        </w:rPr>
        <w:t xml:space="preserve"> </w:t>
      </w:r>
      <w:r>
        <w:rPr>
          <w:rFonts w:ascii="FrankRuehl" w:hAnsi="FrankRuehl" w:cs="FrankRuehl" w:hint="cs"/>
          <w:sz w:val="26"/>
          <w:szCs w:val="26"/>
          <w:rtl/>
        </w:rPr>
        <w:t xml:space="preserve">תכנית נועדה למימון הוצאות המשרד השוטפות של משרד מורשת, לרבות שכר ותפעול המשרד, בנוסף לשימור ופיתוח אתרי מורשת. </w:t>
      </w:r>
    </w:p>
    <w:p w14:paraId="736C2C5B" w14:textId="77777777" w:rsidR="00493273" w:rsidRDefault="00493273" w:rsidP="00493273">
      <w:pPr>
        <w:rPr>
          <w:rFonts w:ascii="FrankRuehl" w:hAnsi="FrankRuehl" w:cs="FrankRuehl" w:hint="cs"/>
          <w:sz w:val="26"/>
          <w:szCs w:val="26"/>
          <w:rtl/>
        </w:rPr>
      </w:pPr>
    </w:p>
    <w:p w14:paraId="17EE924D" w14:textId="77777777" w:rsidR="00493273" w:rsidRDefault="00493273" w:rsidP="00493273">
      <w:pPr>
        <w:rPr>
          <w:rFonts w:ascii="FrankRuehl" w:hAnsi="Calibri" w:cs="FrankRuehl" w:hint="cs"/>
          <w:b/>
          <w:bCs/>
          <w:sz w:val="26"/>
          <w:szCs w:val="26"/>
          <w:rtl/>
        </w:rPr>
      </w:pPr>
      <w:r>
        <w:rPr>
          <w:rFonts w:ascii="FrankRuehl" w:hAnsi="Calibri" w:cs="FrankRuehl" w:hint="cs"/>
          <w:b/>
          <w:bCs/>
          <w:sz w:val="26"/>
          <w:szCs w:val="26"/>
          <w:rtl/>
        </w:rPr>
        <w:t>מטרת השינוי:</w:t>
      </w:r>
    </w:p>
    <w:p w14:paraId="366F5589" w14:textId="77777777" w:rsidR="00493273" w:rsidRDefault="00493273" w:rsidP="00493273">
      <w:pPr>
        <w:rPr>
          <w:rFonts w:cs="FrankRuehl" w:hint="cs"/>
          <w:sz w:val="26"/>
          <w:szCs w:val="26"/>
          <w:rtl/>
        </w:rPr>
      </w:pPr>
      <w:r>
        <w:rPr>
          <w:rFonts w:cs="FrankRuehl" w:hint="cs"/>
          <w:sz w:val="26"/>
          <w:szCs w:val="26"/>
          <w:rtl/>
        </w:rPr>
        <w:t>הפנייה התקציבית נועדה לתקצוב סך של 4,000 אלפי ש"ח בהוצאה עבור תקצוב תאגיד גבעת התחמושת בהתאם להחלטת ממשלה מס' 4109 מיום 17 במאי 2026 שעניינה "נתיב משחררי יהודה במלחמת ששת הימי</w:t>
      </w:r>
      <w:bookmarkEnd w:id="9"/>
      <w:r>
        <w:rPr>
          <w:rFonts w:cs="FrankRuehl" w:hint="cs"/>
          <w:sz w:val="26"/>
          <w:szCs w:val="26"/>
          <w:rtl/>
        </w:rPr>
        <w:t>ם".</w:t>
      </w:r>
    </w:p>
    <w:p w14:paraId="7360B2C3" w14:textId="77777777" w:rsidR="00493273" w:rsidRDefault="00493273" w:rsidP="00493273">
      <w:pPr>
        <w:rPr>
          <w:rFonts w:cs="FrankRuehl" w:hint="cs"/>
          <w:sz w:val="26"/>
          <w:szCs w:val="26"/>
          <w:rtl/>
        </w:rPr>
      </w:pPr>
    </w:p>
    <w:bookmarkEnd w:id="10"/>
    <w:p w14:paraId="5FB6E13E" w14:textId="77777777" w:rsidR="00493273" w:rsidRDefault="00493273" w:rsidP="00493273">
      <w:pPr>
        <w:rPr>
          <w:rFonts w:cs="FrankRuehl" w:hint="cs"/>
          <w:sz w:val="26"/>
          <w:szCs w:val="26"/>
          <w:rtl/>
        </w:rPr>
      </w:pPr>
      <w:r>
        <w:rPr>
          <w:rFonts w:cs="FrankRuehl" w:hint="cs"/>
          <w:b/>
          <w:bCs/>
          <w:sz w:val="26"/>
          <w:szCs w:val="26"/>
          <w:rtl/>
        </w:rPr>
        <w:t>השפעה על כוח אדם:</w:t>
      </w:r>
      <w:r>
        <w:rPr>
          <w:rFonts w:cs="FrankRuehl" w:hint="cs"/>
          <w:sz w:val="26"/>
          <w:szCs w:val="26"/>
          <w:rtl/>
        </w:rPr>
        <w:t xml:space="preserve"> אין.</w:t>
      </w:r>
    </w:p>
    <w:p w14:paraId="05EBF1DA" w14:textId="77777777" w:rsidR="00493273" w:rsidRDefault="00493273" w:rsidP="00493273">
      <w:pPr>
        <w:rPr>
          <w:rFonts w:cs="FrankRuehl" w:hint="cs"/>
          <w:sz w:val="26"/>
          <w:szCs w:val="26"/>
          <w:rtl/>
        </w:rPr>
      </w:pPr>
    </w:p>
    <w:p w14:paraId="47A9E201" w14:textId="77777777" w:rsidR="00493273" w:rsidRDefault="00493273" w:rsidP="00493273">
      <w:pPr>
        <w:rPr>
          <w:rFonts w:eastAsia="Calibri" w:cs="David" w:hint="cs"/>
          <w:sz w:val="24"/>
          <w:rtl/>
          <w:lang w:eastAsia="en-US"/>
        </w:rPr>
      </w:pPr>
    </w:p>
    <w:p w14:paraId="3F105DA5" w14:textId="77777777" w:rsidR="00436E4E" w:rsidRPr="002E1D22" w:rsidRDefault="00436E4E">
      <w:pPr>
        <w:rPr>
          <w:rFonts w:cs="FrankRuehl"/>
          <w:sz w:val="26"/>
          <w:szCs w:val="26"/>
          <w:rtl/>
        </w:rPr>
      </w:pPr>
    </w:p>
    <w:p w14:paraId="71E54FBD" w14:textId="77777777" w:rsidR="00436E4E" w:rsidRPr="002E1D22" w:rsidRDefault="00436E4E">
      <w:pPr>
        <w:tabs>
          <w:tab w:val="center" w:pos="6867"/>
        </w:tabs>
        <w:rPr>
          <w:rFonts w:cs="FrankRuehl"/>
          <w:sz w:val="26"/>
          <w:szCs w:val="26"/>
          <w:rtl/>
        </w:rPr>
      </w:pPr>
    </w:p>
    <w:p w14:paraId="05310CD6"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45C614EE" w14:textId="77777777" w:rsidR="00436E4E" w:rsidRDefault="00C13197">
      <w:pPr>
        <w:tabs>
          <w:tab w:val="center" w:pos="6867"/>
        </w:tabs>
        <w:rPr>
          <w:rFonts w:cs="FrankRuehl"/>
          <w:sz w:val="26"/>
          <w:szCs w:val="26"/>
          <w:rtl/>
        </w:rPr>
      </w:pPr>
      <w:r>
        <w:rPr>
          <w:rFonts w:cs="FrankRuehl"/>
          <w:sz w:val="26"/>
          <w:szCs w:val="26"/>
          <w:rtl/>
        </w:rPr>
        <w:tab/>
      </w:r>
    </w:p>
    <w:p w14:paraId="5B1DC839"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209723C7"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1444070"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268FCE8" w14:textId="77777777" w:rsidR="00436E4E" w:rsidRPr="002E1D22" w:rsidRDefault="00436E4E" w:rsidP="00026F4F">
      <w:pPr>
        <w:tabs>
          <w:tab w:val="center" w:pos="6867"/>
        </w:tabs>
        <w:rPr>
          <w:rFonts w:cs="FrankRuehl"/>
          <w:sz w:val="26"/>
          <w:szCs w:val="26"/>
          <w:rtl/>
        </w:rPr>
      </w:pPr>
      <w:r w:rsidRPr="002E1D22">
        <w:rPr>
          <w:rFonts w:cs="FrankRuehl"/>
          <w:sz w:val="26"/>
          <w:szCs w:val="26"/>
          <w:rtl/>
        </w:rPr>
        <w:lastRenderedPageBreak/>
        <w:tab/>
      </w:r>
    </w:p>
    <w:p w14:paraId="60BAF931" w14:textId="77777777" w:rsidR="00436E4E" w:rsidRPr="002E1D22" w:rsidRDefault="00436E4E">
      <w:pPr>
        <w:rPr>
          <w:rFonts w:cs="FrankRuehl"/>
          <w:sz w:val="26"/>
          <w:szCs w:val="26"/>
          <w:rtl/>
        </w:rPr>
      </w:pPr>
      <w:r w:rsidRPr="002E1D22">
        <w:rPr>
          <w:rFonts w:cs="FrankRuehl"/>
          <w:sz w:val="26"/>
          <w:szCs w:val="26"/>
          <w:rtl/>
        </w:rPr>
        <w:t>העתק:</w:t>
      </w:r>
    </w:p>
    <w:p w14:paraId="7FF6AD61" w14:textId="77777777" w:rsidR="00436E4E" w:rsidRPr="002E1D22" w:rsidRDefault="00436E4E">
      <w:pPr>
        <w:rPr>
          <w:rFonts w:cs="FrankRuehl"/>
          <w:sz w:val="26"/>
          <w:szCs w:val="26"/>
          <w:rtl/>
        </w:rPr>
      </w:pPr>
      <w:r w:rsidRPr="002E1D22">
        <w:rPr>
          <w:rFonts w:cs="FrankRuehl"/>
          <w:sz w:val="26"/>
          <w:szCs w:val="26"/>
          <w:rtl/>
        </w:rPr>
        <w:t>החשב הכללי</w:t>
      </w:r>
    </w:p>
    <w:p w14:paraId="3566679D" w14:textId="77777777" w:rsidR="00436E4E" w:rsidRPr="002E1D22" w:rsidRDefault="00436E4E">
      <w:pPr>
        <w:rPr>
          <w:rFonts w:cs="FrankRuehl"/>
          <w:sz w:val="26"/>
          <w:szCs w:val="26"/>
          <w:rtl/>
        </w:rPr>
      </w:pPr>
      <w:r w:rsidRPr="002E1D22">
        <w:rPr>
          <w:rFonts w:cs="FrankRuehl"/>
          <w:sz w:val="26"/>
          <w:szCs w:val="26"/>
          <w:rtl/>
        </w:rPr>
        <w:t>מבקר המדינה (2)</w:t>
      </w:r>
    </w:p>
    <w:p w14:paraId="36C8CAEE" w14:textId="77777777" w:rsidR="00DF1B28" w:rsidRDefault="00DF1B28">
      <w:pPr>
        <w:rPr>
          <w:rFonts w:cs="FrankRuehl"/>
          <w:sz w:val="26"/>
          <w:szCs w:val="26"/>
          <w:rtl/>
        </w:rPr>
      </w:pPr>
      <w:bookmarkStart w:id="12" w:name="TAKZIV22"/>
      <w:r>
        <w:rPr>
          <w:rFonts w:cs="FrankRuehl"/>
          <w:sz w:val="26"/>
          <w:szCs w:val="26"/>
          <w:rtl/>
        </w:rPr>
        <w:t>חשב החשב הכללי</w:t>
      </w:r>
    </w:p>
    <w:p w14:paraId="262D08BE" w14:textId="77777777" w:rsidR="00DF1B28" w:rsidRDefault="00DF1B28">
      <w:pPr>
        <w:rPr>
          <w:rFonts w:cs="FrankRuehl"/>
          <w:sz w:val="26"/>
          <w:szCs w:val="26"/>
          <w:rtl/>
        </w:rPr>
      </w:pPr>
      <w:r>
        <w:rPr>
          <w:rFonts w:cs="FrankRuehl"/>
          <w:sz w:val="26"/>
          <w:szCs w:val="26"/>
          <w:rtl/>
        </w:rPr>
        <w:t>חשב נגב גליל ושת"פ אזורי</w:t>
      </w:r>
    </w:p>
    <w:p w14:paraId="34A1B1CD" w14:textId="28B51D91" w:rsidR="00436E4E" w:rsidRPr="002E1D22" w:rsidRDefault="00DF1B28">
      <w:pPr>
        <w:rPr>
          <w:rFonts w:cs="FrankRuehl"/>
          <w:sz w:val="26"/>
          <w:szCs w:val="26"/>
          <w:rtl/>
        </w:rPr>
      </w:pPr>
      <w:r>
        <w:rPr>
          <w:rFonts w:cs="FrankRuehl"/>
          <w:sz w:val="26"/>
          <w:szCs w:val="26"/>
          <w:rtl/>
        </w:rPr>
        <w:t>חשב משרד ראש הממשלה ירושלים</w:t>
      </w:r>
      <w:bookmarkEnd w:id="12"/>
    </w:p>
    <w:p w14:paraId="3A2ECF0E" w14:textId="469769B1"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DF1B28">
        <w:rPr>
          <w:rFonts w:cs="FrankRuehl"/>
          <w:sz w:val="26"/>
          <w:szCs w:val="26"/>
          <w:rtl/>
        </w:rPr>
        <w:t>משרד ראש הממשלה</w:t>
      </w:r>
      <w:bookmarkEnd w:id="13"/>
    </w:p>
    <w:p w14:paraId="30CA0DCD" w14:textId="39BE8FDB"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DF1B28">
        <w:rPr>
          <w:rFonts w:cs="FrankRuehl"/>
          <w:sz w:val="26"/>
          <w:szCs w:val="26"/>
          <w:rtl/>
        </w:rPr>
        <w:t>משרד ראש הממשלה</w:t>
      </w:r>
      <w:bookmarkEnd w:id="14"/>
    </w:p>
    <w:p w14:paraId="52803069" w14:textId="77777777" w:rsidR="00436E4E" w:rsidRPr="002E1D22" w:rsidRDefault="00436E4E">
      <w:pPr>
        <w:rPr>
          <w:rFonts w:cs="FrankRuehl"/>
          <w:sz w:val="26"/>
          <w:szCs w:val="26"/>
          <w:rtl/>
        </w:rPr>
      </w:pPr>
      <w:bookmarkStart w:id="15" w:name="TAKZIV23"/>
      <w:bookmarkEnd w:id="15"/>
    </w:p>
    <w:p w14:paraId="1ACE1C2A" w14:textId="77777777" w:rsidR="00436E4E" w:rsidRPr="002E1D22" w:rsidRDefault="00436E4E">
      <w:pPr>
        <w:rPr>
          <w:rFonts w:cs="FrankRuehl"/>
          <w:sz w:val="26"/>
          <w:szCs w:val="26"/>
          <w:rtl/>
        </w:rPr>
      </w:pPr>
    </w:p>
    <w:p w14:paraId="7199356D" w14:textId="77777777" w:rsidR="00493273" w:rsidRDefault="00493273" w:rsidP="00493273">
      <w:pPr>
        <w:rPr>
          <w:rFonts w:cs="FrankRuehl" w:hint="cs"/>
          <w:sz w:val="26"/>
          <w:szCs w:val="26"/>
          <w:rtl/>
        </w:rPr>
      </w:pPr>
      <w:bookmarkStart w:id="16" w:name="TAKZIV25"/>
      <w:bookmarkEnd w:id="16"/>
    </w:p>
    <w:p w14:paraId="1DA38F4F" w14:textId="77777777" w:rsidR="00493273" w:rsidRDefault="00493273" w:rsidP="00493273">
      <w:pPr>
        <w:jc w:val="center"/>
        <w:rPr>
          <w:rFonts w:cs="FrankRuehl" w:hint="cs"/>
          <w:b/>
          <w:bCs/>
          <w:sz w:val="26"/>
          <w:szCs w:val="26"/>
          <w:u w:val="single"/>
          <w:rtl/>
          <w:lang w:eastAsia="en-US"/>
        </w:rPr>
      </w:pPr>
      <w:r>
        <w:rPr>
          <w:rFonts w:cs="FrankRuehl" w:hint="cs"/>
          <w:b/>
          <w:bCs/>
          <w:sz w:val="26"/>
          <w:szCs w:val="26"/>
          <w:u w:val="single"/>
          <w:rtl/>
        </w:rPr>
        <w:t>נספח לדברי ההסבר</w:t>
      </w:r>
    </w:p>
    <w:p w14:paraId="26BD9527" w14:textId="77777777" w:rsidR="00493273" w:rsidRDefault="00493273" w:rsidP="00493273">
      <w:pPr>
        <w:rPr>
          <w:rFonts w:cs="FrankRuehl"/>
          <w:b/>
          <w:bCs/>
          <w:sz w:val="26"/>
          <w:szCs w:val="26"/>
          <w:u w:val="single"/>
        </w:rPr>
      </w:pPr>
    </w:p>
    <w:p w14:paraId="520FCFA2" w14:textId="77777777" w:rsidR="00493273" w:rsidRDefault="00493273" w:rsidP="00493273">
      <w:pPr>
        <w:jc w:val="center"/>
        <w:rPr>
          <w:rFonts w:cs="FrankRuehl"/>
          <w:b/>
          <w:bCs/>
          <w:sz w:val="26"/>
          <w:szCs w:val="26"/>
        </w:rPr>
      </w:pPr>
      <w:r>
        <w:rPr>
          <w:rFonts w:cs="FrankRuehl" w:hint="cs"/>
          <w:b/>
          <w:bCs/>
          <w:sz w:val="26"/>
          <w:szCs w:val="26"/>
          <w:rtl/>
        </w:rPr>
        <w:t>היסטוריה תקציבית של הפנייה – הוצאה נטו</w:t>
      </w:r>
    </w:p>
    <w:p w14:paraId="439D6B38" w14:textId="77777777" w:rsidR="00493273" w:rsidRDefault="00493273" w:rsidP="00493273">
      <w:pPr>
        <w:rPr>
          <w:rFonts w:cs="FrankRuehl" w:hint="cs"/>
          <w:b/>
          <w:bCs/>
          <w:sz w:val="26"/>
          <w:szCs w:val="26"/>
          <w:rtl/>
        </w:rPr>
      </w:pPr>
    </w:p>
    <w:tbl>
      <w:tblPr>
        <w:tblW w:w="8312" w:type="dxa"/>
        <w:tblLook w:val="04A0" w:firstRow="1" w:lastRow="0" w:firstColumn="1" w:lastColumn="0" w:noHBand="0" w:noVBand="1"/>
      </w:tblPr>
      <w:tblGrid>
        <w:gridCol w:w="886"/>
        <w:gridCol w:w="949"/>
        <w:gridCol w:w="921"/>
        <w:gridCol w:w="931"/>
        <w:gridCol w:w="921"/>
        <w:gridCol w:w="931"/>
        <w:gridCol w:w="921"/>
        <w:gridCol w:w="931"/>
        <w:gridCol w:w="921"/>
      </w:tblGrid>
      <w:tr w:rsidR="00493273" w14:paraId="3BAECD5D" w14:textId="77777777" w:rsidTr="00A65907">
        <w:trPr>
          <w:trHeight w:val="1860"/>
        </w:trPr>
        <w:tc>
          <w:tcPr>
            <w:tcW w:w="962" w:type="dxa"/>
            <w:tcBorders>
              <w:top w:val="single" w:sz="4" w:space="0" w:color="979991"/>
              <w:left w:val="single" w:sz="4" w:space="0" w:color="979991"/>
              <w:bottom w:val="nil"/>
              <w:right w:val="nil"/>
            </w:tcBorders>
            <w:shd w:val="clear" w:color="auto" w:fill="F0F4FA"/>
            <w:vAlign w:val="center"/>
            <w:hideMark/>
          </w:tcPr>
          <w:p w14:paraId="0927165E" w14:textId="77777777" w:rsidR="00493273" w:rsidRDefault="00493273" w:rsidP="00A65907">
            <w:pPr>
              <w:rPr>
                <w:rFonts w:ascii="FrankRuehl" w:hAnsi="FrankRuehl" w:cs="FrankRuehl" w:hint="cs"/>
                <w:b/>
                <w:bCs/>
                <w:color w:val="000000"/>
                <w:sz w:val="26"/>
                <w:szCs w:val="26"/>
                <w:rtl/>
                <w:lang w:eastAsia="en-US"/>
              </w:rPr>
            </w:pPr>
            <w:r>
              <w:rPr>
                <w:rFonts w:ascii="FrankRuehl" w:hAnsi="FrankRuehl" w:cs="FrankRuehl" w:hint="cs"/>
                <w:b/>
                <w:bCs/>
                <w:color w:val="000000"/>
                <w:sz w:val="26"/>
                <w:szCs w:val="26"/>
                <w:rtl/>
              </w:rPr>
              <w:t>קוד תוכנית</w:t>
            </w:r>
          </w:p>
        </w:tc>
        <w:tc>
          <w:tcPr>
            <w:tcW w:w="1199" w:type="dxa"/>
            <w:tcBorders>
              <w:top w:val="single" w:sz="4" w:space="0" w:color="979991"/>
              <w:left w:val="single" w:sz="4" w:space="0" w:color="979991"/>
              <w:bottom w:val="single" w:sz="4" w:space="0" w:color="979991"/>
              <w:right w:val="nil"/>
            </w:tcBorders>
            <w:shd w:val="clear" w:color="auto" w:fill="F0F4FA"/>
            <w:vAlign w:val="center"/>
            <w:hideMark/>
          </w:tcPr>
          <w:p w14:paraId="3B91D184" w14:textId="77777777" w:rsidR="00493273" w:rsidRDefault="00493273" w:rsidP="00A65907">
            <w:pP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828" w:type="dxa"/>
            <w:tcBorders>
              <w:top w:val="single" w:sz="4" w:space="0" w:color="979991"/>
              <w:left w:val="single" w:sz="4" w:space="0" w:color="979991"/>
              <w:bottom w:val="single" w:sz="4" w:space="0" w:color="979991"/>
              <w:right w:val="nil"/>
            </w:tcBorders>
            <w:shd w:val="clear" w:color="auto" w:fill="F0F4FA"/>
            <w:vAlign w:val="center"/>
            <w:hideMark/>
          </w:tcPr>
          <w:p w14:paraId="641F85B9"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963" w:type="dxa"/>
            <w:tcBorders>
              <w:top w:val="single" w:sz="4" w:space="0" w:color="979991"/>
              <w:left w:val="single" w:sz="4" w:space="0" w:color="979991"/>
              <w:bottom w:val="single" w:sz="4" w:space="0" w:color="979991"/>
              <w:right w:val="nil"/>
            </w:tcBorders>
            <w:shd w:val="clear" w:color="auto" w:fill="F0F4FA"/>
            <w:vAlign w:val="center"/>
            <w:hideMark/>
          </w:tcPr>
          <w:p w14:paraId="285A0311"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828" w:type="dxa"/>
            <w:tcBorders>
              <w:top w:val="single" w:sz="4" w:space="0" w:color="979991"/>
              <w:left w:val="single" w:sz="4" w:space="0" w:color="979991"/>
              <w:bottom w:val="single" w:sz="4" w:space="0" w:color="979991"/>
              <w:right w:val="nil"/>
            </w:tcBorders>
            <w:shd w:val="clear" w:color="auto" w:fill="F0F4FA"/>
            <w:vAlign w:val="center"/>
            <w:hideMark/>
          </w:tcPr>
          <w:p w14:paraId="20347C7E"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963" w:type="dxa"/>
            <w:tcBorders>
              <w:top w:val="single" w:sz="4" w:space="0" w:color="979991"/>
              <w:left w:val="single" w:sz="4" w:space="0" w:color="979991"/>
              <w:bottom w:val="single" w:sz="4" w:space="0" w:color="979991"/>
              <w:right w:val="nil"/>
            </w:tcBorders>
            <w:shd w:val="clear" w:color="auto" w:fill="F0F4FA"/>
            <w:vAlign w:val="center"/>
            <w:hideMark/>
          </w:tcPr>
          <w:p w14:paraId="1898B508"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828" w:type="dxa"/>
            <w:tcBorders>
              <w:top w:val="single" w:sz="4" w:space="0" w:color="979991"/>
              <w:left w:val="single" w:sz="4" w:space="0" w:color="979991"/>
              <w:bottom w:val="single" w:sz="4" w:space="0" w:color="979991"/>
              <w:right w:val="nil"/>
            </w:tcBorders>
            <w:shd w:val="clear" w:color="auto" w:fill="F0F4FA"/>
            <w:vAlign w:val="center"/>
            <w:hideMark/>
          </w:tcPr>
          <w:p w14:paraId="3565C3C8"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963" w:type="dxa"/>
            <w:tcBorders>
              <w:top w:val="single" w:sz="4" w:space="0" w:color="979991"/>
              <w:left w:val="single" w:sz="4" w:space="0" w:color="979991"/>
              <w:bottom w:val="single" w:sz="4" w:space="0" w:color="979991"/>
              <w:right w:val="nil"/>
            </w:tcBorders>
            <w:shd w:val="clear" w:color="auto" w:fill="F0F4FA"/>
            <w:vAlign w:val="center"/>
            <w:hideMark/>
          </w:tcPr>
          <w:p w14:paraId="1C149B43"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778"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D951761" w14:textId="77777777" w:rsidR="00493273" w:rsidRDefault="00493273" w:rsidP="00A65907">
            <w:pP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493273" w14:paraId="1A872A4C" w14:textId="77777777" w:rsidTr="00A65907">
        <w:trPr>
          <w:trHeight w:val="310"/>
        </w:trPr>
        <w:tc>
          <w:tcPr>
            <w:tcW w:w="962" w:type="dxa"/>
            <w:tcBorders>
              <w:top w:val="single" w:sz="4" w:space="0" w:color="979991"/>
              <w:left w:val="single" w:sz="4" w:space="0" w:color="979991"/>
              <w:bottom w:val="single" w:sz="4" w:space="0" w:color="979991"/>
              <w:right w:val="nil"/>
            </w:tcBorders>
            <w:shd w:val="clear" w:color="auto" w:fill="F0F4FA"/>
            <w:vAlign w:val="center"/>
            <w:hideMark/>
          </w:tcPr>
          <w:p w14:paraId="3C093C8E" w14:textId="77777777" w:rsidR="00493273" w:rsidRDefault="00493273" w:rsidP="00A65907">
            <w:pPr>
              <w:bidi w:val="0"/>
              <w:rPr>
                <w:rFonts w:ascii="FrankRuehl" w:hAnsi="FrankRuehl" w:cs="FrankRuehl" w:hint="cs"/>
                <w:color w:val="000000"/>
                <w:sz w:val="26"/>
                <w:szCs w:val="26"/>
                <w:rtl/>
              </w:rPr>
            </w:pPr>
            <w:r>
              <w:rPr>
                <w:rFonts w:ascii="FrankRuehl" w:hAnsi="FrankRuehl" w:cs="FrankRuehl" w:hint="cs"/>
                <w:color w:val="000000"/>
                <w:sz w:val="26"/>
                <w:szCs w:val="26"/>
              </w:rPr>
              <w:t>045212</w:t>
            </w:r>
          </w:p>
        </w:tc>
        <w:tc>
          <w:tcPr>
            <w:tcW w:w="1199" w:type="dxa"/>
            <w:tcBorders>
              <w:top w:val="nil"/>
              <w:left w:val="single" w:sz="4" w:space="0" w:color="979991"/>
              <w:bottom w:val="single" w:sz="4" w:space="0" w:color="979991"/>
              <w:right w:val="nil"/>
            </w:tcBorders>
            <w:shd w:val="clear" w:color="auto" w:fill="FFFFFF"/>
            <w:vAlign w:val="center"/>
            <w:hideMark/>
          </w:tcPr>
          <w:p w14:paraId="4964F046" w14:textId="77777777" w:rsidR="00493273" w:rsidRDefault="00493273" w:rsidP="00A65907">
            <w:pPr>
              <w:bidi w:val="0"/>
              <w:rPr>
                <w:rFonts w:ascii="FrankRuehl" w:hAnsi="FrankRuehl" w:cs="FrankRuehl" w:hint="cs"/>
                <w:color w:val="000000"/>
                <w:sz w:val="26"/>
                <w:szCs w:val="26"/>
                <w:rtl/>
              </w:rPr>
            </w:pPr>
            <w:r>
              <w:rPr>
                <w:rFonts w:ascii="FrankRuehl" w:hAnsi="FrankRuehl" w:cs="FrankRuehl" w:hint="cs"/>
                <w:color w:val="000000"/>
                <w:sz w:val="26"/>
                <w:szCs w:val="26"/>
              </w:rPr>
              <w:t>4,</w:t>
            </w:r>
            <w:r>
              <w:rPr>
                <w:rFonts w:ascii="FrankRuehl" w:hAnsi="FrankRuehl" w:cs="FrankRuehl" w:hint="cs"/>
                <w:color w:val="000000"/>
                <w:sz w:val="26"/>
                <w:szCs w:val="26"/>
                <w:rtl/>
              </w:rPr>
              <w:t>0</w:t>
            </w:r>
            <w:r>
              <w:rPr>
                <w:rFonts w:ascii="FrankRuehl" w:hAnsi="FrankRuehl" w:cs="FrankRuehl" w:hint="cs"/>
                <w:color w:val="000000"/>
                <w:sz w:val="26"/>
                <w:szCs w:val="26"/>
              </w:rPr>
              <w:t>00</w:t>
            </w:r>
          </w:p>
        </w:tc>
        <w:tc>
          <w:tcPr>
            <w:tcW w:w="828" w:type="dxa"/>
            <w:tcBorders>
              <w:top w:val="nil"/>
              <w:left w:val="single" w:sz="4" w:space="0" w:color="979991"/>
              <w:bottom w:val="single" w:sz="4" w:space="0" w:color="979991"/>
              <w:right w:val="nil"/>
            </w:tcBorders>
            <w:shd w:val="clear" w:color="auto" w:fill="FFFFFF"/>
            <w:vAlign w:val="center"/>
            <w:hideMark/>
          </w:tcPr>
          <w:p w14:paraId="40627B5B"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86,218</w:t>
            </w:r>
          </w:p>
        </w:tc>
        <w:tc>
          <w:tcPr>
            <w:tcW w:w="963" w:type="dxa"/>
            <w:tcBorders>
              <w:top w:val="nil"/>
              <w:left w:val="single" w:sz="4" w:space="0" w:color="979991"/>
              <w:bottom w:val="single" w:sz="4" w:space="0" w:color="979991"/>
              <w:right w:val="nil"/>
            </w:tcBorders>
            <w:shd w:val="clear" w:color="auto" w:fill="FFFFFF"/>
            <w:vAlign w:val="center"/>
            <w:hideMark/>
          </w:tcPr>
          <w:p w14:paraId="1D23284E"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114,386</w:t>
            </w:r>
          </w:p>
        </w:tc>
        <w:tc>
          <w:tcPr>
            <w:tcW w:w="828" w:type="dxa"/>
            <w:tcBorders>
              <w:top w:val="nil"/>
              <w:left w:val="single" w:sz="4" w:space="0" w:color="979991"/>
              <w:bottom w:val="single" w:sz="4" w:space="0" w:color="979991"/>
              <w:right w:val="nil"/>
            </w:tcBorders>
            <w:shd w:val="clear" w:color="auto" w:fill="FFFFFF"/>
            <w:vAlign w:val="center"/>
            <w:hideMark/>
          </w:tcPr>
          <w:p w14:paraId="68CDEE6F"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77,965</w:t>
            </w:r>
          </w:p>
        </w:tc>
        <w:tc>
          <w:tcPr>
            <w:tcW w:w="963" w:type="dxa"/>
            <w:tcBorders>
              <w:top w:val="nil"/>
              <w:left w:val="single" w:sz="4" w:space="0" w:color="979991"/>
              <w:bottom w:val="single" w:sz="4" w:space="0" w:color="979991"/>
              <w:right w:val="nil"/>
            </w:tcBorders>
            <w:shd w:val="clear" w:color="auto" w:fill="FFFFFF"/>
            <w:vAlign w:val="center"/>
            <w:hideMark/>
          </w:tcPr>
          <w:p w14:paraId="3F40F7B5"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99,274</w:t>
            </w:r>
          </w:p>
        </w:tc>
        <w:tc>
          <w:tcPr>
            <w:tcW w:w="828" w:type="dxa"/>
            <w:tcBorders>
              <w:top w:val="nil"/>
              <w:left w:val="single" w:sz="4" w:space="0" w:color="979991"/>
              <w:bottom w:val="single" w:sz="4" w:space="0" w:color="979991"/>
              <w:right w:val="nil"/>
            </w:tcBorders>
            <w:shd w:val="clear" w:color="auto" w:fill="FFFFFF"/>
            <w:vAlign w:val="center"/>
            <w:hideMark/>
          </w:tcPr>
          <w:p w14:paraId="3A6BBD5C"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71,251</w:t>
            </w:r>
          </w:p>
        </w:tc>
        <w:tc>
          <w:tcPr>
            <w:tcW w:w="963" w:type="dxa"/>
            <w:tcBorders>
              <w:top w:val="nil"/>
              <w:left w:val="single" w:sz="4" w:space="0" w:color="979991"/>
              <w:bottom w:val="single" w:sz="4" w:space="0" w:color="979991"/>
              <w:right w:val="nil"/>
            </w:tcBorders>
            <w:shd w:val="clear" w:color="auto" w:fill="FFFFFF"/>
            <w:vAlign w:val="center"/>
            <w:hideMark/>
          </w:tcPr>
          <w:p w14:paraId="524C4DC2"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126,964</w:t>
            </w:r>
          </w:p>
        </w:tc>
        <w:tc>
          <w:tcPr>
            <w:tcW w:w="778" w:type="dxa"/>
            <w:tcBorders>
              <w:top w:val="nil"/>
              <w:left w:val="single" w:sz="4" w:space="0" w:color="979991"/>
              <w:bottom w:val="single" w:sz="4" w:space="0" w:color="979991"/>
              <w:right w:val="single" w:sz="4" w:space="0" w:color="979991"/>
            </w:tcBorders>
            <w:shd w:val="clear" w:color="auto" w:fill="FFFFFF"/>
            <w:vAlign w:val="center"/>
            <w:hideMark/>
          </w:tcPr>
          <w:p w14:paraId="544FF56D"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74,481</w:t>
            </w:r>
          </w:p>
        </w:tc>
      </w:tr>
      <w:tr w:rsidR="00493273" w14:paraId="4B477694" w14:textId="77777777" w:rsidTr="00A65907">
        <w:trPr>
          <w:trHeight w:val="310"/>
        </w:trPr>
        <w:tc>
          <w:tcPr>
            <w:tcW w:w="962" w:type="dxa"/>
            <w:tcBorders>
              <w:top w:val="nil"/>
              <w:left w:val="single" w:sz="4" w:space="0" w:color="979991"/>
              <w:bottom w:val="single" w:sz="4" w:space="0" w:color="979991"/>
              <w:right w:val="nil"/>
            </w:tcBorders>
            <w:shd w:val="clear" w:color="auto" w:fill="F0F4FA"/>
            <w:vAlign w:val="center"/>
            <w:hideMark/>
          </w:tcPr>
          <w:p w14:paraId="4E6E54F7"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046303</w:t>
            </w:r>
          </w:p>
        </w:tc>
        <w:tc>
          <w:tcPr>
            <w:tcW w:w="1199" w:type="dxa"/>
            <w:tcBorders>
              <w:top w:val="nil"/>
              <w:left w:val="single" w:sz="4" w:space="0" w:color="979991"/>
              <w:bottom w:val="single" w:sz="4" w:space="0" w:color="979991"/>
              <w:right w:val="nil"/>
            </w:tcBorders>
            <w:shd w:val="clear" w:color="auto" w:fill="FFFFFF"/>
            <w:vAlign w:val="center"/>
            <w:hideMark/>
          </w:tcPr>
          <w:p w14:paraId="79BE59C6"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-3,000</w:t>
            </w:r>
          </w:p>
        </w:tc>
        <w:tc>
          <w:tcPr>
            <w:tcW w:w="828" w:type="dxa"/>
            <w:tcBorders>
              <w:top w:val="nil"/>
              <w:left w:val="single" w:sz="4" w:space="0" w:color="979991"/>
              <w:bottom w:val="single" w:sz="4" w:space="0" w:color="979991"/>
              <w:right w:val="nil"/>
            </w:tcBorders>
            <w:shd w:val="clear" w:color="auto" w:fill="FFFFFF"/>
            <w:vAlign w:val="center"/>
            <w:hideMark/>
          </w:tcPr>
          <w:p w14:paraId="1686FD2A"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493,940</w:t>
            </w:r>
          </w:p>
        </w:tc>
        <w:tc>
          <w:tcPr>
            <w:tcW w:w="963" w:type="dxa"/>
            <w:tcBorders>
              <w:top w:val="nil"/>
              <w:left w:val="single" w:sz="4" w:space="0" w:color="979991"/>
              <w:bottom w:val="single" w:sz="4" w:space="0" w:color="979991"/>
              <w:right w:val="nil"/>
            </w:tcBorders>
            <w:shd w:val="clear" w:color="auto" w:fill="FFFFFF"/>
            <w:vAlign w:val="center"/>
            <w:hideMark/>
          </w:tcPr>
          <w:p w14:paraId="53AAEE07"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421,080</w:t>
            </w:r>
          </w:p>
        </w:tc>
        <w:tc>
          <w:tcPr>
            <w:tcW w:w="828" w:type="dxa"/>
            <w:tcBorders>
              <w:top w:val="nil"/>
              <w:left w:val="single" w:sz="4" w:space="0" w:color="979991"/>
              <w:bottom w:val="single" w:sz="4" w:space="0" w:color="979991"/>
              <w:right w:val="nil"/>
            </w:tcBorders>
            <w:shd w:val="clear" w:color="auto" w:fill="FFFFFF"/>
            <w:vAlign w:val="center"/>
            <w:hideMark/>
          </w:tcPr>
          <w:p w14:paraId="5F7A5E1B"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207,569</w:t>
            </w:r>
          </w:p>
        </w:tc>
        <w:tc>
          <w:tcPr>
            <w:tcW w:w="963" w:type="dxa"/>
            <w:tcBorders>
              <w:top w:val="nil"/>
              <w:left w:val="single" w:sz="4" w:space="0" w:color="979991"/>
              <w:bottom w:val="single" w:sz="4" w:space="0" w:color="979991"/>
              <w:right w:val="nil"/>
            </w:tcBorders>
            <w:shd w:val="clear" w:color="auto" w:fill="FFFFFF"/>
            <w:vAlign w:val="center"/>
            <w:hideMark/>
          </w:tcPr>
          <w:p w14:paraId="74790A4C"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338,549</w:t>
            </w:r>
          </w:p>
        </w:tc>
        <w:tc>
          <w:tcPr>
            <w:tcW w:w="828" w:type="dxa"/>
            <w:tcBorders>
              <w:top w:val="nil"/>
              <w:left w:val="single" w:sz="4" w:space="0" w:color="979991"/>
              <w:bottom w:val="single" w:sz="4" w:space="0" w:color="979991"/>
              <w:right w:val="nil"/>
            </w:tcBorders>
            <w:shd w:val="clear" w:color="auto" w:fill="FFFFFF"/>
            <w:vAlign w:val="center"/>
            <w:hideMark/>
          </w:tcPr>
          <w:p w14:paraId="628CF34D"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149,996</w:t>
            </w:r>
          </w:p>
        </w:tc>
        <w:tc>
          <w:tcPr>
            <w:tcW w:w="963" w:type="dxa"/>
            <w:tcBorders>
              <w:top w:val="nil"/>
              <w:left w:val="single" w:sz="4" w:space="0" w:color="979991"/>
              <w:bottom w:val="single" w:sz="4" w:space="0" w:color="979991"/>
              <w:right w:val="nil"/>
            </w:tcBorders>
            <w:shd w:val="clear" w:color="auto" w:fill="FFFFFF"/>
            <w:vAlign w:val="center"/>
            <w:hideMark/>
          </w:tcPr>
          <w:p w14:paraId="545ECE2D"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316,070</w:t>
            </w:r>
          </w:p>
        </w:tc>
        <w:tc>
          <w:tcPr>
            <w:tcW w:w="778" w:type="dxa"/>
            <w:tcBorders>
              <w:top w:val="nil"/>
              <w:left w:val="single" w:sz="4" w:space="0" w:color="979991"/>
              <w:bottom w:val="single" w:sz="4" w:space="0" w:color="979991"/>
              <w:right w:val="single" w:sz="4" w:space="0" w:color="979991"/>
            </w:tcBorders>
            <w:shd w:val="clear" w:color="auto" w:fill="FFFFFF"/>
            <w:vAlign w:val="center"/>
            <w:hideMark/>
          </w:tcPr>
          <w:p w14:paraId="54188231" w14:textId="77777777" w:rsidR="00493273" w:rsidRDefault="00493273" w:rsidP="00A65907">
            <w:pPr>
              <w:bidi w:val="0"/>
              <w:rPr>
                <w:rFonts w:ascii="FrankRuehl" w:hAnsi="FrankRuehl" w:cs="FrankRuehl" w:hint="cs"/>
                <w:color w:val="000000"/>
                <w:sz w:val="26"/>
                <w:szCs w:val="26"/>
              </w:rPr>
            </w:pPr>
            <w:r>
              <w:rPr>
                <w:rFonts w:ascii="FrankRuehl" w:hAnsi="FrankRuehl" w:cs="FrankRuehl" w:hint="cs"/>
                <w:color w:val="000000"/>
                <w:sz w:val="26"/>
                <w:szCs w:val="26"/>
              </w:rPr>
              <w:t>266,971</w:t>
            </w:r>
          </w:p>
        </w:tc>
      </w:tr>
    </w:tbl>
    <w:p w14:paraId="701B3FF0"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4194" w14:textId="77777777" w:rsidR="00A1503E" w:rsidRDefault="00A1503E" w:rsidP="004374A5">
      <w:r>
        <w:separator/>
      </w:r>
    </w:p>
  </w:endnote>
  <w:endnote w:type="continuationSeparator" w:id="0">
    <w:p w14:paraId="3EB29154" w14:textId="77777777" w:rsidR="00A1503E" w:rsidRDefault="00A1503E"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402C"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09E2C"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271B"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7CDA9" w14:textId="77777777" w:rsidR="00A1503E" w:rsidRDefault="00A1503E" w:rsidP="004374A5">
      <w:r>
        <w:separator/>
      </w:r>
    </w:p>
  </w:footnote>
  <w:footnote w:type="continuationSeparator" w:id="0">
    <w:p w14:paraId="3EED6C28" w14:textId="77777777" w:rsidR="00A1503E" w:rsidRDefault="00A1503E"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73CC"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01A32" w14:textId="77777777" w:rsidR="004374A5" w:rsidRDefault="00A1503E">
    <w:pPr>
      <w:pStyle w:val="a4"/>
    </w:pPr>
    <w:r>
      <w:rPr>
        <w:noProof/>
      </w:rPr>
      <w:pict w14:anchorId="52AE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F938"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493273"/>
    <w:rsid w:val="007847C9"/>
    <w:rsid w:val="007C275A"/>
    <w:rsid w:val="00A1503E"/>
    <w:rsid w:val="00A31736"/>
    <w:rsid w:val="00AC2EE6"/>
    <w:rsid w:val="00B0145B"/>
    <w:rsid w:val="00B42666"/>
    <w:rsid w:val="00B61EA5"/>
    <w:rsid w:val="00BB3BA1"/>
    <w:rsid w:val="00C13197"/>
    <w:rsid w:val="00DF1B28"/>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3118405"/>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1451</Characters>
  <Application>Microsoft Office Word</Application>
  <DocSecurity>0</DocSecurity>
  <Lines>12</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4</cp:revision>
  <cp:lastPrinted>1899-12-31T22:00:00Z</cp:lastPrinted>
  <dcterms:created xsi:type="dcterms:W3CDTF">2026-07-27T15:02:00Z</dcterms:created>
  <dcterms:modified xsi:type="dcterms:W3CDTF">2026-07-27T15:04:00Z</dcterms:modified>
</cp:coreProperties>
</file>