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D7F2AF" w14:textId="77777777" w:rsidR="00CB133E" w:rsidRDefault="00CB133E">
      <w:pPr>
        <w:pStyle w:val="a6"/>
        <w:rPr>
          <w:rFonts w:hint="cs"/>
          <w:rtl/>
        </w:rPr>
      </w:pPr>
    </w:p>
    <w:p w14:paraId="2585CBAA" w14:textId="77777777" w:rsidR="00CB133E" w:rsidRDefault="00CB133E">
      <w:pPr>
        <w:pStyle w:val="a6"/>
        <w:rPr>
          <w:rtl/>
        </w:rPr>
      </w:pPr>
      <w:r>
        <w:rPr>
          <w:rtl/>
        </w:rPr>
        <w:t>מדינת ישראל</w:t>
      </w:r>
    </w:p>
    <w:p w14:paraId="18E2F30E" w14:textId="77777777" w:rsidR="00CB133E" w:rsidRDefault="00CB133E">
      <w:pPr>
        <w:pStyle w:val="a6"/>
        <w:rPr>
          <w:szCs w:val="24"/>
          <w:rtl/>
        </w:rPr>
      </w:pPr>
      <w:r>
        <w:rPr>
          <w:rtl/>
        </w:rPr>
        <w:t>האוצר - אגף התקציבים</w:t>
      </w:r>
    </w:p>
    <w:p w14:paraId="55931FB3" w14:textId="77777777" w:rsidR="00CB133E" w:rsidRDefault="00CB133E">
      <w:pPr>
        <w:rPr>
          <w:rtl/>
        </w:rPr>
      </w:pPr>
    </w:p>
    <w:p w14:paraId="0833F80A" w14:textId="77777777" w:rsidR="00CB133E" w:rsidRDefault="00CB133E" w:rsidP="006A7A7A">
      <w:pPr>
        <w:tabs>
          <w:tab w:val="left" w:pos="5613"/>
        </w:tabs>
        <w:rPr>
          <w:rtl/>
        </w:rPr>
      </w:pPr>
    </w:p>
    <w:p w14:paraId="4CBF3B39" w14:textId="45CC5AC1" w:rsidR="00CB133E" w:rsidRDefault="00CB133E" w:rsidP="006A7A7A">
      <w:pPr>
        <w:tabs>
          <w:tab w:val="left" w:pos="5613"/>
        </w:tabs>
        <w:rPr>
          <w:rtl/>
        </w:rPr>
      </w:pPr>
      <w:r>
        <w:rPr>
          <w:rtl/>
        </w:rPr>
        <w:tab/>
      </w:r>
      <w:bookmarkStart w:id="0" w:name="TAKZIV8"/>
      <w:r w:rsidR="00CA6239">
        <w:rPr>
          <w:rtl/>
        </w:rPr>
        <w:t>תקציב רגיל</w:t>
      </w:r>
      <w:bookmarkEnd w:id="0"/>
    </w:p>
    <w:p w14:paraId="5F4FDE42" w14:textId="77777777" w:rsidR="00CB133E" w:rsidRPr="00161010" w:rsidRDefault="00CB133E" w:rsidP="006A7A7A">
      <w:pPr>
        <w:tabs>
          <w:tab w:val="left" w:pos="5613"/>
        </w:tabs>
        <w:rPr>
          <w:rFonts w:cs="FrankRuehl"/>
          <w:sz w:val="26"/>
          <w:szCs w:val="26"/>
          <w:rtl/>
        </w:rPr>
      </w:pPr>
      <w:r>
        <w:rPr>
          <w:rtl/>
        </w:rPr>
        <w:tab/>
      </w:r>
    </w:p>
    <w:p w14:paraId="160E810A" w14:textId="77777777" w:rsidR="00CB133E" w:rsidRPr="00161010" w:rsidRDefault="00CB133E" w:rsidP="006A7A7A">
      <w:pPr>
        <w:tabs>
          <w:tab w:val="left" w:pos="5613"/>
        </w:tabs>
        <w:rPr>
          <w:rFonts w:cs="FrankRuehl"/>
          <w:sz w:val="26"/>
          <w:szCs w:val="26"/>
          <w:rtl/>
        </w:rPr>
      </w:pPr>
      <w:r w:rsidRPr="00161010">
        <w:rPr>
          <w:rFonts w:cs="FrankRuehl"/>
          <w:sz w:val="26"/>
          <w:szCs w:val="26"/>
          <w:rtl/>
        </w:rPr>
        <w:tab/>
        <w:t xml:space="preserve">ירושלים, </w:t>
      </w:r>
      <w:bookmarkStart w:id="1" w:name="TAKZIV9"/>
      <w:bookmarkEnd w:id="1"/>
    </w:p>
    <w:p w14:paraId="45792829" w14:textId="688DFA32" w:rsidR="00CB133E" w:rsidRPr="00161010" w:rsidRDefault="00CB133E" w:rsidP="004D6941">
      <w:pPr>
        <w:tabs>
          <w:tab w:val="left" w:pos="5613"/>
        </w:tabs>
        <w:jc w:val="right"/>
        <w:rPr>
          <w:rFonts w:cs="FrankRuehl"/>
          <w:sz w:val="26"/>
          <w:szCs w:val="26"/>
          <w:rtl/>
        </w:rPr>
      </w:pPr>
      <w:r w:rsidRPr="00161010">
        <w:rPr>
          <w:rFonts w:cs="FrankRuehl"/>
          <w:sz w:val="26"/>
          <w:szCs w:val="26"/>
          <w:rtl/>
        </w:rPr>
        <w:tab/>
        <w:t xml:space="preserve">בקשה מספר </w:t>
      </w:r>
      <w:bookmarkStart w:id="2" w:name="TAKZIV4"/>
      <w:r w:rsidR="00CA6239">
        <w:rPr>
          <w:rFonts w:cs="FrankRuehl"/>
          <w:sz w:val="26"/>
          <w:szCs w:val="26"/>
          <w:rtl/>
        </w:rPr>
        <w:t>225</w:t>
      </w:r>
      <w:bookmarkEnd w:id="2"/>
      <w:r w:rsidRPr="00161010">
        <w:rPr>
          <w:rFonts w:cs="FrankRuehl"/>
          <w:sz w:val="26"/>
          <w:szCs w:val="26"/>
          <w:rtl/>
        </w:rPr>
        <w:t xml:space="preserve"> </w:t>
      </w:r>
      <w:r w:rsidR="004D6941">
        <w:rPr>
          <w:rFonts w:cs="FrankRuehl" w:hint="cs"/>
          <w:sz w:val="26"/>
          <w:szCs w:val="26"/>
          <w:rtl/>
        </w:rPr>
        <w:t>-</w:t>
      </w:r>
      <w:r w:rsidRPr="00161010">
        <w:rPr>
          <w:rFonts w:cs="FrankRuehl"/>
          <w:sz w:val="26"/>
          <w:szCs w:val="26"/>
          <w:rtl/>
        </w:rPr>
        <w:t xml:space="preserve"> </w:t>
      </w:r>
      <w:bookmarkStart w:id="3" w:name="TAKZIV3"/>
      <w:r w:rsidR="00CA6239">
        <w:rPr>
          <w:rFonts w:cs="FrankRuehl"/>
          <w:sz w:val="26"/>
          <w:szCs w:val="26"/>
          <w:rtl/>
        </w:rPr>
        <w:t>04</w:t>
      </w:r>
      <w:bookmarkEnd w:id="3"/>
      <w:r w:rsidR="004D6941">
        <w:rPr>
          <w:rFonts w:cs="FrankRuehl" w:hint="cs"/>
          <w:sz w:val="26"/>
          <w:szCs w:val="26"/>
          <w:rtl/>
        </w:rPr>
        <w:t>, 19-212, 04-228, 08-010, 83-214</w:t>
      </w:r>
    </w:p>
    <w:p w14:paraId="54068A54" w14:textId="5F6EA19B" w:rsidR="00CB133E" w:rsidRPr="00161010" w:rsidRDefault="00CB133E" w:rsidP="006A7A7A">
      <w:pPr>
        <w:tabs>
          <w:tab w:val="left" w:pos="5613"/>
        </w:tabs>
        <w:rPr>
          <w:rFonts w:cs="FrankRuehl"/>
          <w:sz w:val="26"/>
          <w:szCs w:val="26"/>
          <w:rtl/>
        </w:rPr>
      </w:pPr>
      <w:r w:rsidRPr="00161010">
        <w:rPr>
          <w:rFonts w:cs="FrankRuehl"/>
          <w:sz w:val="26"/>
          <w:szCs w:val="26"/>
          <w:rtl/>
        </w:rPr>
        <w:tab/>
        <w:t xml:space="preserve">מספר פניה </w:t>
      </w:r>
      <w:proofErr w:type="spellStart"/>
      <w:r w:rsidRPr="00161010">
        <w:rPr>
          <w:rFonts w:cs="FrankRuehl"/>
          <w:sz w:val="26"/>
          <w:szCs w:val="26"/>
          <w:rtl/>
        </w:rPr>
        <w:t>לועדה</w:t>
      </w:r>
      <w:proofErr w:type="spellEnd"/>
      <w:r w:rsidRPr="00161010">
        <w:rPr>
          <w:rFonts w:cs="FrankRuehl"/>
          <w:sz w:val="26"/>
          <w:szCs w:val="26"/>
          <w:rtl/>
        </w:rPr>
        <w:t xml:space="preserve">: </w:t>
      </w:r>
      <w:bookmarkStart w:id="4" w:name="TAKZIV11"/>
      <w:r w:rsidR="00CA6239">
        <w:rPr>
          <w:rFonts w:cs="FrankRuehl"/>
          <w:sz w:val="26"/>
          <w:szCs w:val="26"/>
          <w:rtl/>
        </w:rPr>
        <w:t>142</w:t>
      </w:r>
      <w:bookmarkEnd w:id="4"/>
      <w:r w:rsidR="004D6941">
        <w:rPr>
          <w:rFonts w:cs="FrankRuehl" w:hint="cs"/>
          <w:sz w:val="26"/>
          <w:szCs w:val="26"/>
          <w:rtl/>
        </w:rPr>
        <w:t xml:space="preserve"> עד 146</w:t>
      </w:r>
      <w:r w:rsidRPr="00161010">
        <w:rPr>
          <w:rFonts w:cs="FrankRuehl"/>
          <w:sz w:val="26"/>
          <w:szCs w:val="26"/>
          <w:rtl/>
        </w:rPr>
        <w:tab/>
      </w:r>
    </w:p>
    <w:p w14:paraId="19F5A5C4" w14:textId="77777777" w:rsidR="00CB133E" w:rsidRPr="00161010" w:rsidRDefault="00CB133E">
      <w:pPr>
        <w:rPr>
          <w:rFonts w:cs="FrankRuehl"/>
          <w:sz w:val="26"/>
          <w:szCs w:val="26"/>
          <w:rtl/>
        </w:rPr>
      </w:pPr>
      <w:r w:rsidRPr="00161010">
        <w:rPr>
          <w:rFonts w:cs="FrankRuehl"/>
          <w:sz w:val="26"/>
          <w:szCs w:val="26"/>
          <w:rtl/>
        </w:rPr>
        <w:t>לכבוד,</w:t>
      </w:r>
    </w:p>
    <w:p w14:paraId="7FE4FD3B" w14:textId="77777777" w:rsidR="00CB133E" w:rsidRPr="00161010" w:rsidRDefault="00CB133E">
      <w:pPr>
        <w:rPr>
          <w:rFonts w:cs="FrankRuehl"/>
          <w:sz w:val="26"/>
          <w:szCs w:val="26"/>
          <w:rtl/>
        </w:rPr>
      </w:pPr>
      <w:r w:rsidRPr="00161010">
        <w:rPr>
          <w:rFonts w:cs="FrankRuehl"/>
          <w:sz w:val="26"/>
          <w:szCs w:val="26"/>
          <w:rtl/>
        </w:rPr>
        <w:t>יו"ר ועדת הכספים</w:t>
      </w:r>
    </w:p>
    <w:p w14:paraId="0ED3C702" w14:textId="77777777" w:rsidR="00CB133E" w:rsidRPr="00161010" w:rsidRDefault="00CB133E">
      <w:pPr>
        <w:rPr>
          <w:rFonts w:cs="FrankRuehl"/>
          <w:sz w:val="26"/>
          <w:szCs w:val="26"/>
          <w:rtl/>
        </w:rPr>
      </w:pPr>
      <w:r w:rsidRPr="00161010">
        <w:rPr>
          <w:rFonts w:cs="FrankRuehl"/>
          <w:sz w:val="26"/>
          <w:szCs w:val="26"/>
          <w:rtl/>
        </w:rPr>
        <w:t>של הכנסת</w:t>
      </w:r>
    </w:p>
    <w:p w14:paraId="6D8653E4" w14:textId="77777777" w:rsidR="00CB133E" w:rsidRPr="00161010" w:rsidRDefault="00CB133E">
      <w:pPr>
        <w:rPr>
          <w:rFonts w:cs="FrankRuehl"/>
          <w:sz w:val="26"/>
          <w:szCs w:val="26"/>
          <w:rtl/>
        </w:rPr>
      </w:pPr>
    </w:p>
    <w:p w14:paraId="554D4C8F" w14:textId="77777777" w:rsidR="00CB133E" w:rsidRPr="00161010" w:rsidRDefault="00CB133E">
      <w:pPr>
        <w:rPr>
          <w:rFonts w:cs="FrankRuehl"/>
          <w:sz w:val="26"/>
          <w:szCs w:val="26"/>
          <w:rtl/>
        </w:rPr>
      </w:pPr>
      <w:r w:rsidRPr="00161010">
        <w:rPr>
          <w:rFonts w:cs="FrankRuehl"/>
          <w:sz w:val="26"/>
          <w:szCs w:val="26"/>
          <w:rtl/>
        </w:rPr>
        <w:t>א.נ.,</w:t>
      </w:r>
    </w:p>
    <w:p w14:paraId="117EF82C" w14:textId="77777777" w:rsidR="00CB133E" w:rsidRPr="00161010" w:rsidRDefault="00CB133E">
      <w:pPr>
        <w:rPr>
          <w:rFonts w:cs="FrankRuehl"/>
          <w:sz w:val="26"/>
          <w:szCs w:val="26"/>
          <w:rtl/>
        </w:rPr>
      </w:pPr>
    </w:p>
    <w:p w14:paraId="4F036AE1" w14:textId="77777777" w:rsidR="00CB133E" w:rsidRPr="00161010" w:rsidRDefault="00CB133E">
      <w:pPr>
        <w:pStyle w:val="a7"/>
        <w:rPr>
          <w:rFonts w:cs="FrankRuehl"/>
          <w:sz w:val="26"/>
          <w:rtl/>
        </w:rPr>
      </w:pPr>
      <w:r w:rsidRPr="00161010">
        <w:rPr>
          <w:rFonts w:cs="FrankRuehl"/>
          <w:bCs w:val="0"/>
          <w:sz w:val="26"/>
          <w:u w:val="none"/>
          <w:rtl/>
        </w:rPr>
        <w:t xml:space="preserve">הנדון: </w:t>
      </w:r>
      <w:r w:rsidRPr="00161010">
        <w:rPr>
          <w:rFonts w:cs="FrankRuehl"/>
          <w:bCs w:val="0"/>
          <w:sz w:val="26"/>
          <w:rtl/>
        </w:rPr>
        <w:t>שינויים בין סעיפים לשנת</w:t>
      </w:r>
      <w:r w:rsidRPr="00161010">
        <w:rPr>
          <w:rFonts w:cs="FrankRuehl"/>
          <w:sz w:val="26"/>
          <w:rtl/>
        </w:rPr>
        <w:t xml:space="preserve"> </w:t>
      </w:r>
      <w:bookmarkStart w:id="5" w:name="TAKZIV1"/>
      <w:r w:rsidR="00CA6239">
        <w:rPr>
          <w:rFonts w:cs="FrankRuehl"/>
          <w:sz w:val="26"/>
          <w:rtl/>
        </w:rPr>
        <w:t>2026</w:t>
      </w:r>
      <w:bookmarkEnd w:id="5"/>
      <w:r w:rsidRPr="00161010">
        <w:rPr>
          <w:rFonts w:cs="FrankRuehl"/>
          <w:sz w:val="26"/>
          <w:rtl/>
        </w:rPr>
        <w:t xml:space="preserve">    </w:t>
      </w:r>
    </w:p>
    <w:p w14:paraId="51280ABC" w14:textId="77777777" w:rsidR="00CB133E" w:rsidRPr="00161010" w:rsidRDefault="00CB133E">
      <w:pPr>
        <w:rPr>
          <w:rFonts w:cs="FrankRuehl"/>
          <w:sz w:val="26"/>
          <w:szCs w:val="26"/>
          <w:rtl/>
        </w:rPr>
      </w:pPr>
    </w:p>
    <w:p w14:paraId="0830B5B4" w14:textId="0701A24B" w:rsidR="00CB133E" w:rsidRPr="00161010" w:rsidRDefault="00CB133E" w:rsidP="004D6941">
      <w:pPr>
        <w:jc w:val="both"/>
        <w:rPr>
          <w:rFonts w:cs="FrankRuehl"/>
          <w:sz w:val="26"/>
          <w:szCs w:val="26"/>
          <w:rtl/>
        </w:rPr>
      </w:pPr>
      <w:r w:rsidRPr="00161010">
        <w:rPr>
          <w:rFonts w:cs="FrankRuehl"/>
          <w:sz w:val="26"/>
          <w:szCs w:val="26"/>
          <w:rtl/>
        </w:rPr>
        <w:t xml:space="preserve">שר האוצר מבקש את אישורה של ועדת הכספים של הכנסת להעברת סכום של </w:t>
      </w:r>
      <w:r w:rsidR="004D6941">
        <w:rPr>
          <w:rFonts w:cs="FrankRuehl" w:hint="cs"/>
          <w:sz w:val="26"/>
          <w:szCs w:val="26"/>
          <w:rtl/>
        </w:rPr>
        <w:t xml:space="preserve">11,000 </w:t>
      </w:r>
      <w:r w:rsidRPr="00161010">
        <w:rPr>
          <w:rFonts w:cs="FrankRuehl"/>
          <w:sz w:val="26"/>
          <w:szCs w:val="26"/>
          <w:rtl/>
        </w:rPr>
        <w:t>אלפי שקלים חדשים</w:t>
      </w:r>
      <w:r w:rsidR="004D6941">
        <w:rPr>
          <w:rFonts w:cs="FrankRuehl" w:hint="cs"/>
          <w:sz w:val="26"/>
          <w:szCs w:val="26"/>
          <w:rtl/>
        </w:rPr>
        <w:t xml:space="preserve"> וסכום של 750 אלפי שקלים חדשים בהרשאה להתחייב</w:t>
      </w:r>
      <w:r w:rsidRPr="00161010">
        <w:rPr>
          <w:rFonts w:cs="FrankRuehl"/>
          <w:sz w:val="26"/>
          <w:szCs w:val="26"/>
          <w:rtl/>
        </w:rPr>
        <w:t xml:space="preserve"> מסעיף </w:t>
      </w:r>
      <w:bookmarkStart w:id="6" w:name="TAKZIV3_1"/>
      <w:bookmarkEnd w:id="6"/>
      <w:r w:rsidR="004D6941">
        <w:rPr>
          <w:rFonts w:cs="FrankRuehl" w:hint="cs"/>
          <w:sz w:val="26"/>
          <w:szCs w:val="26"/>
          <w:rtl/>
        </w:rPr>
        <w:t>04</w:t>
      </w:r>
      <w:r w:rsidRPr="00161010">
        <w:rPr>
          <w:rFonts w:cs="FrankRuehl"/>
          <w:sz w:val="26"/>
          <w:szCs w:val="26"/>
          <w:rtl/>
        </w:rPr>
        <w:t xml:space="preserve"> - </w:t>
      </w:r>
      <w:bookmarkStart w:id="7" w:name="TAKZIV6"/>
      <w:r w:rsidR="00CA6239">
        <w:rPr>
          <w:rFonts w:cs="FrankRuehl"/>
          <w:sz w:val="26"/>
          <w:szCs w:val="26"/>
          <w:rtl/>
        </w:rPr>
        <w:t>משרד ראש הממשלה</w:t>
      </w:r>
      <w:bookmarkEnd w:id="7"/>
      <w:r w:rsidRPr="00161010">
        <w:rPr>
          <w:rFonts w:cs="FrankRuehl"/>
          <w:sz w:val="26"/>
          <w:szCs w:val="26"/>
          <w:rtl/>
        </w:rPr>
        <w:t xml:space="preserve">, </w:t>
      </w:r>
      <w:r w:rsidR="00270817">
        <w:rPr>
          <w:rFonts w:cs="FrankRuehl" w:hint="cs"/>
          <w:sz w:val="26"/>
          <w:szCs w:val="26"/>
          <w:rtl/>
        </w:rPr>
        <w:t xml:space="preserve">08 - משרד המשפטים, 19 - מדע, תרבות וספורט, </w:t>
      </w:r>
      <w:r w:rsidRPr="00161010">
        <w:rPr>
          <w:rFonts w:cs="FrankRuehl"/>
          <w:sz w:val="26"/>
          <w:szCs w:val="26"/>
          <w:rtl/>
        </w:rPr>
        <w:t xml:space="preserve">לסעיף 47 - רזרבה כללית, בהתאם לסעיף 11 (ה) לחוק יסודות התקציב </w:t>
      </w:r>
      <w:proofErr w:type="spellStart"/>
      <w:r w:rsidRPr="00161010">
        <w:rPr>
          <w:rFonts w:cs="FrankRuehl"/>
          <w:sz w:val="26"/>
          <w:szCs w:val="26"/>
          <w:rtl/>
        </w:rPr>
        <w:t>התשמ"ה</w:t>
      </w:r>
      <w:proofErr w:type="spellEnd"/>
      <w:r w:rsidRPr="00161010">
        <w:rPr>
          <w:rFonts w:cs="FrankRuehl"/>
          <w:sz w:val="26"/>
          <w:szCs w:val="26"/>
          <w:rtl/>
        </w:rPr>
        <w:t xml:space="preserve"> - 1985.</w:t>
      </w:r>
    </w:p>
    <w:p w14:paraId="4FB760FA" w14:textId="77777777" w:rsidR="00CB133E" w:rsidRPr="00161010" w:rsidRDefault="00CB133E" w:rsidP="004D6941">
      <w:pPr>
        <w:jc w:val="both"/>
        <w:rPr>
          <w:rFonts w:cs="FrankRuehl"/>
          <w:sz w:val="26"/>
          <w:szCs w:val="26"/>
          <w:rtl/>
        </w:rPr>
      </w:pPr>
    </w:p>
    <w:p w14:paraId="104990FD" w14:textId="095B5E60" w:rsidR="00CB133E" w:rsidRPr="00161010" w:rsidRDefault="00CB133E" w:rsidP="004D6941">
      <w:pPr>
        <w:jc w:val="both"/>
        <w:rPr>
          <w:rFonts w:cs="FrankRuehl"/>
          <w:sz w:val="26"/>
          <w:szCs w:val="26"/>
          <w:rtl/>
        </w:rPr>
      </w:pPr>
      <w:r w:rsidRPr="00161010">
        <w:rPr>
          <w:rFonts w:cs="FrankRuehl"/>
          <w:sz w:val="26"/>
          <w:szCs w:val="26"/>
          <w:rtl/>
        </w:rPr>
        <w:t xml:space="preserve">כמו כן, מבקש שר האוצר את אישורה של ועדת הכספים של הכנסת להעברת סכום של </w:t>
      </w:r>
      <w:r w:rsidR="004D6941">
        <w:rPr>
          <w:rFonts w:cs="FrankRuehl" w:hint="cs"/>
          <w:sz w:val="26"/>
          <w:szCs w:val="26"/>
          <w:rtl/>
        </w:rPr>
        <w:t xml:space="preserve">11,000 </w:t>
      </w:r>
      <w:r w:rsidRPr="00161010">
        <w:rPr>
          <w:rFonts w:cs="FrankRuehl"/>
          <w:sz w:val="26"/>
          <w:szCs w:val="26"/>
          <w:rtl/>
        </w:rPr>
        <w:t xml:space="preserve">אלפי שקלים חדשים מסעיף 47 - רזרבה כללית לסעיף </w:t>
      </w:r>
      <w:r w:rsidR="004D6941">
        <w:rPr>
          <w:rFonts w:ascii="FrankRuehl" w:hAnsi="Calibri" w:cs="FrankRuehl"/>
          <w:sz w:val="26"/>
          <w:szCs w:val="26"/>
          <w:rtl/>
        </w:rPr>
        <w:t xml:space="preserve">83 </w:t>
      </w:r>
      <w:r w:rsidR="004D6941">
        <w:rPr>
          <w:rFonts w:ascii="FrankRuehl" w:hAnsi="Calibri" w:cs="FrankRuehl" w:hint="cs"/>
          <w:sz w:val="26"/>
          <w:szCs w:val="26"/>
          <w:rtl/>
        </w:rPr>
        <w:t>-</w:t>
      </w:r>
      <w:r w:rsidR="004D6941">
        <w:rPr>
          <w:rFonts w:ascii="FrankRuehl" w:hAnsi="Calibri" w:cs="FrankRuehl"/>
          <w:sz w:val="26"/>
          <w:szCs w:val="26"/>
          <w:rtl/>
        </w:rPr>
        <w:t xml:space="preserve"> הוצאות פיתוח אחרות</w:t>
      </w:r>
      <w:r w:rsidR="004D6941">
        <w:rPr>
          <w:rFonts w:cs="FrankRuehl" w:hint="cs"/>
          <w:sz w:val="26"/>
          <w:szCs w:val="26"/>
          <w:rtl/>
        </w:rPr>
        <w:t>,</w:t>
      </w:r>
      <w:r w:rsidRPr="00161010">
        <w:rPr>
          <w:rFonts w:cs="FrankRuehl"/>
          <w:sz w:val="26"/>
          <w:szCs w:val="26"/>
          <w:rtl/>
        </w:rPr>
        <w:t xml:space="preserve"> בהתאם לסעיף 12 (א)</w:t>
      </w:r>
      <w:r w:rsidR="004D6941">
        <w:rPr>
          <w:rFonts w:cs="FrankRuehl" w:hint="cs"/>
          <w:sz w:val="26"/>
          <w:szCs w:val="26"/>
          <w:rtl/>
        </w:rPr>
        <w:t xml:space="preserve"> </w:t>
      </w:r>
      <w:r w:rsidRPr="00161010">
        <w:rPr>
          <w:rFonts w:cs="FrankRuehl"/>
          <w:sz w:val="26"/>
          <w:szCs w:val="26"/>
          <w:rtl/>
        </w:rPr>
        <w:t xml:space="preserve">לחוק יסודות התקציב, </w:t>
      </w:r>
      <w:proofErr w:type="spellStart"/>
      <w:r w:rsidRPr="00161010">
        <w:rPr>
          <w:rFonts w:cs="FrankRuehl"/>
          <w:sz w:val="26"/>
          <w:szCs w:val="26"/>
          <w:rtl/>
        </w:rPr>
        <w:t>התשמ"ה</w:t>
      </w:r>
      <w:proofErr w:type="spellEnd"/>
      <w:r w:rsidRPr="00161010">
        <w:rPr>
          <w:rFonts w:cs="FrankRuehl"/>
          <w:sz w:val="26"/>
          <w:szCs w:val="26"/>
          <w:rtl/>
        </w:rPr>
        <w:t xml:space="preserve"> - 1985, כמפורט בתדפיס המצורף בזה.</w:t>
      </w:r>
    </w:p>
    <w:p w14:paraId="08F89F7A" w14:textId="12A85C12" w:rsidR="00CB133E" w:rsidRDefault="00CB133E" w:rsidP="004D6941">
      <w:pPr>
        <w:jc w:val="both"/>
        <w:rPr>
          <w:rFonts w:cs="FrankRuehl"/>
          <w:sz w:val="26"/>
          <w:szCs w:val="26"/>
          <w:rtl/>
        </w:rPr>
      </w:pPr>
    </w:p>
    <w:p w14:paraId="4BC14830" w14:textId="1296262F" w:rsidR="004D6941" w:rsidRDefault="004D6941" w:rsidP="004D6941">
      <w:pPr>
        <w:jc w:val="both"/>
        <w:rPr>
          <w:rFonts w:ascii="FrankRuehl" w:hAnsi="Calibri" w:cs="FrankRuehl"/>
          <w:b/>
          <w:bCs/>
          <w:sz w:val="26"/>
          <w:szCs w:val="26"/>
        </w:rPr>
      </w:pPr>
      <w:r>
        <w:rPr>
          <w:rFonts w:ascii="FrankRuehl" w:hAnsi="Calibri" w:cs="FrankRuehl"/>
          <w:b/>
          <w:bCs/>
          <w:sz w:val="26"/>
          <w:szCs w:val="26"/>
          <w:rtl/>
        </w:rPr>
        <w:t>הבקשה</w:t>
      </w:r>
      <w:r>
        <w:rPr>
          <w:rFonts w:ascii="FrankRuehl" w:hAnsi="Calibri" w:cs="FrankRuehl"/>
          <w:b/>
          <w:bCs/>
          <w:sz w:val="26"/>
          <w:szCs w:val="26"/>
        </w:rPr>
        <w:t xml:space="preserve"> </w:t>
      </w:r>
      <w:r>
        <w:rPr>
          <w:rFonts w:ascii="FrankRuehl" w:hAnsi="Calibri" w:cs="FrankRuehl"/>
          <w:b/>
          <w:bCs/>
          <w:sz w:val="26"/>
          <w:szCs w:val="26"/>
          <w:rtl/>
        </w:rPr>
        <w:t>דנה</w:t>
      </w:r>
      <w:r>
        <w:rPr>
          <w:rFonts w:ascii="FrankRuehl" w:hAnsi="Calibri" w:cs="FrankRuehl"/>
          <w:b/>
          <w:bCs/>
          <w:sz w:val="26"/>
          <w:szCs w:val="26"/>
        </w:rPr>
        <w:t xml:space="preserve"> </w:t>
      </w:r>
      <w:r>
        <w:rPr>
          <w:rFonts w:ascii="FrankRuehl" w:hAnsi="Calibri" w:cs="FrankRuehl"/>
          <w:b/>
          <w:bCs/>
          <w:sz w:val="26"/>
          <w:szCs w:val="26"/>
          <w:rtl/>
        </w:rPr>
        <w:t>בסעיף</w:t>
      </w:r>
      <w:r>
        <w:rPr>
          <w:rFonts w:ascii="FrankRuehl" w:hAnsi="Calibri" w:cs="FrankRuehl"/>
          <w:b/>
          <w:bCs/>
          <w:sz w:val="26"/>
          <w:szCs w:val="26"/>
        </w:rPr>
        <w:t xml:space="preserve"> </w:t>
      </w:r>
      <w:r>
        <w:rPr>
          <w:rFonts w:ascii="FrankRuehl" w:hAnsi="Calibri" w:cs="FrankRuehl"/>
          <w:b/>
          <w:bCs/>
          <w:sz w:val="26"/>
          <w:szCs w:val="26"/>
          <w:rtl/>
        </w:rPr>
        <w:t xml:space="preserve">תקציבי: </w:t>
      </w:r>
      <w:r>
        <w:rPr>
          <w:rFonts w:ascii="FrankRuehl" w:hAnsi="Calibri" w:cs="FrankRuehl"/>
          <w:sz w:val="26"/>
          <w:szCs w:val="26"/>
          <w:rtl/>
        </w:rPr>
        <w:t xml:space="preserve">83 </w:t>
      </w:r>
      <w:r>
        <w:rPr>
          <w:rFonts w:ascii="FrankRuehl" w:hAnsi="Calibri" w:cs="FrankRuehl" w:hint="cs"/>
          <w:sz w:val="26"/>
          <w:szCs w:val="26"/>
          <w:rtl/>
        </w:rPr>
        <w:t>-</w:t>
      </w:r>
      <w:r>
        <w:rPr>
          <w:rFonts w:ascii="FrankRuehl" w:hAnsi="Calibri" w:cs="FrankRuehl"/>
          <w:sz w:val="26"/>
          <w:szCs w:val="26"/>
          <w:rtl/>
        </w:rPr>
        <w:t xml:space="preserve"> הוצאות פיתוח אחרות</w:t>
      </w:r>
    </w:p>
    <w:p w14:paraId="50FB3393" w14:textId="77777777" w:rsidR="004D6941" w:rsidRDefault="004D6941" w:rsidP="004D6941">
      <w:pPr>
        <w:jc w:val="both"/>
        <w:rPr>
          <w:rFonts w:cs="FrankRuehl"/>
          <w:b/>
          <w:bCs/>
          <w:sz w:val="26"/>
          <w:szCs w:val="26"/>
        </w:rPr>
      </w:pPr>
    </w:p>
    <w:p w14:paraId="4FF67BF2" w14:textId="77777777" w:rsidR="004D6941" w:rsidRDefault="004D6941" w:rsidP="004D6941">
      <w:pPr>
        <w:jc w:val="both"/>
        <w:rPr>
          <w:rFonts w:cs="FrankRuehl"/>
          <w:b/>
          <w:bCs/>
          <w:sz w:val="26"/>
          <w:szCs w:val="26"/>
        </w:rPr>
      </w:pPr>
      <w:r>
        <w:rPr>
          <w:rFonts w:cs="FrankRuehl"/>
          <w:b/>
          <w:bCs/>
          <w:sz w:val="26"/>
          <w:szCs w:val="26"/>
          <w:rtl/>
        </w:rPr>
        <w:t>עיקרי</w:t>
      </w:r>
      <w:r>
        <w:rPr>
          <w:rFonts w:cs="FrankRuehl" w:hint="cs"/>
          <w:b/>
          <w:bCs/>
          <w:sz w:val="26"/>
          <w:szCs w:val="26"/>
        </w:rPr>
        <w:t xml:space="preserve"> </w:t>
      </w:r>
      <w:r>
        <w:rPr>
          <w:rFonts w:cs="FrankRuehl"/>
          <w:b/>
          <w:bCs/>
          <w:sz w:val="26"/>
          <w:szCs w:val="26"/>
          <w:rtl/>
        </w:rPr>
        <w:t>הפנייה</w:t>
      </w:r>
      <w:r>
        <w:rPr>
          <w:rFonts w:cs="FrankRuehl"/>
          <w:b/>
          <w:bCs/>
          <w:sz w:val="26"/>
          <w:szCs w:val="26"/>
        </w:rPr>
        <w:t>:</w:t>
      </w:r>
    </w:p>
    <w:p w14:paraId="3DFDE22F" w14:textId="77777777" w:rsidR="004D6941" w:rsidRDefault="004D6941" w:rsidP="004D6941">
      <w:pPr>
        <w:jc w:val="both"/>
        <w:rPr>
          <w:rFonts w:cs="FrankRuehl"/>
          <w:sz w:val="26"/>
          <w:szCs w:val="26"/>
        </w:rPr>
      </w:pPr>
      <w:r>
        <w:rPr>
          <w:rFonts w:cs="FrankRuehl"/>
          <w:sz w:val="26"/>
          <w:szCs w:val="26"/>
          <w:rtl/>
        </w:rPr>
        <w:t>הפנייה</w:t>
      </w:r>
      <w:r>
        <w:rPr>
          <w:rFonts w:cs="FrankRuehl" w:hint="cs"/>
          <w:sz w:val="26"/>
          <w:szCs w:val="26"/>
        </w:rPr>
        <w:t xml:space="preserve"> </w:t>
      </w:r>
      <w:r>
        <w:rPr>
          <w:rFonts w:cs="FrankRuehl"/>
          <w:sz w:val="26"/>
          <w:szCs w:val="26"/>
          <w:rtl/>
        </w:rPr>
        <w:t>התקציבית</w:t>
      </w:r>
      <w:r>
        <w:rPr>
          <w:rFonts w:cs="FrankRuehl" w:hint="cs"/>
          <w:sz w:val="26"/>
          <w:szCs w:val="26"/>
        </w:rPr>
        <w:t xml:space="preserve"> </w:t>
      </w:r>
      <w:r>
        <w:rPr>
          <w:rFonts w:cs="FrankRuehl"/>
          <w:sz w:val="26"/>
          <w:szCs w:val="26"/>
          <w:rtl/>
        </w:rPr>
        <w:t>נועדה</w:t>
      </w:r>
      <w:r>
        <w:rPr>
          <w:rFonts w:cs="FrankRuehl" w:hint="cs"/>
          <w:sz w:val="26"/>
          <w:szCs w:val="26"/>
        </w:rPr>
        <w:t xml:space="preserve"> </w:t>
      </w:r>
      <w:r>
        <w:rPr>
          <w:rFonts w:cs="FrankRuehl"/>
          <w:sz w:val="26"/>
          <w:szCs w:val="26"/>
          <w:rtl/>
        </w:rPr>
        <w:t>לתקצוב סך 11,000 אלפי ש"ח בהוצאה ותקצוב סך של 39,130 אלפי ש"ח בהרשאה להתחייב כמפורט להלן.</w:t>
      </w:r>
    </w:p>
    <w:p w14:paraId="4FDAF4CC" w14:textId="77777777" w:rsidR="004D6941" w:rsidRDefault="004D6941" w:rsidP="004D6941">
      <w:pPr>
        <w:jc w:val="both"/>
        <w:rPr>
          <w:rFonts w:ascii="FrankRuehl" w:hAnsi="Calibri" w:cs="FrankRuehl"/>
          <w:sz w:val="26"/>
          <w:szCs w:val="26"/>
        </w:rPr>
      </w:pPr>
    </w:p>
    <w:p w14:paraId="1DEE1A24" w14:textId="77777777" w:rsidR="004D6941" w:rsidRDefault="004D6941" w:rsidP="004D6941">
      <w:pPr>
        <w:jc w:val="both"/>
        <w:rPr>
          <w:rFonts w:ascii="FrankRuehl" w:hAnsi="Calibri" w:cs="FrankRuehl"/>
          <w:b/>
          <w:bCs/>
          <w:sz w:val="26"/>
          <w:szCs w:val="26"/>
        </w:rPr>
      </w:pPr>
      <w:r>
        <w:rPr>
          <w:rFonts w:ascii="FrankRuehl" w:hAnsi="Calibri" w:cs="FrankRuehl"/>
          <w:b/>
          <w:bCs/>
          <w:sz w:val="26"/>
          <w:szCs w:val="26"/>
          <w:rtl/>
        </w:rPr>
        <w:t>תוכנית 83-03-04: ירושלים ומורשת – פיתוח – 11,000 אלפי ש"ח בהוצאה וסך של 39,130 אלפי ש"ח בהרשאה להתחייב</w:t>
      </w:r>
    </w:p>
    <w:p w14:paraId="526D9D5C" w14:textId="77777777" w:rsidR="004D6941" w:rsidRDefault="004D6941" w:rsidP="004D6941">
      <w:pPr>
        <w:jc w:val="both"/>
        <w:rPr>
          <w:rFonts w:ascii="FrankRuehl" w:hAnsi="FrankRuehl" w:cs="FrankRuehl"/>
          <w:sz w:val="26"/>
          <w:szCs w:val="26"/>
        </w:rPr>
      </w:pPr>
      <w:r>
        <w:rPr>
          <w:rFonts w:ascii="FrankRuehl" w:hAnsi="Calibri" w:cs="FrankRuehl"/>
          <w:b/>
          <w:bCs/>
          <w:sz w:val="26"/>
          <w:szCs w:val="26"/>
          <w:rtl/>
        </w:rPr>
        <w:t xml:space="preserve">תיאור </w:t>
      </w:r>
      <w:proofErr w:type="spellStart"/>
      <w:r>
        <w:rPr>
          <w:rFonts w:ascii="FrankRuehl" w:hAnsi="Calibri" w:cs="FrankRuehl"/>
          <w:b/>
          <w:bCs/>
          <w:sz w:val="26"/>
          <w:szCs w:val="26"/>
          <w:rtl/>
        </w:rPr>
        <w:t>התכנית</w:t>
      </w:r>
      <w:proofErr w:type="spellEnd"/>
      <w:r>
        <w:rPr>
          <w:rFonts w:ascii="FrankRuehl" w:hAnsi="Calibri" w:cs="FrankRuehl"/>
          <w:b/>
          <w:bCs/>
          <w:sz w:val="26"/>
          <w:szCs w:val="26"/>
          <w:rtl/>
        </w:rPr>
        <w:t>:</w:t>
      </w:r>
      <w:r>
        <w:rPr>
          <w:rFonts w:ascii="FrankRuehl" w:hAnsi="Calibri" w:cs="FrankRuehl"/>
          <w:sz w:val="26"/>
          <w:szCs w:val="26"/>
          <w:rtl/>
        </w:rPr>
        <w:t xml:space="preserve"> </w:t>
      </w:r>
      <w:r>
        <w:rPr>
          <w:rFonts w:ascii="FrankRuehl" w:hAnsi="FrankRuehl" w:cs="FrankRuehl"/>
          <w:sz w:val="26"/>
          <w:szCs w:val="26"/>
          <w:rtl/>
        </w:rPr>
        <w:t>במסגרת תכנית זו מתוקצבת פעילות הפיתוח של משרדי מורשת ומסורת ישראל בהתאם להחלטות ממשלה שעניינן פיתוח העיר ירושלים, או במטרה לפתח לשמר ולהעצים נכסי מורשת לאומיים מוחשיים ובלתי-מוחשיים.</w:t>
      </w:r>
    </w:p>
    <w:p w14:paraId="523ABACC" w14:textId="77777777" w:rsidR="004D6941" w:rsidRDefault="004D6941" w:rsidP="004D6941">
      <w:pPr>
        <w:jc w:val="both"/>
        <w:rPr>
          <w:rFonts w:ascii="FrankRuehl" w:hAnsi="Calibri" w:cs="FrankRuehl"/>
          <w:b/>
          <w:bCs/>
          <w:sz w:val="26"/>
          <w:szCs w:val="26"/>
          <w:rtl/>
        </w:rPr>
      </w:pPr>
      <w:r>
        <w:rPr>
          <w:rFonts w:ascii="FrankRuehl" w:hAnsi="Calibri" w:cs="FrankRuehl"/>
          <w:b/>
          <w:bCs/>
          <w:sz w:val="26"/>
          <w:szCs w:val="26"/>
          <w:rtl/>
        </w:rPr>
        <w:t>מטרת השינוי:</w:t>
      </w:r>
    </w:p>
    <w:p w14:paraId="321CFEEC" w14:textId="77777777" w:rsidR="004D6941" w:rsidRDefault="004D6941" w:rsidP="004D6941">
      <w:pPr>
        <w:jc w:val="both"/>
        <w:rPr>
          <w:rFonts w:cs="FrankRuehl"/>
          <w:sz w:val="26"/>
          <w:szCs w:val="26"/>
          <w:rtl/>
        </w:rPr>
      </w:pPr>
      <w:r>
        <w:rPr>
          <w:rFonts w:cs="FrankRuehl"/>
          <w:sz w:val="26"/>
          <w:szCs w:val="26"/>
          <w:rtl/>
        </w:rPr>
        <w:t xml:space="preserve">הפנייה התקציבית נועדה לתקצוב סך של 11,000 אלפי ש"ח בהוצאה וסך של 11,000 אלפי ש"ח בהרשאה להתחייב בהתאם להחלטת ממשלה מס'  3320 מיום 17 לאוגוסט 2025 שעניינה "קידום והשלמת מיזם להנצחת מורשתו ופועלו של זאב ז'בוטינסקי", להחלטת ממשלה מס' 1758 מיום 27 למאי 2024 שעניינה "הקמת מרכז לקידום והנחלת מורשת יהודי ברית המועצות ומאבקם לשימור המורשת היהודית ולעלייה לארץ", להחלטת ממשלה מס' 3058 מיום 26 למאי 2025 שעניינה "שימור, קירום ופיתוח בריכת ממילא בעיר ירושלים", ולהחלטת ממשלה מס' 4108 מיום 17 למאי 2026 שעניינה "שימור, שיקום ופיתוח בריכת ממילא בעיר ירושלים ותיקון החלטת הממשלה". </w:t>
      </w:r>
    </w:p>
    <w:p w14:paraId="1D6C8345" w14:textId="77777777" w:rsidR="004D6941" w:rsidRDefault="004D6941" w:rsidP="004D6941">
      <w:pPr>
        <w:jc w:val="both"/>
        <w:rPr>
          <w:rFonts w:cs="FrankRuehl"/>
          <w:sz w:val="26"/>
          <w:szCs w:val="26"/>
          <w:rtl/>
        </w:rPr>
      </w:pPr>
      <w:r>
        <w:rPr>
          <w:rFonts w:cs="FrankRuehl"/>
          <w:sz w:val="26"/>
          <w:szCs w:val="26"/>
          <w:rtl/>
        </w:rPr>
        <w:t xml:space="preserve">בנוסף תקצוב סך של 28,130 אלפי ש"ח בהרשאה להתחייב עבור יישום הסכמים פוליטיים בעלי השפעה תקציבית, כמפורט להלן. </w:t>
      </w:r>
    </w:p>
    <w:p w14:paraId="66F4B83E" w14:textId="114041E6" w:rsidR="004D6941" w:rsidRDefault="004D6941" w:rsidP="004D6941">
      <w:pPr>
        <w:jc w:val="both"/>
        <w:rPr>
          <w:rFonts w:ascii="FrankRuehl" w:hAnsi="Calibri" w:cs="FrankRuehl"/>
          <w:b/>
          <w:bCs/>
          <w:sz w:val="26"/>
          <w:szCs w:val="26"/>
          <w:rtl/>
        </w:rPr>
      </w:pPr>
    </w:p>
    <w:p w14:paraId="692CD0CB" w14:textId="7752FD72" w:rsidR="004D6941" w:rsidRDefault="004D6941" w:rsidP="004D6941">
      <w:pPr>
        <w:jc w:val="both"/>
        <w:rPr>
          <w:rFonts w:ascii="FrankRuehl" w:hAnsi="Calibri" w:cs="FrankRuehl"/>
          <w:b/>
          <w:bCs/>
          <w:sz w:val="26"/>
          <w:szCs w:val="26"/>
          <w:rtl/>
        </w:rPr>
      </w:pPr>
    </w:p>
    <w:p w14:paraId="554D1BFB" w14:textId="77777777" w:rsidR="004D6941" w:rsidRDefault="004D6941" w:rsidP="004D6941">
      <w:pPr>
        <w:contextualSpacing/>
        <w:jc w:val="both"/>
        <w:rPr>
          <w:rFonts w:ascii="FrankRuehl" w:hAnsi="FrankRuehl" w:cs="FrankRuehl"/>
          <w:b/>
          <w:bCs/>
          <w:sz w:val="26"/>
          <w:szCs w:val="26"/>
          <w:rtl/>
        </w:rPr>
      </w:pPr>
      <w:r>
        <w:rPr>
          <w:rFonts w:ascii="FrankRuehl" w:hAnsi="FrankRuehl" w:cs="FrankRuehl"/>
          <w:b/>
          <w:bCs/>
          <w:sz w:val="26"/>
          <w:szCs w:val="26"/>
          <w:rtl/>
        </w:rPr>
        <w:lastRenderedPageBreak/>
        <w:t xml:space="preserve">יישום הסכמים פוליטיים בעלי משמעות תקציבית: </w:t>
      </w:r>
    </w:p>
    <w:p w14:paraId="0A3756E3" w14:textId="77777777" w:rsidR="004D6941" w:rsidRDefault="004D6941" w:rsidP="004D6941">
      <w:pPr>
        <w:contextualSpacing/>
        <w:jc w:val="both"/>
        <w:rPr>
          <w:rFonts w:ascii="FrankRuehl" w:hAnsi="FrankRuehl" w:cs="FrankRuehl"/>
          <w:sz w:val="26"/>
          <w:szCs w:val="26"/>
          <w:rtl/>
        </w:rPr>
      </w:pPr>
      <w:r>
        <w:rPr>
          <w:rFonts w:ascii="FrankRuehl" w:hAnsi="FrankRuehl" w:cs="FrankRuehl"/>
          <w:sz w:val="26"/>
          <w:szCs w:val="26"/>
          <w:rtl/>
        </w:rPr>
        <w:t>הפנייה נועדה לתקצב סך של 28,130 אלפי ש"ח בהרשאה להתחייב, עבור הנושאים המפורטים להלן, בהתאם להחלטת ממשלה מס' 3610 מיום 4 בדצמבר 2025 שעניינה "הקצאת תקציבים עבור יישום הסכמים קואליציוניים והחלטות נוספות בשנת 2026", להחלטת ממשלה מס' 3971 מיום 10 למרץ 2026 שעניינה "יישום הסכמים קואליציוניים בשנת הכספים 2026", להחלטת ממשלה מס' 4108 מיום 17 במאי 2026 שעניינה "שיקום ופיתוח בריכת ממילא בעיר ירושלים - תיקון החלטת הממשלה", ולהחלטת ממשלה מס' 4203 מיום 07 ביוני 2026 שעניינה"</w:t>
      </w:r>
      <w:r>
        <w:rPr>
          <w:rtl/>
        </w:rPr>
        <w:t xml:space="preserve"> </w:t>
      </w:r>
      <w:r>
        <w:rPr>
          <w:rFonts w:ascii="FrankRuehl" w:hAnsi="FrankRuehl" w:cs="FrankRuehl"/>
          <w:sz w:val="26"/>
          <w:szCs w:val="26"/>
          <w:rtl/>
        </w:rPr>
        <w:t>שיקום ופיתוח בריכת ממילא בעיר ירושלים - תיקון החלטת הממשלה". מכיוון שבעת קבלת החלטות הממשלה האמורות ובעת הצגת ההסכמים טרם הושלמו הבדיקות המקצועיות והמשפטיות הנחוצות לצורך הקצאת התקציבים הנדרשים על פי הנחיית היועץ המשפטי לממשלה מספר 1.180, התקציב טרם הוקצה בתוכניות הייעודיות עד להשלמתן. כעת, משהושלמו הבדיקות המקצועיות והמשפטיות הנחוצות, מוצע להעביר את הסכומים האמורים, בהתאם להחלטות הממשלה האמורות וההסכמים האמורים, לתוכניות הייעודיות, כמפורט להלן:</w:t>
      </w:r>
    </w:p>
    <w:p w14:paraId="080CE8C2" w14:textId="77777777" w:rsidR="004D6941" w:rsidRDefault="004D6941" w:rsidP="004D6941">
      <w:pPr>
        <w:contextualSpacing/>
        <w:jc w:val="both"/>
        <w:rPr>
          <w:rFonts w:ascii="FrankRuehl" w:hAnsi="FrankRuehl" w:cs="FrankRuehl"/>
          <w:sz w:val="26"/>
          <w:szCs w:val="26"/>
          <w:rtl/>
        </w:rPr>
      </w:pPr>
    </w:p>
    <w:tbl>
      <w:tblPr>
        <w:bidiVisu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5"/>
        <w:gridCol w:w="1418"/>
        <w:gridCol w:w="3685"/>
        <w:gridCol w:w="2085"/>
      </w:tblGrid>
      <w:tr w:rsidR="004D6941" w14:paraId="58BF0B79" w14:textId="77777777" w:rsidTr="004D6941">
        <w:trPr>
          <w:trHeight w:val="54"/>
        </w:trPr>
        <w:tc>
          <w:tcPr>
            <w:tcW w:w="783" w:type="pct"/>
            <w:tcBorders>
              <w:top w:val="single" w:sz="4" w:space="0" w:color="auto"/>
              <w:left w:val="single" w:sz="4" w:space="0" w:color="auto"/>
              <w:bottom w:val="single" w:sz="4" w:space="0" w:color="auto"/>
              <w:right w:val="single" w:sz="4" w:space="0" w:color="auto"/>
            </w:tcBorders>
            <w:hideMark/>
          </w:tcPr>
          <w:p w14:paraId="724A06FB" w14:textId="77777777" w:rsidR="004D6941" w:rsidRDefault="004D6941" w:rsidP="004D6941">
            <w:pPr>
              <w:contextualSpacing/>
              <w:jc w:val="both"/>
              <w:rPr>
                <w:rFonts w:ascii="FrankRuehl" w:hAnsi="FrankRuehl" w:cs="FrankRuehl"/>
                <w:sz w:val="26"/>
                <w:szCs w:val="26"/>
                <w:rtl/>
              </w:rPr>
            </w:pPr>
            <w:r>
              <w:rPr>
                <w:rFonts w:ascii="FrankRuehl" w:hAnsi="FrankRuehl" w:cs="FrankRuehl"/>
                <w:b/>
                <w:bCs/>
                <w:sz w:val="26"/>
                <w:szCs w:val="26"/>
                <w:rtl/>
              </w:rPr>
              <w:t>מספר תכנית</w:t>
            </w:r>
          </w:p>
        </w:tc>
        <w:tc>
          <w:tcPr>
            <w:tcW w:w="832" w:type="pct"/>
            <w:tcBorders>
              <w:top w:val="single" w:sz="4" w:space="0" w:color="auto"/>
              <w:left w:val="single" w:sz="4" w:space="0" w:color="auto"/>
              <w:bottom w:val="single" w:sz="4" w:space="0" w:color="auto"/>
              <w:right w:val="single" w:sz="4" w:space="0" w:color="auto"/>
            </w:tcBorders>
            <w:hideMark/>
          </w:tcPr>
          <w:p w14:paraId="1CFAC758" w14:textId="77777777" w:rsidR="004D6941" w:rsidRDefault="004D6941" w:rsidP="004D6941">
            <w:pPr>
              <w:contextualSpacing/>
              <w:jc w:val="both"/>
              <w:rPr>
                <w:rFonts w:ascii="FrankRuehl" w:hAnsi="FrankRuehl" w:cs="FrankRuehl"/>
                <w:sz w:val="26"/>
                <w:szCs w:val="26"/>
                <w:rtl/>
              </w:rPr>
            </w:pPr>
            <w:r>
              <w:rPr>
                <w:rFonts w:ascii="FrankRuehl" w:hAnsi="FrankRuehl" w:cs="FrankRuehl"/>
                <w:b/>
                <w:bCs/>
                <w:sz w:val="26"/>
                <w:szCs w:val="26"/>
                <w:rtl/>
              </w:rPr>
              <w:t>שם תכנית</w:t>
            </w:r>
          </w:p>
        </w:tc>
        <w:tc>
          <w:tcPr>
            <w:tcW w:w="2162" w:type="pct"/>
            <w:tcBorders>
              <w:top w:val="single" w:sz="4" w:space="0" w:color="auto"/>
              <w:left w:val="single" w:sz="4" w:space="0" w:color="auto"/>
              <w:bottom w:val="single" w:sz="4" w:space="0" w:color="auto"/>
              <w:right w:val="single" w:sz="4" w:space="0" w:color="auto"/>
            </w:tcBorders>
            <w:hideMark/>
          </w:tcPr>
          <w:p w14:paraId="5BBE2DB2" w14:textId="77777777" w:rsidR="004D6941" w:rsidRDefault="004D6941" w:rsidP="004D6941">
            <w:pPr>
              <w:contextualSpacing/>
              <w:jc w:val="both"/>
              <w:rPr>
                <w:rFonts w:ascii="FrankRuehl" w:hAnsi="FrankRuehl" w:cs="FrankRuehl"/>
                <w:sz w:val="26"/>
                <w:szCs w:val="26"/>
                <w:rtl/>
              </w:rPr>
            </w:pPr>
            <w:r>
              <w:rPr>
                <w:rFonts w:ascii="FrankRuehl" w:hAnsi="FrankRuehl" w:cs="FrankRuehl"/>
                <w:b/>
                <w:bCs/>
                <w:sz w:val="26"/>
                <w:szCs w:val="26"/>
                <w:rtl/>
              </w:rPr>
              <w:t>נושא</w:t>
            </w:r>
          </w:p>
        </w:tc>
        <w:tc>
          <w:tcPr>
            <w:tcW w:w="1223" w:type="pct"/>
            <w:tcBorders>
              <w:top w:val="single" w:sz="4" w:space="0" w:color="auto"/>
              <w:left w:val="single" w:sz="4" w:space="0" w:color="auto"/>
              <w:bottom w:val="single" w:sz="4" w:space="0" w:color="auto"/>
              <w:right w:val="single" w:sz="4" w:space="0" w:color="auto"/>
            </w:tcBorders>
            <w:hideMark/>
          </w:tcPr>
          <w:p w14:paraId="29EBDE61" w14:textId="77777777" w:rsidR="004D6941" w:rsidRDefault="004D6941" w:rsidP="004D6941">
            <w:pPr>
              <w:contextualSpacing/>
              <w:jc w:val="both"/>
              <w:rPr>
                <w:rFonts w:ascii="FrankRuehl" w:hAnsi="FrankRuehl" w:cs="FrankRuehl"/>
                <w:sz w:val="26"/>
                <w:szCs w:val="26"/>
                <w:rtl/>
              </w:rPr>
            </w:pPr>
            <w:r>
              <w:rPr>
                <w:rFonts w:ascii="FrankRuehl" w:hAnsi="FrankRuehl" w:cs="FrankRuehl"/>
                <w:b/>
                <w:bCs/>
                <w:sz w:val="26"/>
                <w:szCs w:val="26"/>
                <w:rtl/>
              </w:rPr>
              <w:t>סכום</w:t>
            </w:r>
            <w:r>
              <w:rPr>
                <w:rFonts w:ascii="FrankRuehl" w:hAnsi="FrankRuehl" w:cs="FrankRuehl"/>
                <w:sz w:val="26"/>
                <w:szCs w:val="26"/>
                <w:rtl/>
              </w:rPr>
              <w:t xml:space="preserve"> </w:t>
            </w:r>
            <w:r>
              <w:rPr>
                <w:rFonts w:ascii="FrankRuehl" w:hAnsi="FrankRuehl" w:cs="FrankRuehl"/>
                <w:b/>
                <w:bCs/>
                <w:sz w:val="26"/>
                <w:szCs w:val="26"/>
                <w:rtl/>
              </w:rPr>
              <w:t>(אלפי ש"ח)</w:t>
            </w:r>
          </w:p>
        </w:tc>
      </w:tr>
      <w:tr w:rsidR="004D6941" w14:paraId="1D4277EA" w14:textId="77777777" w:rsidTr="004D6941">
        <w:trPr>
          <w:trHeight w:val="556"/>
        </w:trPr>
        <w:tc>
          <w:tcPr>
            <w:tcW w:w="783" w:type="pct"/>
            <w:tcBorders>
              <w:top w:val="single" w:sz="4" w:space="0" w:color="auto"/>
              <w:left w:val="single" w:sz="4" w:space="0" w:color="auto"/>
              <w:bottom w:val="single" w:sz="4" w:space="0" w:color="auto"/>
              <w:right w:val="single" w:sz="4" w:space="0" w:color="auto"/>
            </w:tcBorders>
            <w:hideMark/>
          </w:tcPr>
          <w:p w14:paraId="342811CD" w14:textId="77777777" w:rsidR="004D6941" w:rsidRDefault="004D6941" w:rsidP="004D6941">
            <w:pPr>
              <w:contextualSpacing/>
              <w:jc w:val="both"/>
              <w:rPr>
                <w:rFonts w:ascii="FrankRuehl" w:hAnsi="FrankRuehl" w:cs="FrankRuehl"/>
                <w:color w:val="000000"/>
                <w:sz w:val="26"/>
                <w:szCs w:val="26"/>
                <w:rtl/>
              </w:rPr>
            </w:pPr>
            <w:r>
              <w:rPr>
                <w:rFonts w:ascii="FrankRuehl" w:hAnsi="FrankRuehl" w:cs="FrankRuehl"/>
                <w:color w:val="000000"/>
                <w:sz w:val="26"/>
                <w:szCs w:val="26"/>
              </w:rPr>
              <w:t>830304</w:t>
            </w:r>
          </w:p>
        </w:tc>
        <w:tc>
          <w:tcPr>
            <w:tcW w:w="832" w:type="pct"/>
            <w:tcBorders>
              <w:top w:val="single" w:sz="4" w:space="0" w:color="auto"/>
              <w:left w:val="single" w:sz="4" w:space="0" w:color="auto"/>
              <w:bottom w:val="single" w:sz="4" w:space="0" w:color="auto"/>
              <w:right w:val="single" w:sz="4" w:space="0" w:color="auto"/>
            </w:tcBorders>
            <w:hideMark/>
          </w:tcPr>
          <w:p w14:paraId="003FAE15" w14:textId="77777777" w:rsidR="004D6941" w:rsidRDefault="004D6941" w:rsidP="004D6941">
            <w:pPr>
              <w:contextualSpacing/>
              <w:jc w:val="both"/>
              <w:rPr>
                <w:rFonts w:ascii="FrankRuehl" w:hAnsi="FrankRuehl" w:cs="FrankRuehl"/>
                <w:sz w:val="26"/>
                <w:szCs w:val="26"/>
              </w:rPr>
            </w:pPr>
            <w:r>
              <w:rPr>
                <w:rFonts w:ascii="FrankRuehl" w:hAnsi="FrankRuehl" w:cs="FrankRuehl"/>
                <w:sz w:val="26"/>
                <w:szCs w:val="26"/>
                <w:rtl/>
              </w:rPr>
              <w:t>ירושלים ומורשת - פיתוח</w:t>
            </w:r>
          </w:p>
        </w:tc>
        <w:tc>
          <w:tcPr>
            <w:tcW w:w="2162" w:type="pct"/>
            <w:tcBorders>
              <w:top w:val="single" w:sz="4" w:space="0" w:color="auto"/>
              <w:left w:val="single" w:sz="4" w:space="0" w:color="auto"/>
              <w:bottom w:val="single" w:sz="4" w:space="0" w:color="auto"/>
              <w:right w:val="single" w:sz="4" w:space="0" w:color="auto"/>
            </w:tcBorders>
            <w:hideMark/>
          </w:tcPr>
          <w:p w14:paraId="26060F7B" w14:textId="77777777" w:rsidR="004D6941" w:rsidRDefault="004D6941" w:rsidP="004D6941">
            <w:pPr>
              <w:contextualSpacing/>
              <w:jc w:val="both"/>
              <w:rPr>
                <w:rFonts w:ascii="FrankRuehl" w:hAnsi="FrankRuehl" w:cs="FrankRuehl"/>
                <w:sz w:val="26"/>
                <w:szCs w:val="26"/>
                <w:rtl/>
              </w:rPr>
            </w:pPr>
            <w:r>
              <w:rPr>
                <w:rFonts w:ascii="FrankRuehl" w:hAnsi="FrankRuehl" w:cs="FrankRuehl"/>
                <w:color w:val="000000"/>
                <w:sz w:val="26"/>
                <w:szCs w:val="26"/>
                <w:rtl/>
              </w:rPr>
              <w:t>שימור שיקום ופיתוח בריכת ממילא בעיר ירושלים</w:t>
            </w:r>
          </w:p>
        </w:tc>
        <w:tc>
          <w:tcPr>
            <w:tcW w:w="1223" w:type="pct"/>
            <w:tcBorders>
              <w:top w:val="single" w:sz="4" w:space="0" w:color="auto"/>
              <w:left w:val="single" w:sz="4" w:space="0" w:color="auto"/>
              <w:bottom w:val="single" w:sz="4" w:space="0" w:color="auto"/>
              <w:right w:val="single" w:sz="4" w:space="0" w:color="auto"/>
            </w:tcBorders>
            <w:hideMark/>
          </w:tcPr>
          <w:p w14:paraId="518CAFD6" w14:textId="77777777" w:rsidR="004D6941" w:rsidRDefault="004D6941" w:rsidP="004D6941">
            <w:pPr>
              <w:contextualSpacing/>
              <w:jc w:val="both"/>
              <w:rPr>
                <w:rFonts w:ascii="FrankRuehl" w:hAnsi="FrankRuehl" w:cs="FrankRuehl"/>
                <w:color w:val="000000"/>
                <w:sz w:val="26"/>
                <w:szCs w:val="26"/>
                <w:rtl/>
              </w:rPr>
            </w:pPr>
            <w:r>
              <w:rPr>
                <w:rFonts w:ascii="FrankRuehl" w:hAnsi="FrankRuehl" w:cs="FrankRuehl"/>
                <w:color w:val="000000"/>
                <w:sz w:val="26"/>
                <w:szCs w:val="26"/>
                <w:rtl/>
              </w:rPr>
              <w:t>28,130</w:t>
            </w:r>
          </w:p>
        </w:tc>
      </w:tr>
    </w:tbl>
    <w:p w14:paraId="19FF1750" w14:textId="77777777" w:rsidR="004D6941" w:rsidRDefault="004D6941" w:rsidP="004D6941">
      <w:pPr>
        <w:jc w:val="both"/>
        <w:rPr>
          <w:rFonts w:cs="FrankRuehl"/>
          <w:sz w:val="26"/>
          <w:szCs w:val="26"/>
          <w:rtl/>
        </w:rPr>
      </w:pPr>
    </w:p>
    <w:p w14:paraId="4476C301" w14:textId="64BBCC98" w:rsidR="004D6941" w:rsidRPr="004D6941" w:rsidRDefault="004D6941" w:rsidP="004D6941">
      <w:pPr>
        <w:jc w:val="both"/>
        <w:rPr>
          <w:rFonts w:ascii="FrankRuehl" w:hAnsi="FrankRuehl" w:cs="FrankRuehl"/>
          <w:sz w:val="26"/>
          <w:szCs w:val="26"/>
          <w:rtl/>
        </w:rPr>
      </w:pPr>
      <w:r w:rsidRPr="004D6941">
        <w:rPr>
          <w:rFonts w:ascii="FrankRuehl" w:hAnsi="FrankRuehl" w:cs="FrankRuehl"/>
          <w:sz w:val="26"/>
          <w:szCs w:val="26"/>
          <w:rtl/>
        </w:rPr>
        <w:t>השפעה על כ</w:t>
      </w:r>
      <w:r w:rsidR="00270817">
        <w:rPr>
          <w:rFonts w:ascii="FrankRuehl" w:hAnsi="FrankRuehl" w:cs="FrankRuehl" w:hint="cs"/>
          <w:sz w:val="26"/>
          <w:szCs w:val="26"/>
          <w:rtl/>
        </w:rPr>
        <w:t>ו</w:t>
      </w:r>
      <w:r w:rsidRPr="004D6941">
        <w:rPr>
          <w:rFonts w:ascii="FrankRuehl" w:hAnsi="FrankRuehl" w:cs="FrankRuehl"/>
          <w:sz w:val="26"/>
          <w:szCs w:val="26"/>
          <w:rtl/>
        </w:rPr>
        <w:t>ח אדם: אין</w:t>
      </w:r>
      <w:r>
        <w:rPr>
          <w:rFonts w:ascii="FrankRuehl" w:hAnsi="FrankRuehl" w:cs="FrankRuehl" w:hint="cs"/>
          <w:sz w:val="26"/>
          <w:szCs w:val="26"/>
          <w:rtl/>
        </w:rPr>
        <w:t>.</w:t>
      </w:r>
    </w:p>
    <w:p w14:paraId="5FE0D0D0" w14:textId="77777777" w:rsidR="004D6941" w:rsidRPr="00161010" w:rsidRDefault="004D6941" w:rsidP="004D6941">
      <w:pPr>
        <w:jc w:val="both"/>
        <w:rPr>
          <w:rFonts w:cs="FrankRuehl"/>
          <w:sz w:val="26"/>
          <w:szCs w:val="26"/>
          <w:rtl/>
        </w:rPr>
      </w:pPr>
    </w:p>
    <w:p w14:paraId="450ABFB2" w14:textId="77777777" w:rsidR="00CB133E" w:rsidRPr="00161010" w:rsidRDefault="00CB133E" w:rsidP="004D6941">
      <w:pPr>
        <w:jc w:val="both"/>
        <w:rPr>
          <w:rFonts w:cs="FrankRuehl"/>
          <w:sz w:val="26"/>
          <w:szCs w:val="26"/>
          <w:rtl/>
        </w:rPr>
      </w:pPr>
      <w:r w:rsidRPr="00161010">
        <w:rPr>
          <w:rFonts w:cs="FrankRuehl"/>
          <w:sz w:val="26"/>
          <w:szCs w:val="26"/>
          <w:rtl/>
        </w:rPr>
        <w:t>בשינוי זה אין שימוש ברזרבה כללית.</w:t>
      </w:r>
    </w:p>
    <w:p w14:paraId="4868E83B" w14:textId="77777777" w:rsidR="00CB133E" w:rsidRPr="00161010" w:rsidRDefault="00CB133E">
      <w:pPr>
        <w:rPr>
          <w:rFonts w:cs="FrankRuehl"/>
          <w:sz w:val="26"/>
          <w:szCs w:val="26"/>
          <w:rtl/>
        </w:rPr>
      </w:pPr>
    </w:p>
    <w:p w14:paraId="7BA1EDBB" w14:textId="77777777" w:rsidR="00CB133E" w:rsidRPr="00161010" w:rsidRDefault="00CB133E">
      <w:pPr>
        <w:rPr>
          <w:rFonts w:cs="FrankRuehl"/>
          <w:sz w:val="26"/>
          <w:szCs w:val="26"/>
          <w:rtl/>
        </w:rPr>
      </w:pPr>
    </w:p>
    <w:p w14:paraId="0E2A1805" w14:textId="77777777" w:rsidR="00CB133E" w:rsidRDefault="00CB133E">
      <w:pPr>
        <w:tabs>
          <w:tab w:val="center" w:pos="6867"/>
        </w:tabs>
        <w:rPr>
          <w:rFonts w:cs="FrankRuehl"/>
          <w:sz w:val="26"/>
          <w:szCs w:val="26"/>
          <w:rtl/>
        </w:rPr>
      </w:pPr>
      <w:r w:rsidRPr="00161010">
        <w:rPr>
          <w:rFonts w:cs="FrankRuehl"/>
          <w:sz w:val="26"/>
          <w:szCs w:val="26"/>
          <w:rtl/>
        </w:rPr>
        <w:tab/>
        <w:t>בכבוד רב,</w:t>
      </w:r>
    </w:p>
    <w:p w14:paraId="7FE83FAB" w14:textId="77777777" w:rsidR="00462897" w:rsidRDefault="00462897">
      <w:pPr>
        <w:tabs>
          <w:tab w:val="center" w:pos="6867"/>
        </w:tabs>
        <w:rPr>
          <w:rFonts w:cs="FrankRuehl"/>
          <w:sz w:val="26"/>
          <w:szCs w:val="26"/>
          <w:rtl/>
        </w:rPr>
      </w:pPr>
      <w:r>
        <w:rPr>
          <w:rFonts w:cs="FrankRuehl"/>
          <w:sz w:val="26"/>
          <w:szCs w:val="26"/>
          <w:rtl/>
        </w:rPr>
        <w:tab/>
      </w:r>
    </w:p>
    <w:p w14:paraId="0BDF8ABF" w14:textId="77777777" w:rsidR="00462897" w:rsidRPr="00161010" w:rsidRDefault="00462897">
      <w:pPr>
        <w:tabs>
          <w:tab w:val="center" w:pos="6867"/>
        </w:tabs>
        <w:rPr>
          <w:rFonts w:cs="FrankRuehl"/>
          <w:sz w:val="26"/>
          <w:szCs w:val="26"/>
        </w:rPr>
      </w:pPr>
      <w:r>
        <w:rPr>
          <w:rFonts w:cs="FrankRuehl"/>
          <w:sz w:val="26"/>
          <w:szCs w:val="26"/>
          <w:rtl/>
        </w:rPr>
        <w:tab/>
      </w:r>
      <w:bookmarkStart w:id="8" w:name="Sign_Image"/>
      <w:bookmarkEnd w:id="8"/>
    </w:p>
    <w:p w14:paraId="19DA6C2C" w14:textId="77777777" w:rsidR="00CB133E" w:rsidRPr="00161010" w:rsidRDefault="00CB133E">
      <w:pPr>
        <w:tabs>
          <w:tab w:val="center" w:pos="6867"/>
        </w:tabs>
        <w:rPr>
          <w:rFonts w:cs="FrankRuehl"/>
          <w:sz w:val="26"/>
          <w:szCs w:val="26"/>
          <w:rtl/>
        </w:rPr>
      </w:pPr>
      <w:r w:rsidRPr="00161010">
        <w:rPr>
          <w:rFonts w:cs="FrankRuehl"/>
          <w:sz w:val="26"/>
          <w:szCs w:val="26"/>
          <w:rtl/>
        </w:rPr>
        <w:tab/>
      </w:r>
    </w:p>
    <w:p w14:paraId="6B74A2F5" w14:textId="77777777" w:rsidR="00CB133E" w:rsidRPr="00161010" w:rsidRDefault="00CB133E">
      <w:pPr>
        <w:tabs>
          <w:tab w:val="center" w:pos="6867"/>
        </w:tabs>
        <w:rPr>
          <w:rFonts w:cs="FrankRuehl"/>
          <w:sz w:val="26"/>
          <w:szCs w:val="26"/>
          <w:rtl/>
        </w:rPr>
      </w:pPr>
      <w:r w:rsidRPr="00161010">
        <w:rPr>
          <w:rFonts w:cs="FrankRuehl"/>
          <w:sz w:val="26"/>
          <w:szCs w:val="26"/>
          <w:rtl/>
        </w:rPr>
        <w:tab/>
      </w:r>
    </w:p>
    <w:p w14:paraId="749C7C13" w14:textId="77777777" w:rsidR="00CB133E" w:rsidRPr="00161010" w:rsidRDefault="00CB133E" w:rsidP="00360BD3">
      <w:pPr>
        <w:tabs>
          <w:tab w:val="center" w:pos="6867"/>
        </w:tabs>
        <w:rPr>
          <w:rFonts w:cs="FrankRuehl"/>
          <w:sz w:val="26"/>
          <w:szCs w:val="26"/>
          <w:rtl/>
        </w:rPr>
      </w:pPr>
      <w:r w:rsidRPr="00161010">
        <w:rPr>
          <w:rFonts w:cs="FrankRuehl"/>
          <w:sz w:val="26"/>
          <w:szCs w:val="26"/>
          <w:rtl/>
        </w:rPr>
        <w:tab/>
      </w:r>
    </w:p>
    <w:p w14:paraId="3250D479" w14:textId="77777777" w:rsidR="00CB133E" w:rsidRPr="00161010" w:rsidRDefault="00CB133E">
      <w:pPr>
        <w:rPr>
          <w:rFonts w:cs="FrankRuehl"/>
          <w:sz w:val="26"/>
          <w:szCs w:val="26"/>
          <w:rtl/>
        </w:rPr>
      </w:pPr>
    </w:p>
    <w:p w14:paraId="61F3EB44" w14:textId="77777777" w:rsidR="00CB133E" w:rsidRPr="00161010" w:rsidRDefault="00CB133E">
      <w:pPr>
        <w:rPr>
          <w:rFonts w:cs="FrankRuehl"/>
          <w:sz w:val="26"/>
          <w:szCs w:val="26"/>
          <w:rtl/>
        </w:rPr>
      </w:pPr>
      <w:r w:rsidRPr="00161010">
        <w:rPr>
          <w:rFonts w:cs="FrankRuehl"/>
          <w:sz w:val="26"/>
          <w:szCs w:val="26"/>
          <w:rtl/>
        </w:rPr>
        <w:t>העתק:</w:t>
      </w:r>
    </w:p>
    <w:p w14:paraId="65956A37" w14:textId="77777777" w:rsidR="00CB133E" w:rsidRPr="00161010" w:rsidRDefault="00CB133E">
      <w:pPr>
        <w:rPr>
          <w:rFonts w:cs="FrankRuehl"/>
          <w:sz w:val="26"/>
          <w:szCs w:val="26"/>
          <w:rtl/>
        </w:rPr>
      </w:pPr>
      <w:r w:rsidRPr="00161010">
        <w:rPr>
          <w:rFonts w:cs="FrankRuehl"/>
          <w:sz w:val="26"/>
          <w:szCs w:val="26"/>
          <w:rtl/>
        </w:rPr>
        <w:t>החשב הכללי</w:t>
      </w:r>
    </w:p>
    <w:p w14:paraId="3018AA01" w14:textId="77777777" w:rsidR="00CB133E" w:rsidRPr="00161010" w:rsidRDefault="00CB133E">
      <w:pPr>
        <w:rPr>
          <w:rFonts w:cs="FrankRuehl"/>
          <w:sz w:val="26"/>
          <w:szCs w:val="26"/>
          <w:rtl/>
        </w:rPr>
      </w:pPr>
      <w:r w:rsidRPr="00161010">
        <w:rPr>
          <w:rFonts w:cs="FrankRuehl"/>
          <w:sz w:val="26"/>
          <w:szCs w:val="26"/>
          <w:rtl/>
        </w:rPr>
        <w:t>מבקר המדינה (2)</w:t>
      </w:r>
    </w:p>
    <w:p w14:paraId="5828513E" w14:textId="77777777" w:rsidR="00CA6239" w:rsidRDefault="00CA6239">
      <w:pPr>
        <w:rPr>
          <w:rFonts w:cs="FrankRuehl"/>
          <w:sz w:val="26"/>
          <w:szCs w:val="26"/>
          <w:rtl/>
        </w:rPr>
      </w:pPr>
      <w:bookmarkStart w:id="9" w:name="TAKZIV22"/>
      <w:r>
        <w:rPr>
          <w:rFonts w:cs="FrankRuehl"/>
          <w:sz w:val="26"/>
          <w:szCs w:val="26"/>
          <w:rtl/>
        </w:rPr>
        <w:t>חשב החשב הכללי</w:t>
      </w:r>
    </w:p>
    <w:p w14:paraId="3D3EC307" w14:textId="1DC19B8E" w:rsidR="00CB133E" w:rsidRPr="00161010" w:rsidRDefault="00CA6239">
      <w:pPr>
        <w:rPr>
          <w:rFonts w:cs="FrankRuehl"/>
          <w:sz w:val="26"/>
          <w:szCs w:val="26"/>
          <w:rtl/>
        </w:rPr>
      </w:pPr>
      <w:r>
        <w:rPr>
          <w:rFonts w:cs="FrankRuehl"/>
          <w:sz w:val="26"/>
          <w:szCs w:val="26"/>
          <w:rtl/>
        </w:rPr>
        <w:t>חשב נגב גליל ושת"פ אזורי</w:t>
      </w:r>
      <w:bookmarkEnd w:id="9"/>
    </w:p>
    <w:p w14:paraId="2BCCB524" w14:textId="54450294" w:rsidR="00CB133E" w:rsidRPr="00161010" w:rsidRDefault="00CB133E">
      <w:pPr>
        <w:rPr>
          <w:rFonts w:cs="FrankRuehl"/>
          <w:sz w:val="26"/>
          <w:szCs w:val="26"/>
          <w:rtl/>
        </w:rPr>
      </w:pPr>
      <w:r w:rsidRPr="00161010">
        <w:rPr>
          <w:rFonts w:cs="FrankRuehl"/>
          <w:sz w:val="26"/>
          <w:szCs w:val="26"/>
          <w:rtl/>
        </w:rPr>
        <w:t xml:space="preserve">קצין תקציבים </w:t>
      </w:r>
      <w:bookmarkStart w:id="10" w:name="TAKZIV6_1"/>
      <w:r w:rsidR="00CA6239">
        <w:rPr>
          <w:rFonts w:cs="FrankRuehl"/>
          <w:sz w:val="26"/>
          <w:szCs w:val="26"/>
          <w:rtl/>
        </w:rPr>
        <w:t>משרד ראש הממשלה</w:t>
      </w:r>
      <w:bookmarkEnd w:id="10"/>
    </w:p>
    <w:p w14:paraId="674DF87F" w14:textId="7680C9D8" w:rsidR="00CB133E" w:rsidRPr="00161010" w:rsidRDefault="00CB133E">
      <w:pPr>
        <w:rPr>
          <w:rFonts w:cs="FrankRuehl"/>
          <w:sz w:val="26"/>
          <w:szCs w:val="26"/>
          <w:rtl/>
        </w:rPr>
      </w:pPr>
      <w:r w:rsidRPr="00161010">
        <w:rPr>
          <w:rFonts w:cs="FrankRuehl"/>
          <w:sz w:val="26"/>
          <w:szCs w:val="26"/>
          <w:rtl/>
        </w:rPr>
        <w:t xml:space="preserve">רפרנט </w:t>
      </w:r>
      <w:bookmarkStart w:id="11" w:name="TAKZIV6_2"/>
      <w:r w:rsidR="00CA6239">
        <w:rPr>
          <w:rFonts w:cs="FrankRuehl"/>
          <w:sz w:val="26"/>
          <w:szCs w:val="26"/>
          <w:rtl/>
        </w:rPr>
        <w:t>משרד ראש הממשלה</w:t>
      </w:r>
      <w:bookmarkEnd w:id="11"/>
    </w:p>
    <w:p w14:paraId="354318D9" w14:textId="77777777" w:rsidR="00CB133E" w:rsidRPr="00161010" w:rsidRDefault="00CB133E">
      <w:pPr>
        <w:rPr>
          <w:rFonts w:cs="FrankRuehl"/>
          <w:sz w:val="26"/>
          <w:szCs w:val="26"/>
          <w:rtl/>
        </w:rPr>
      </w:pPr>
      <w:bookmarkStart w:id="12" w:name="TAKZIV23"/>
      <w:bookmarkEnd w:id="12"/>
    </w:p>
    <w:p w14:paraId="6A1D0835" w14:textId="4EE70324" w:rsidR="00CB133E" w:rsidRDefault="00CB133E">
      <w:pPr>
        <w:rPr>
          <w:rFonts w:cs="FrankRuehl"/>
          <w:sz w:val="26"/>
          <w:szCs w:val="26"/>
          <w:rtl/>
        </w:rPr>
      </w:pPr>
    </w:p>
    <w:p w14:paraId="0F706C40" w14:textId="66F58380" w:rsidR="004D6941" w:rsidRDefault="004D6941">
      <w:pPr>
        <w:rPr>
          <w:rFonts w:cs="FrankRuehl"/>
          <w:sz w:val="26"/>
          <w:szCs w:val="26"/>
          <w:rtl/>
        </w:rPr>
      </w:pPr>
    </w:p>
    <w:p w14:paraId="73C2C4CD" w14:textId="1204DD9E" w:rsidR="004D6941" w:rsidRDefault="004D6941">
      <w:pPr>
        <w:rPr>
          <w:rFonts w:cs="FrankRuehl"/>
          <w:sz w:val="26"/>
          <w:szCs w:val="26"/>
          <w:rtl/>
        </w:rPr>
      </w:pPr>
    </w:p>
    <w:p w14:paraId="5FB6B4AA" w14:textId="7F3DB56C" w:rsidR="004D6941" w:rsidRDefault="004D6941">
      <w:pPr>
        <w:rPr>
          <w:rFonts w:cs="FrankRuehl"/>
          <w:sz w:val="26"/>
          <w:szCs w:val="26"/>
          <w:rtl/>
        </w:rPr>
      </w:pPr>
    </w:p>
    <w:p w14:paraId="7D65DE00" w14:textId="4802AA40" w:rsidR="004D6941" w:rsidRDefault="004D6941">
      <w:pPr>
        <w:rPr>
          <w:rFonts w:cs="FrankRuehl"/>
          <w:sz w:val="26"/>
          <w:szCs w:val="26"/>
          <w:rtl/>
        </w:rPr>
      </w:pPr>
    </w:p>
    <w:p w14:paraId="294A23A8" w14:textId="1C46A5AC" w:rsidR="004D6941" w:rsidRDefault="004D6941">
      <w:pPr>
        <w:rPr>
          <w:rFonts w:cs="FrankRuehl"/>
          <w:sz w:val="26"/>
          <w:szCs w:val="26"/>
          <w:rtl/>
        </w:rPr>
      </w:pPr>
    </w:p>
    <w:p w14:paraId="5D4E6F74" w14:textId="2516A948" w:rsidR="004D6941" w:rsidRDefault="004D6941">
      <w:pPr>
        <w:rPr>
          <w:rFonts w:cs="FrankRuehl"/>
          <w:sz w:val="26"/>
          <w:szCs w:val="26"/>
          <w:rtl/>
        </w:rPr>
      </w:pPr>
    </w:p>
    <w:p w14:paraId="7168F776" w14:textId="62EA4E92" w:rsidR="004D6941" w:rsidRDefault="004D6941">
      <w:pPr>
        <w:rPr>
          <w:rFonts w:cs="FrankRuehl"/>
          <w:sz w:val="26"/>
          <w:szCs w:val="26"/>
          <w:rtl/>
        </w:rPr>
      </w:pPr>
    </w:p>
    <w:p w14:paraId="51D515AC" w14:textId="76AD5121" w:rsidR="004D6941" w:rsidRDefault="004D6941">
      <w:pPr>
        <w:rPr>
          <w:rFonts w:cs="FrankRuehl"/>
          <w:sz w:val="26"/>
          <w:szCs w:val="26"/>
          <w:rtl/>
        </w:rPr>
      </w:pPr>
    </w:p>
    <w:p w14:paraId="720E6389" w14:textId="2D0D650C" w:rsidR="004D6941" w:rsidRDefault="004D6941">
      <w:pPr>
        <w:rPr>
          <w:rFonts w:cs="FrankRuehl"/>
          <w:sz w:val="26"/>
          <w:szCs w:val="26"/>
          <w:rtl/>
        </w:rPr>
      </w:pPr>
    </w:p>
    <w:p w14:paraId="75EA54F3" w14:textId="39C9D514" w:rsidR="004D6941" w:rsidRDefault="004D6941">
      <w:pPr>
        <w:rPr>
          <w:rFonts w:cs="FrankRuehl"/>
          <w:sz w:val="26"/>
          <w:szCs w:val="26"/>
          <w:rtl/>
        </w:rPr>
      </w:pPr>
    </w:p>
    <w:p w14:paraId="0F004233" w14:textId="77777777" w:rsidR="004D6941" w:rsidRDefault="004D6941">
      <w:pPr>
        <w:rPr>
          <w:rFonts w:cs="FrankRuehl"/>
          <w:sz w:val="26"/>
          <w:szCs w:val="26"/>
          <w:rtl/>
        </w:rPr>
      </w:pPr>
    </w:p>
    <w:p w14:paraId="48AD6990" w14:textId="3FB7A79B" w:rsidR="004D6941" w:rsidRDefault="004D6941">
      <w:pPr>
        <w:rPr>
          <w:rFonts w:cs="FrankRuehl"/>
          <w:sz w:val="26"/>
          <w:szCs w:val="26"/>
          <w:rtl/>
        </w:rPr>
      </w:pPr>
    </w:p>
    <w:p w14:paraId="0ACACDA6" w14:textId="77777777" w:rsidR="004D6941" w:rsidRDefault="004D6941" w:rsidP="004D6941">
      <w:pPr>
        <w:jc w:val="center"/>
        <w:rPr>
          <w:rFonts w:cs="FrankRuehl"/>
          <w:b/>
          <w:bCs/>
          <w:sz w:val="26"/>
          <w:szCs w:val="26"/>
          <w:u w:val="single"/>
          <w:rtl/>
          <w:lang w:eastAsia="en-US"/>
        </w:rPr>
      </w:pPr>
      <w:r>
        <w:rPr>
          <w:rFonts w:cs="FrankRuehl"/>
          <w:b/>
          <w:bCs/>
          <w:sz w:val="26"/>
          <w:szCs w:val="26"/>
          <w:u w:val="single"/>
          <w:rtl/>
        </w:rPr>
        <w:lastRenderedPageBreak/>
        <w:t>נספח לדברי ההסבר</w:t>
      </w:r>
    </w:p>
    <w:p w14:paraId="21401AB8" w14:textId="77777777" w:rsidR="004D6941" w:rsidRDefault="004D6941" w:rsidP="004D6941">
      <w:pPr>
        <w:rPr>
          <w:rFonts w:cs="FrankRuehl"/>
          <w:b/>
          <w:bCs/>
          <w:sz w:val="26"/>
          <w:szCs w:val="26"/>
          <w:u w:val="single"/>
        </w:rPr>
      </w:pPr>
    </w:p>
    <w:p w14:paraId="334DCE46" w14:textId="77777777" w:rsidR="004D6941" w:rsidRDefault="004D6941" w:rsidP="004D6941">
      <w:pPr>
        <w:jc w:val="center"/>
        <w:rPr>
          <w:rFonts w:cs="FrankRuehl"/>
          <w:b/>
          <w:bCs/>
          <w:sz w:val="26"/>
          <w:szCs w:val="26"/>
        </w:rPr>
      </w:pPr>
      <w:r>
        <w:rPr>
          <w:rFonts w:cs="FrankRuehl"/>
          <w:b/>
          <w:bCs/>
          <w:sz w:val="26"/>
          <w:szCs w:val="26"/>
          <w:rtl/>
        </w:rPr>
        <w:t>היסטוריה תקציבית של הפנייה</w:t>
      </w:r>
    </w:p>
    <w:p w14:paraId="4AEF2D91" w14:textId="77777777" w:rsidR="004D6941" w:rsidRDefault="004D6941" w:rsidP="004D6941">
      <w:pPr>
        <w:rPr>
          <w:rFonts w:cs="FrankRuehl"/>
          <w:sz w:val="26"/>
          <w:szCs w:val="26"/>
          <w:rtl/>
        </w:rPr>
      </w:pPr>
    </w:p>
    <w:tbl>
      <w:tblPr>
        <w:tblW w:w="5000" w:type="pct"/>
        <w:tblLook w:val="04A0" w:firstRow="1" w:lastRow="0" w:firstColumn="1" w:lastColumn="0" w:noHBand="0" w:noVBand="1"/>
      </w:tblPr>
      <w:tblGrid>
        <w:gridCol w:w="941"/>
        <w:gridCol w:w="1175"/>
        <w:gridCol w:w="921"/>
        <w:gridCol w:w="945"/>
        <w:gridCol w:w="814"/>
        <w:gridCol w:w="939"/>
        <w:gridCol w:w="921"/>
        <w:gridCol w:w="946"/>
        <w:gridCol w:w="921"/>
      </w:tblGrid>
      <w:tr w:rsidR="004D6941" w14:paraId="717ABF29" w14:textId="77777777" w:rsidTr="004D6941">
        <w:trPr>
          <w:trHeight w:val="624"/>
        </w:trPr>
        <w:tc>
          <w:tcPr>
            <w:tcW w:w="574" w:type="pct"/>
            <w:tcBorders>
              <w:top w:val="single" w:sz="4" w:space="0" w:color="979991"/>
              <w:left w:val="single" w:sz="4" w:space="0" w:color="979991"/>
              <w:bottom w:val="nil"/>
              <w:right w:val="nil"/>
            </w:tcBorders>
            <w:shd w:val="clear" w:color="auto" w:fill="F0F4FA"/>
            <w:vAlign w:val="center"/>
            <w:hideMark/>
          </w:tcPr>
          <w:p w14:paraId="54B40138" w14:textId="77777777" w:rsidR="004D6941" w:rsidRDefault="004D6941" w:rsidP="00B778FA">
            <w:pPr>
              <w:jc w:val="center"/>
              <w:rPr>
                <w:rFonts w:ascii="FrankRuehl" w:hAnsi="FrankRuehl" w:cs="FrankRuehl"/>
                <w:b/>
                <w:bCs/>
                <w:color w:val="000000"/>
                <w:sz w:val="26"/>
                <w:szCs w:val="26"/>
                <w:rtl/>
                <w:lang w:eastAsia="en-US"/>
              </w:rPr>
            </w:pPr>
            <w:r>
              <w:rPr>
                <w:rFonts w:ascii="FrankRuehl" w:hAnsi="FrankRuehl" w:cs="FrankRuehl"/>
                <w:b/>
                <w:bCs/>
                <w:color w:val="000000"/>
                <w:sz w:val="26"/>
                <w:szCs w:val="26"/>
                <w:rtl/>
              </w:rPr>
              <w:t>קוד תוכנית</w:t>
            </w:r>
          </w:p>
        </w:tc>
        <w:tc>
          <w:tcPr>
            <w:tcW w:w="711" w:type="pct"/>
            <w:tcBorders>
              <w:top w:val="single" w:sz="4" w:space="0" w:color="979991"/>
              <w:left w:val="single" w:sz="4" w:space="0" w:color="979991"/>
              <w:bottom w:val="single" w:sz="4" w:space="0" w:color="979991"/>
              <w:right w:val="nil"/>
            </w:tcBorders>
            <w:shd w:val="clear" w:color="auto" w:fill="F0F4FA"/>
            <w:vAlign w:val="center"/>
            <w:hideMark/>
          </w:tcPr>
          <w:p w14:paraId="189FB09D" w14:textId="77777777" w:rsidR="004D6941" w:rsidRDefault="004D6941" w:rsidP="00B778FA">
            <w:pPr>
              <w:jc w:val="center"/>
              <w:rPr>
                <w:rFonts w:ascii="FrankRuehl" w:hAnsi="FrankRuehl" w:cs="FrankRuehl"/>
                <w:b/>
                <w:bCs/>
                <w:color w:val="000000"/>
                <w:sz w:val="26"/>
                <w:szCs w:val="26"/>
              </w:rPr>
            </w:pPr>
            <w:r>
              <w:rPr>
                <w:rFonts w:ascii="FrankRuehl" w:hAnsi="FrankRuehl" w:cs="FrankRuehl"/>
                <w:b/>
                <w:bCs/>
                <w:color w:val="000000"/>
                <w:sz w:val="26"/>
                <w:szCs w:val="26"/>
                <w:rtl/>
              </w:rPr>
              <w:t>השינוי התקציב המוצע בפנייה הוצאות נטו</w:t>
            </w:r>
          </w:p>
        </w:tc>
        <w:tc>
          <w:tcPr>
            <w:tcW w:w="498" w:type="pct"/>
            <w:tcBorders>
              <w:top w:val="single" w:sz="4" w:space="0" w:color="979991"/>
              <w:left w:val="single" w:sz="4" w:space="0" w:color="979991"/>
              <w:bottom w:val="single" w:sz="4" w:space="0" w:color="979991"/>
              <w:right w:val="nil"/>
            </w:tcBorders>
            <w:shd w:val="clear" w:color="auto" w:fill="F0F4FA"/>
            <w:vAlign w:val="center"/>
            <w:hideMark/>
          </w:tcPr>
          <w:p w14:paraId="414746C2" w14:textId="77777777" w:rsidR="004D6941" w:rsidRDefault="004D6941" w:rsidP="00B778FA">
            <w:pPr>
              <w:jc w:val="center"/>
              <w:rPr>
                <w:rFonts w:ascii="FrankRuehl" w:hAnsi="FrankRuehl" w:cs="FrankRuehl"/>
                <w:b/>
                <w:bCs/>
                <w:color w:val="000000"/>
                <w:sz w:val="26"/>
                <w:szCs w:val="26"/>
                <w:rtl/>
              </w:rPr>
            </w:pPr>
            <w:r>
              <w:rPr>
                <w:rFonts w:ascii="FrankRuehl" w:hAnsi="FrankRuehl" w:cs="FrankRuehl"/>
                <w:b/>
                <w:bCs/>
                <w:color w:val="000000"/>
                <w:sz w:val="26"/>
                <w:szCs w:val="26"/>
                <w:rtl/>
              </w:rPr>
              <w:t>מקורי 2026</w:t>
            </w:r>
          </w:p>
        </w:tc>
        <w:tc>
          <w:tcPr>
            <w:tcW w:w="576" w:type="pct"/>
            <w:tcBorders>
              <w:top w:val="single" w:sz="4" w:space="0" w:color="979991"/>
              <w:left w:val="single" w:sz="4" w:space="0" w:color="979991"/>
              <w:bottom w:val="single" w:sz="4" w:space="0" w:color="979991"/>
              <w:right w:val="nil"/>
            </w:tcBorders>
            <w:shd w:val="clear" w:color="auto" w:fill="F0F4FA"/>
            <w:vAlign w:val="center"/>
            <w:hideMark/>
          </w:tcPr>
          <w:p w14:paraId="66726481" w14:textId="77777777" w:rsidR="004D6941" w:rsidRDefault="004D6941" w:rsidP="00B778FA">
            <w:pPr>
              <w:jc w:val="center"/>
              <w:rPr>
                <w:rFonts w:ascii="FrankRuehl" w:hAnsi="FrankRuehl" w:cs="FrankRuehl"/>
                <w:b/>
                <w:bCs/>
                <w:color w:val="000000"/>
                <w:sz w:val="26"/>
                <w:szCs w:val="26"/>
                <w:rtl/>
              </w:rPr>
            </w:pPr>
            <w:r>
              <w:rPr>
                <w:rFonts w:ascii="FrankRuehl" w:hAnsi="FrankRuehl" w:cs="FrankRuehl"/>
                <w:b/>
                <w:bCs/>
                <w:color w:val="000000"/>
                <w:sz w:val="26"/>
                <w:szCs w:val="26"/>
                <w:rtl/>
              </w:rPr>
              <w:t xml:space="preserve">מאושר 2025 בניכוי עודפים שעברו ב-2025 </w:t>
            </w:r>
          </w:p>
        </w:tc>
        <w:tc>
          <w:tcPr>
            <w:tcW w:w="496" w:type="pct"/>
            <w:tcBorders>
              <w:top w:val="single" w:sz="4" w:space="0" w:color="979991"/>
              <w:left w:val="single" w:sz="4" w:space="0" w:color="979991"/>
              <w:bottom w:val="single" w:sz="4" w:space="0" w:color="979991"/>
              <w:right w:val="nil"/>
            </w:tcBorders>
            <w:shd w:val="clear" w:color="auto" w:fill="F0F4FA"/>
            <w:vAlign w:val="center"/>
            <w:hideMark/>
          </w:tcPr>
          <w:p w14:paraId="4D869582" w14:textId="77777777" w:rsidR="004D6941" w:rsidRDefault="004D6941" w:rsidP="00B778FA">
            <w:pPr>
              <w:jc w:val="center"/>
              <w:rPr>
                <w:rFonts w:ascii="FrankRuehl" w:hAnsi="FrankRuehl" w:cs="FrankRuehl"/>
                <w:b/>
                <w:bCs/>
                <w:color w:val="000000"/>
                <w:sz w:val="26"/>
                <w:szCs w:val="26"/>
                <w:rtl/>
              </w:rPr>
            </w:pPr>
            <w:r>
              <w:rPr>
                <w:rFonts w:ascii="FrankRuehl" w:hAnsi="FrankRuehl" w:cs="FrankRuehl"/>
                <w:b/>
                <w:bCs/>
                <w:color w:val="000000"/>
                <w:sz w:val="26"/>
                <w:szCs w:val="26"/>
                <w:rtl/>
              </w:rPr>
              <w:t>מקורי 2025</w:t>
            </w:r>
          </w:p>
        </w:tc>
        <w:tc>
          <w:tcPr>
            <w:tcW w:w="576" w:type="pct"/>
            <w:tcBorders>
              <w:top w:val="single" w:sz="4" w:space="0" w:color="979991"/>
              <w:left w:val="single" w:sz="4" w:space="0" w:color="979991"/>
              <w:bottom w:val="single" w:sz="4" w:space="0" w:color="979991"/>
              <w:right w:val="nil"/>
            </w:tcBorders>
            <w:shd w:val="clear" w:color="auto" w:fill="F0F4FA"/>
            <w:vAlign w:val="center"/>
            <w:hideMark/>
          </w:tcPr>
          <w:p w14:paraId="3F22849A" w14:textId="77777777" w:rsidR="004D6941" w:rsidRDefault="004D6941" w:rsidP="00B778FA">
            <w:pPr>
              <w:jc w:val="center"/>
              <w:rPr>
                <w:rFonts w:ascii="FrankRuehl" w:hAnsi="FrankRuehl" w:cs="FrankRuehl"/>
                <w:b/>
                <w:bCs/>
                <w:color w:val="000000"/>
                <w:sz w:val="26"/>
                <w:szCs w:val="26"/>
                <w:rtl/>
              </w:rPr>
            </w:pPr>
            <w:r>
              <w:rPr>
                <w:rFonts w:ascii="FrankRuehl" w:hAnsi="FrankRuehl" w:cs="FrankRuehl"/>
                <w:b/>
                <w:bCs/>
                <w:color w:val="000000"/>
                <w:sz w:val="26"/>
                <w:szCs w:val="26"/>
                <w:rtl/>
              </w:rPr>
              <w:t>מאושר 2024 בניכוי עודפים שעברו ב-2024</w:t>
            </w:r>
          </w:p>
        </w:tc>
        <w:tc>
          <w:tcPr>
            <w:tcW w:w="498" w:type="pct"/>
            <w:tcBorders>
              <w:top w:val="single" w:sz="4" w:space="0" w:color="979991"/>
              <w:left w:val="single" w:sz="4" w:space="0" w:color="979991"/>
              <w:bottom w:val="single" w:sz="4" w:space="0" w:color="979991"/>
              <w:right w:val="nil"/>
            </w:tcBorders>
            <w:shd w:val="clear" w:color="auto" w:fill="F0F4FA"/>
            <w:vAlign w:val="center"/>
            <w:hideMark/>
          </w:tcPr>
          <w:p w14:paraId="2A45E2C3" w14:textId="77777777" w:rsidR="004D6941" w:rsidRDefault="004D6941" w:rsidP="00B778FA">
            <w:pPr>
              <w:jc w:val="center"/>
              <w:rPr>
                <w:rFonts w:ascii="FrankRuehl" w:hAnsi="FrankRuehl" w:cs="FrankRuehl"/>
                <w:b/>
                <w:bCs/>
                <w:color w:val="000000"/>
                <w:sz w:val="26"/>
                <w:szCs w:val="26"/>
                <w:rtl/>
              </w:rPr>
            </w:pPr>
            <w:r>
              <w:rPr>
                <w:rFonts w:ascii="FrankRuehl" w:hAnsi="FrankRuehl" w:cs="FrankRuehl"/>
                <w:b/>
                <w:bCs/>
                <w:color w:val="000000"/>
                <w:sz w:val="26"/>
                <w:szCs w:val="26"/>
                <w:rtl/>
              </w:rPr>
              <w:t>מקורי 2024</w:t>
            </w:r>
          </w:p>
        </w:tc>
        <w:tc>
          <w:tcPr>
            <w:tcW w:w="576" w:type="pct"/>
            <w:tcBorders>
              <w:top w:val="single" w:sz="4" w:space="0" w:color="979991"/>
              <w:left w:val="single" w:sz="4" w:space="0" w:color="979991"/>
              <w:bottom w:val="single" w:sz="4" w:space="0" w:color="979991"/>
              <w:right w:val="nil"/>
            </w:tcBorders>
            <w:shd w:val="clear" w:color="auto" w:fill="F0F4FA"/>
            <w:vAlign w:val="center"/>
            <w:hideMark/>
          </w:tcPr>
          <w:p w14:paraId="56190C02" w14:textId="77777777" w:rsidR="004D6941" w:rsidRDefault="004D6941" w:rsidP="00B778FA">
            <w:pPr>
              <w:jc w:val="center"/>
              <w:rPr>
                <w:rFonts w:ascii="FrankRuehl" w:hAnsi="FrankRuehl" w:cs="FrankRuehl"/>
                <w:b/>
                <w:bCs/>
                <w:color w:val="000000"/>
                <w:sz w:val="26"/>
                <w:szCs w:val="26"/>
                <w:rtl/>
              </w:rPr>
            </w:pPr>
            <w:r>
              <w:rPr>
                <w:rFonts w:ascii="FrankRuehl" w:hAnsi="FrankRuehl" w:cs="FrankRuehl"/>
                <w:b/>
                <w:bCs/>
                <w:color w:val="000000"/>
                <w:sz w:val="26"/>
                <w:szCs w:val="26"/>
                <w:rtl/>
              </w:rPr>
              <w:t>מאושר 2023 בניכוי עודפים שעברו ב-2023</w:t>
            </w:r>
          </w:p>
        </w:tc>
        <w:tc>
          <w:tcPr>
            <w:tcW w:w="496" w:type="pct"/>
            <w:tcBorders>
              <w:top w:val="single" w:sz="4" w:space="0" w:color="979991"/>
              <w:left w:val="single" w:sz="4" w:space="0" w:color="979991"/>
              <w:bottom w:val="single" w:sz="4" w:space="0" w:color="979991"/>
              <w:right w:val="single" w:sz="4" w:space="0" w:color="979991"/>
            </w:tcBorders>
            <w:shd w:val="clear" w:color="auto" w:fill="F0F4FA"/>
            <w:vAlign w:val="center"/>
            <w:hideMark/>
          </w:tcPr>
          <w:p w14:paraId="19EE9946" w14:textId="77777777" w:rsidR="004D6941" w:rsidRDefault="004D6941" w:rsidP="00B778FA">
            <w:pPr>
              <w:jc w:val="center"/>
              <w:rPr>
                <w:rFonts w:ascii="FrankRuehl" w:hAnsi="FrankRuehl" w:cs="FrankRuehl"/>
                <w:b/>
                <w:bCs/>
                <w:color w:val="000000"/>
                <w:sz w:val="26"/>
                <w:szCs w:val="26"/>
                <w:rtl/>
              </w:rPr>
            </w:pPr>
            <w:r>
              <w:rPr>
                <w:rFonts w:ascii="FrankRuehl" w:hAnsi="FrankRuehl" w:cs="FrankRuehl"/>
                <w:b/>
                <w:bCs/>
                <w:color w:val="000000"/>
                <w:sz w:val="26"/>
                <w:szCs w:val="26"/>
                <w:rtl/>
              </w:rPr>
              <w:t>מקורי 2023</w:t>
            </w:r>
          </w:p>
        </w:tc>
      </w:tr>
      <w:tr w:rsidR="004D6941" w14:paraId="79B5E4BF" w14:textId="77777777" w:rsidTr="004D6941">
        <w:trPr>
          <w:trHeight w:val="277"/>
        </w:trPr>
        <w:tc>
          <w:tcPr>
            <w:tcW w:w="574" w:type="pct"/>
            <w:tcBorders>
              <w:top w:val="single" w:sz="4" w:space="0" w:color="979991"/>
              <w:left w:val="single" w:sz="4" w:space="0" w:color="979991"/>
              <w:bottom w:val="single" w:sz="4" w:space="0" w:color="979991"/>
              <w:right w:val="nil"/>
            </w:tcBorders>
            <w:shd w:val="clear" w:color="auto" w:fill="F0F4FA"/>
            <w:vAlign w:val="center"/>
            <w:hideMark/>
          </w:tcPr>
          <w:p w14:paraId="0D047299" w14:textId="77777777" w:rsidR="004D6941" w:rsidRDefault="004D6941" w:rsidP="00B778FA">
            <w:pPr>
              <w:bidi w:val="0"/>
              <w:jc w:val="center"/>
              <w:rPr>
                <w:rFonts w:ascii="FrankRuehl" w:hAnsi="FrankRuehl" w:cs="FrankRuehl"/>
                <w:color w:val="000000"/>
                <w:sz w:val="26"/>
                <w:szCs w:val="26"/>
                <w:rtl/>
              </w:rPr>
            </w:pPr>
            <w:r>
              <w:rPr>
                <w:rFonts w:ascii="FrankRuehl" w:hAnsi="FrankRuehl" w:cs="FrankRuehl"/>
                <w:color w:val="000000"/>
                <w:sz w:val="26"/>
                <w:szCs w:val="26"/>
              </w:rPr>
              <w:t>830304</w:t>
            </w:r>
          </w:p>
        </w:tc>
        <w:tc>
          <w:tcPr>
            <w:tcW w:w="711" w:type="pct"/>
            <w:tcBorders>
              <w:top w:val="nil"/>
              <w:left w:val="single" w:sz="4" w:space="0" w:color="979991"/>
              <w:bottom w:val="single" w:sz="4" w:space="0" w:color="979991"/>
              <w:right w:val="nil"/>
            </w:tcBorders>
            <w:shd w:val="clear" w:color="auto" w:fill="FFFFFF"/>
            <w:vAlign w:val="center"/>
            <w:hideMark/>
          </w:tcPr>
          <w:p w14:paraId="7EACFDDE" w14:textId="77777777" w:rsidR="004D6941" w:rsidRDefault="004D6941" w:rsidP="00B778FA">
            <w:pPr>
              <w:bidi w:val="0"/>
              <w:jc w:val="center"/>
              <w:rPr>
                <w:rFonts w:ascii="FrankRuehl" w:hAnsi="FrankRuehl" w:cs="FrankRuehl"/>
                <w:color w:val="000000"/>
                <w:sz w:val="26"/>
                <w:szCs w:val="26"/>
                <w:rtl/>
              </w:rPr>
            </w:pPr>
            <w:r>
              <w:rPr>
                <w:rFonts w:ascii="FrankRuehl" w:hAnsi="FrankRuehl" w:cs="FrankRuehl"/>
                <w:color w:val="000000"/>
                <w:sz w:val="26"/>
                <w:szCs w:val="26"/>
              </w:rPr>
              <w:t>11,000</w:t>
            </w:r>
          </w:p>
        </w:tc>
        <w:tc>
          <w:tcPr>
            <w:tcW w:w="498" w:type="pct"/>
            <w:tcBorders>
              <w:top w:val="nil"/>
              <w:left w:val="single" w:sz="4" w:space="0" w:color="979991"/>
              <w:bottom w:val="single" w:sz="4" w:space="0" w:color="979991"/>
              <w:right w:val="nil"/>
            </w:tcBorders>
            <w:shd w:val="clear" w:color="auto" w:fill="FFFFFF"/>
            <w:vAlign w:val="center"/>
            <w:hideMark/>
          </w:tcPr>
          <w:p w14:paraId="4D9426E2" w14:textId="77777777" w:rsidR="004D6941" w:rsidRDefault="004D6941" w:rsidP="00B778FA">
            <w:pPr>
              <w:bidi w:val="0"/>
              <w:jc w:val="center"/>
              <w:rPr>
                <w:rFonts w:ascii="FrankRuehl" w:hAnsi="FrankRuehl" w:cs="FrankRuehl"/>
                <w:color w:val="000000"/>
                <w:sz w:val="26"/>
                <w:szCs w:val="26"/>
              </w:rPr>
            </w:pPr>
            <w:r>
              <w:rPr>
                <w:rFonts w:ascii="FrankRuehl" w:hAnsi="FrankRuehl" w:cs="FrankRuehl"/>
                <w:color w:val="000000"/>
                <w:sz w:val="26"/>
                <w:szCs w:val="26"/>
              </w:rPr>
              <w:t>262,746</w:t>
            </w:r>
          </w:p>
        </w:tc>
        <w:tc>
          <w:tcPr>
            <w:tcW w:w="576" w:type="pct"/>
            <w:tcBorders>
              <w:top w:val="nil"/>
              <w:left w:val="single" w:sz="4" w:space="0" w:color="979991"/>
              <w:bottom w:val="single" w:sz="4" w:space="0" w:color="979991"/>
              <w:right w:val="nil"/>
            </w:tcBorders>
            <w:shd w:val="clear" w:color="auto" w:fill="FFFFFF"/>
            <w:vAlign w:val="center"/>
            <w:hideMark/>
          </w:tcPr>
          <w:p w14:paraId="47A4820B" w14:textId="77777777" w:rsidR="004D6941" w:rsidRDefault="004D6941" w:rsidP="00B778FA">
            <w:pPr>
              <w:bidi w:val="0"/>
              <w:jc w:val="center"/>
              <w:rPr>
                <w:rFonts w:ascii="FrankRuehl" w:hAnsi="FrankRuehl" w:cs="FrankRuehl"/>
                <w:color w:val="000000"/>
                <w:sz w:val="26"/>
                <w:szCs w:val="26"/>
              </w:rPr>
            </w:pPr>
            <w:r>
              <w:rPr>
                <w:rFonts w:ascii="FrankRuehl" w:hAnsi="FrankRuehl" w:cs="FrankRuehl"/>
                <w:color w:val="000000"/>
                <w:sz w:val="26"/>
                <w:szCs w:val="26"/>
              </w:rPr>
              <w:t>168,002</w:t>
            </w:r>
          </w:p>
        </w:tc>
        <w:tc>
          <w:tcPr>
            <w:tcW w:w="496" w:type="pct"/>
            <w:tcBorders>
              <w:top w:val="nil"/>
              <w:left w:val="single" w:sz="4" w:space="0" w:color="979991"/>
              <w:bottom w:val="single" w:sz="4" w:space="0" w:color="979991"/>
              <w:right w:val="nil"/>
            </w:tcBorders>
            <w:shd w:val="clear" w:color="auto" w:fill="FFFFFF"/>
            <w:vAlign w:val="center"/>
            <w:hideMark/>
          </w:tcPr>
          <w:p w14:paraId="0D1DC6F3" w14:textId="77777777" w:rsidR="004D6941" w:rsidRDefault="004D6941" w:rsidP="00B778FA">
            <w:pPr>
              <w:bidi w:val="0"/>
              <w:jc w:val="center"/>
              <w:rPr>
                <w:rFonts w:ascii="FrankRuehl" w:hAnsi="FrankRuehl" w:cs="FrankRuehl"/>
                <w:color w:val="000000"/>
                <w:sz w:val="26"/>
                <w:szCs w:val="26"/>
              </w:rPr>
            </w:pPr>
            <w:r>
              <w:rPr>
                <w:rFonts w:ascii="FrankRuehl" w:hAnsi="FrankRuehl" w:cs="FrankRuehl"/>
                <w:color w:val="000000"/>
                <w:sz w:val="26"/>
                <w:szCs w:val="26"/>
              </w:rPr>
              <w:t>94,362</w:t>
            </w:r>
          </w:p>
        </w:tc>
        <w:tc>
          <w:tcPr>
            <w:tcW w:w="576" w:type="pct"/>
            <w:tcBorders>
              <w:top w:val="nil"/>
              <w:left w:val="single" w:sz="4" w:space="0" w:color="979991"/>
              <w:bottom w:val="single" w:sz="4" w:space="0" w:color="979991"/>
              <w:right w:val="nil"/>
            </w:tcBorders>
            <w:shd w:val="clear" w:color="auto" w:fill="FFFFFF"/>
            <w:vAlign w:val="center"/>
            <w:hideMark/>
          </w:tcPr>
          <w:p w14:paraId="4A6621C8" w14:textId="77777777" w:rsidR="004D6941" w:rsidRDefault="004D6941" w:rsidP="00B778FA">
            <w:pPr>
              <w:bidi w:val="0"/>
              <w:jc w:val="center"/>
              <w:rPr>
                <w:rFonts w:ascii="FrankRuehl" w:hAnsi="FrankRuehl" w:cs="FrankRuehl"/>
                <w:color w:val="000000"/>
                <w:sz w:val="26"/>
                <w:szCs w:val="26"/>
              </w:rPr>
            </w:pPr>
            <w:r>
              <w:rPr>
                <w:rFonts w:ascii="FrankRuehl" w:hAnsi="FrankRuehl" w:cs="FrankRuehl"/>
                <w:color w:val="000000"/>
                <w:sz w:val="26"/>
                <w:szCs w:val="26"/>
              </w:rPr>
              <w:t>165,399</w:t>
            </w:r>
          </w:p>
        </w:tc>
        <w:tc>
          <w:tcPr>
            <w:tcW w:w="498" w:type="pct"/>
            <w:tcBorders>
              <w:top w:val="nil"/>
              <w:left w:val="single" w:sz="4" w:space="0" w:color="979991"/>
              <w:bottom w:val="single" w:sz="4" w:space="0" w:color="979991"/>
              <w:right w:val="nil"/>
            </w:tcBorders>
            <w:shd w:val="clear" w:color="auto" w:fill="FFFFFF"/>
            <w:vAlign w:val="center"/>
            <w:hideMark/>
          </w:tcPr>
          <w:p w14:paraId="4B2AD6C3" w14:textId="77777777" w:rsidR="004D6941" w:rsidRDefault="004D6941" w:rsidP="00B778FA">
            <w:pPr>
              <w:bidi w:val="0"/>
              <w:jc w:val="center"/>
              <w:rPr>
                <w:rFonts w:ascii="FrankRuehl" w:hAnsi="FrankRuehl" w:cs="FrankRuehl"/>
                <w:color w:val="000000"/>
                <w:sz w:val="26"/>
                <w:szCs w:val="26"/>
              </w:rPr>
            </w:pPr>
            <w:r>
              <w:rPr>
                <w:rFonts w:ascii="FrankRuehl" w:hAnsi="FrankRuehl" w:cs="FrankRuehl"/>
                <w:color w:val="000000"/>
                <w:sz w:val="26"/>
                <w:szCs w:val="26"/>
              </w:rPr>
              <w:t>118,435</w:t>
            </w:r>
          </w:p>
        </w:tc>
        <w:tc>
          <w:tcPr>
            <w:tcW w:w="576" w:type="pct"/>
            <w:tcBorders>
              <w:top w:val="nil"/>
              <w:left w:val="single" w:sz="4" w:space="0" w:color="979991"/>
              <w:bottom w:val="single" w:sz="4" w:space="0" w:color="979991"/>
              <w:right w:val="nil"/>
            </w:tcBorders>
            <w:shd w:val="clear" w:color="auto" w:fill="FFFFFF"/>
            <w:vAlign w:val="center"/>
            <w:hideMark/>
          </w:tcPr>
          <w:p w14:paraId="457DE044" w14:textId="77777777" w:rsidR="004D6941" w:rsidRDefault="004D6941" w:rsidP="00B778FA">
            <w:pPr>
              <w:bidi w:val="0"/>
              <w:jc w:val="center"/>
              <w:rPr>
                <w:rFonts w:ascii="FrankRuehl" w:hAnsi="FrankRuehl" w:cs="FrankRuehl"/>
                <w:color w:val="000000"/>
                <w:sz w:val="26"/>
                <w:szCs w:val="26"/>
              </w:rPr>
            </w:pPr>
            <w:r>
              <w:rPr>
                <w:rFonts w:ascii="FrankRuehl" w:hAnsi="FrankRuehl" w:cs="FrankRuehl"/>
                <w:color w:val="000000"/>
                <w:sz w:val="26"/>
                <w:szCs w:val="26"/>
              </w:rPr>
              <w:t>257,143</w:t>
            </w:r>
          </w:p>
        </w:tc>
        <w:tc>
          <w:tcPr>
            <w:tcW w:w="496" w:type="pct"/>
            <w:tcBorders>
              <w:top w:val="nil"/>
              <w:left w:val="single" w:sz="4" w:space="0" w:color="979991"/>
              <w:bottom w:val="single" w:sz="4" w:space="0" w:color="979991"/>
              <w:right w:val="single" w:sz="4" w:space="0" w:color="979991"/>
            </w:tcBorders>
            <w:shd w:val="clear" w:color="auto" w:fill="FFFFFF"/>
            <w:vAlign w:val="center"/>
            <w:hideMark/>
          </w:tcPr>
          <w:p w14:paraId="091159FD" w14:textId="77777777" w:rsidR="004D6941" w:rsidRDefault="004D6941" w:rsidP="00B778FA">
            <w:pPr>
              <w:bidi w:val="0"/>
              <w:jc w:val="center"/>
              <w:rPr>
                <w:rFonts w:ascii="FrankRuehl" w:hAnsi="FrankRuehl" w:cs="FrankRuehl"/>
                <w:color w:val="000000"/>
                <w:sz w:val="26"/>
                <w:szCs w:val="26"/>
              </w:rPr>
            </w:pPr>
            <w:r>
              <w:rPr>
                <w:rFonts w:ascii="FrankRuehl" w:hAnsi="FrankRuehl" w:cs="FrankRuehl"/>
                <w:color w:val="000000"/>
                <w:sz w:val="26"/>
                <w:szCs w:val="26"/>
              </w:rPr>
              <w:t>140,155</w:t>
            </w:r>
          </w:p>
        </w:tc>
      </w:tr>
    </w:tbl>
    <w:p w14:paraId="5215692C" w14:textId="77777777" w:rsidR="004D6941" w:rsidRDefault="004D6941" w:rsidP="004D6941">
      <w:pPr>
        <w:rPr>
          <w:rFonts w:ascii="FrankRuehl" w:hAnsi="FrankRuehl" w:cs="FrankRuehl"/>
          <w:sz w:val="26"/>
          <w:szCs w:val="26"/>
        </w:rPr>
      </w:pPr>
    </w:p>
    <w:p w14:paraId="6F704AA1" w14:textId="77777777" w:rsidR="004D6941" w:rsidRDefault="004D6941" w:rsidP="004D6941">
      <w:pPr>
        <w:rPr>
          <w:rFonts w:cs="FrankRuehl"/>
          <w:sz w:val="26"/>
          <w:szCs w:val="26"/>
          <w:rtl/>
        </w:rPr>
      </w:pPr>
    </w:p>
    <w:tbl>
      <w:tblPr>
        <w:tblW w:w="5000" w:type="pct"/>
        <w:tblLook w:val="04A0" w:firstRow="1" w:lastRow="0" w:firstColumn="1" w:lastColumn="0" w:noHBand="0" w:noVBand="1"/>
      </w:tblPr>
      <w:tblGrid>
        <w:gridCol w:w="1071"/>
        <w:gridCol w:w="1071"/>
        <w:gridCol w:w="922"/>
        <w:gridCol w:w="922"/>
        <w:gridCol w:w="922"/>
        <w:gridCol w:w="922"/>
        <w:gridCol w:w="922"/>
        <w:gridCol w:w="922"/>
        <w:gridCol w:w="849"/>
      </w:tblGrid>
      <w:tr w:rsidR="004D6941" w14:paraId="343967AD" w14:textId="77777777" w:rsidTr="004D6941">
        <w:trPr>
          <w:trHeight w:val="330"/>
        </w:trPr>
        <w:tc>
          <w:tcPr>
            <w:tcW w:w="4502" w:type="pct"/>
            <w:gridSpan w:val="8"/>
            <w:vAlign w:val="center"/>
            <w:hideMark/>
          </w:tcPr>
          <w:p w14:paraId="41EBE95D" w14:textId="77777777" w:rsidR="004D6941" w:rsidRDefault="004D6941" w:rsidP="00B778FA">
            <w:pPr>
              <w:jc w:val="center"/>
              <w:rPr>
                <w:rFonts w:ascii="FrankRuehl" w:hAnsi="FrankRuehl" w:cs="FrankRuehl"/>
                <w:b/>
                <w:bCs/>
                <w:color w:val="000000"/>
                <w:sz w:val="26"/>
                <w:szCs w:val="26"/>
                <w:rtl/>
                <w:lang w:eastAsia="en-US"/>
              </w:rPr>
            </w:pPr>
            <w:r>
              <w:rPr>
                <w:rFonts w:ascii="FrankRuehl" w:hAnsi="FrankRuehl" w:cs="FrankRuehl"/>
                <w:b/>
                <w:bCs/>
                <w:color w:val="000000"/>
                <w:sz w:val="26"/>
                <w:szCs w:val="26"/>
                <w:rtl/>
              </w:rPr>
              <w:t>היסטוריה תקציבית של הפנייה - הרשאה להתחייב</w:t>
            </w:r>
          </w:p>
        </w:tc>
        <w:tc>
          <w:tcPr>
            <w:tcW w:w="498" w:type="pct"/>
            <w:noWrap/>
            <w:vAlign w:val="bottom"/>
            <w:hideMark/>
          </w:tcPr>
          <w:p w14:paraId="12647DC3" w14:textId="77777777" w:rsidR="004D6941" w:rsidRDefault="004D6941" w:rsidP="00B778FA">
            <w:pPr>
              <w:rPr>
                <w:rFonts w:ascii="FrankRuehl" w:hAnsi="FrankRuehl" w:cs="FrankRuehl"/>
                <w:b/>
                <w:bCs/>
                <w:color w:val="000000"/>
                <w:sz w:val="26"/>
                <w:szCs w:val="26"/>
              </w:rPr>
            </w:pPr>
          </w:p>
        </w:tc>
      </w:tr>
      <w:tr w:rsidR="004D6941" w14:paraId="7920C7AA" w14:textId="77777777" w:rsidTr="004D6941">
        <w:trPr>
          <w:trHeight w:val="330"/>
        </w:trPr>
        <w:tc>
          <w:tcPr>
            <w:tcW w:w="628" w:type="pct"/>
            <w:vAlign w:val="center"/>
            <w:hideMark/>
          </w:tcPr>
          <w:p w14:paraId="194B166A" w14:textId="77777777" w:rsidR="004D6941" w:rsidRDefault="004D6941" w:rsidP="00B778FA">
            <w:pPr>
              <w:bidi w:val="0"/>
              <w:rPr>
                <w:rFonts w:ascii="Calibri" w:hAnsi="Calibri" w:cs="Arial"/>
                <w:szCs w:val="20"/>
              </w:rPr>
            </w:pPr>
          </w:p>
        </w:tc>
        <w:tc>
          <w:tcPr>
            <w:tcW w:w="628" w:type="pct"/>
            <w:noWrap/>
            <w:vAlign w:val="bottom"/>
            <w:hideMark/>
          </w:tcPr>
          <w:p w14:paraId="70A7ADAE" w14:textId="77777777" w:rsidR="004D6941" w:rsidRDefault="004D6941" w:rsidP="00B778FA">
            <w:pPr>
              <w:bidi w:val="0"/>
              <w:rPr>
                <w:rFonts w:ascii="Calibri" w:hAnsi="Calibri" w:cs="Arial"/>
                <w:szCs w:val="20"/>
              </w:rPr>
            </w:pPr>
          </w:p>
        </w:tc>
        <w:tc>
          <w:tcPr>
            <w:tcW w:w="541" w:type="pct"/>
            <w:noWrap/>
            <w:vAlign w:val="bottom"/>
            <w:hideMark/>
          </w:tcPr>
          <w:p w14:paraId="6BBEEFDC" w14:textId="77777777" w:rsidR="004D6941" w:rsidRDefault="004D6941" w:rsidP="00B778FA">
            <w:pPr>
              <w:bidi w:val="0"/>
              <w:rPr>
                <w:rFonts w:ascii="Calibri" w:hAnsi="Calibri" w:cs="Arial"/>
                <w:szCs w:val="20"/>
              </w:rPr>
            </w:pPr>
          </w:p>
        </w:tc>
        <w:tc>
          <w:tcPr>
            <w:tcW w:w="541" w:type="pct"/>
            <w:noWrap/>
            <w:vAlign w:val="bottom"/>
            <w:hideMark/>
          </w:tcPr>
          <w:p w14:paraId="1704AA4F" w14:textId="77777777" w:rsidR="004D6941" w:rsidRDefault="004D6941" w:rsidP="00B778FA">
            <w:pPr>
              <w:bidi w:val="0"/>
              <w:rPr>
                <w:rFonts w:ascii="Calibri" w:hAnsi="Calibri" w:cs="Arial"/>
                <w:szCs w:val="20"/>
              </w:rPr>
            </w:pPr>
          </w:p>
        </w:tc>
        <w:tc>
          <w:tcPr>
            <w:tcW w:w="541" w:type="pct"/>
            <w:noWrap/>
            <w:vAlign w:val="bottom"/>
            <w:hideMark/>
          </w:tcPr>
          <w:p w14:paraId="29065505" w14:textId="77777777" w:rsidR="004D6941" w:rsidRDefault="004D6941" w:rsidP="00B778FA">
            <w:pPr>
              <w:bidi w:val="0"/>
              <w:rPr>
                <w:rFonts w:ascii="Calibri" w:hAnsi="Calibri" w:cs="Arial"/>
                <w:szCs w:val="20"/>
              </w:rPr>
            </w:pPr>
          </w:p>
        </w:tc>
        <w:tc>
          <w:tcPr>
            <w:tcW w:w="541" w:type="pct"/>
            <w:noWrap/>
            <w:vAlign w:val="bottom"/>
            <w:hideMark/>
          </w:tcPr>
          <w:p w14:paraId="72F85CC2" w14:textId="77777777" w:rsidR="004D6941" w:rsidRDefault="004D6941" w:rsidP="00B778FA">
            <w:pPr>
              <w:bidi w:val="0"/>
              <w:rPr>
                <w:rFonts w:ascii="Calibri" w:hAnsi="Calibri" w:cs="Arial"/>
                <w:szCs w:val="20"/>
              </w:rPr>
            </w:pPr>
          </w:p>
        </w:tc>
        <w:tc>
          <w:tcPr>
            <w:tcW w:w="541" w:type="pct"/>
            <w:noWrap/>
            <w:vAlign w:val="bottom"/>
            <w:hideMark/>
          </w:tcPr>
          <w:p w14:paraId="3D0B644E" w14:textId="77777777" w:rsidR="004D6941" w:rsidRDefault="004D6941" w:rsidP="00B778FA">
            <w:pPr>
              <w:bidi w:val="0"/>
              <w:rPr>
                <w:rFonts w:ascii="Calibri" w:hAnsi="Calibri" w:cs="Arial"/>
                <w:szCs w:val="20"/>
              </w:rPr>
            </w:pPr>
          </w:p>
        </w:tc>
        <w:tc>
          <w:tcPr>
            <w:tcW w:w="541" w:type="pct"/>
            <w:noWrap/>
            <w:vAlign w:val="bottom"/>
            <w:hideMark/>
          </w:tcPr>
          <w:p w14:paraId="7913D87A" w14:textId="77777777" w:rsidR="004D6941" w:rsidRDefault="004D6941" w:rsidP="00B778FA">
            <w:pPr>
              <w:bidi w:val="0"/>
              <w:rPr>
                <w:rFonts w:ascii="Calibri" w:hAnsi="Calibri" w:cs="Arial"/>
                <w:szCs w:val="20"/>
              </w:rPr>
            </w:pPr>
          </w:p>
        </w:tc>
        <w:tc>
          <w:tcPr>
            <w:tcW w:w="498" w:type="pct"/>
            <w:noWrap/>
            <w:vAlign w:val="bottom"/>
            <w:hideMark/>
          </w:tcPr>
          <w:p w14:paraId="0964BFDA" w14:textId="77777777" w:rsidR="004D6941" w:rsidRDefault="004D6941" w:rsidP="00B778FA">
            <w:pPr>
              <w:bidi w:val="0"/>
              <w:rPr>
                <w:rFonts w:ascii="Calibri" w:hAnsi="Calibri" w:cs="Arial"/>
                <w:szCs w:val="20"/>
              </w:rPr>
            </w:pPr>
          </w:p>
        </w:tc>
      </w:tr>
      <w:tr w:rsidR="004D6941" w14:paraId="4F3F57C0" w14:textId="77777777" w:rsidTr="004D6941">
        <w:trPr>
          <w:trHeight w:val="990"/>
        </w:trPr>
        <w:tc>
          <w:tcPr>
            <w:tcW w:w="628" w:type="pct"/>
            <w:tcBorders>
              <w:top w:val="single" w:sz="4" w:space="0" w:color="979991"/>
              <w:left w:val="single" w:sz="4" w:space="0" w:color="979991"/>
              <w:bottom w:val="nil"/>
              <w:right w:val="nil"/>
            </w:tcBorders>
            <w:shd w:val="clear" w:color="auto" w:fill="F0F4FA"/>
            <w:vAlign w:val="center"/>
            <w:hideMark/>
          </w:tcPr>
          <w:p w14:paraId="7998AACF" w14:textId="77777777" w:rsidR="004D6941" w:rsidRDefault="004D6941" w:rsidP="00B778FA">
            <w:pPr>
              <w:jc w:val="center"/>
              <w:rPr>
                <w:rFonts w:ascii="FrankRuehl" w:hAnsi="FrankRuehl" w:cs="FrankRuehl"/>
                <w:b/>
                <w:bCs/>
                <w:color w:val="000000"/>
                <w:sz w:val="26"/>
                <w:szCs w:val="26"/>
              </w:rPr>
            </w:pPr>
            <w:r>
              <w:rPr>
                <w:rFonts w:ascii="FrankRuehl" w:hAnsi="FrankRuehl" w:cs="FrankRuehl"/>
                <w:b/>
                <w:bCs/>
                <w:color w:val="000000"/>
                <w:sz w:val="26"/>
                <w:szCs w:val="26"/>
                <w:rtl/>
              </w:rPr>
              <w:t>קוד תוכנית</w:t>
            </w:r>
          </w:p>
        </w:tc>
        <w:tc>
          <w:tcPr>
            <w:tcW w:w="628" w:type="pct"/>
            <w:tcBorders>
              <w:top w:val="single" w:sz="4" w:space="0" w:color="979991"/>
              <w:left w:val="single" w:sz="4" w:space="0" w:color="979991"/>
              <w:bottom w:val="single" w:sz="4" w:space="0" w:color="979991"/>
              <w:right w:val="nil"/>
            </w:tcBorders>
            <w:shd w:val="clear" w:color="auto" w:fill="F0F4FA"/>
            <w:vAlign w:val="center"/>
            <w:hideMark/>
          </w:tcPr>
          <w:p w14:paraId="70DDB052" w14:textId="77777777" w:rsidR="004D6941" w:rsidRDefault="004D6941" w:rsidP="00B778FA">
            <w:pPr>
              <w:jc w:val="center"/>
              <w:rPr>
                <w:rFonts w:ascii="FrankRuehl" w:hAnsi="FrankRuehl" w:cs="FrankRuehl"/>
                <w:b/>
                <w:bCs/>
                <w:color w:val="000000"/>
                <w:sz w:val="26"/>
                <w:szCs w:val="26"/>
              </w:rPr>
            </w:pPr>
            <w:r>
              <w:rPr>
                <w:rFonts w:ascii="FrankRuehl" w:hAnsi="FrankRuehl" w:cs="FrankRuehl"/>
                <w:b/>
                <w:bCs/>
                <w:color w:val="000000"/>
                <w:sz w:val="26"/>
                <w:szCs w:val="26"/>
                <w:rtl/>
              </w:rPr>
              <w:t>השינוי המוצע בפניה זו</w:t>
            </w:r>
          </w:p>
        </w:tc>
        <w:tc>
          <w:tcPr>
            <w:tcW w:w="541" w:type="pct"/>
            <w:tcBorders>
              <w:top w:val="single" w:sz="4" w:space="0" w:color="979991"/>
              <w:left w:val="single" w:sz="4" w:space="0" w:color="979991"/>
              <w:bottom w:val="single" w:sz="4" w:space="0" w:color="979991"/>
              <w:right w:val="nil"/>
            </w:tcBorders>
            <w:shd w:val="clear" w:color="auto" w:fill="F0F4FA"/>
            <w:vAlign w:val="center"/>
            <w:hideMark/>
          </w:tcPr>
          <w:p w14:paraId="03C23400" w14:textId="77777777" w:rsidR="004D6941" w:rsidRDefault="004D6941" w:rsidP="00B778FA">
            <w:pPr>
              <w:jc w:val="center"/>
              <w:rPr>
                <w:rFonts w:ascii="FrankRuehl" w:hAnsi="FrankRuehl" w:cs="FrankRuehl"/>
                <w:b/>
                <w:bCs/>
                <w:color w:val="000000"/>
                <w:sz w:val="26"/>
                <w:szCs w:val="26"/>
                <w:rtl/>
              </w:rPr>
            </w:pPr>
            <w:r>
              <w:rPr>
                <w:rFonts w:ascii="FrankRuehl" w:hAnsi="FrankRuehl" w:cs="FrankRuehl"/>
                <w:b/>
                <w:bCs/>
                <w:color w:val="000000"/>
                <w:sz w:val="26"/>
                <w:szCs w:val="26"/>
                <w:rtl/>
              </w:rPr>
              <w:t>תקציב 2026</w:t>
            </w:r>
          </w:p>
        </w:tc>
        <w:tc>
          <w:tcPr>
            <w:tcW w:w="541" w:type="pct"/>
            <w:tcBorders>
              <w:top w:val="single" w:sz="4" w:space="0" w:color="979991"/>
              <w:left w:val="single" w:sz="4" w:space="0" w:color="979991"/>
              <w:bottom w:val="single" w:sz="4" w:space="0" w:color="979991"/>
              <w:right w:val="nil"/>
            </w:tcBorders>
            <w:shd w:val="clear" w:color="auto" w:fill="F0F4FA"/>
            <w:vAlign w:val="center"/>
            <w:hideMark/>
          </w:tcPr>
          <w:p w14:paraId="4C51A15E" w14:textId="77777777" w:rsidR="004D6941" w:rsidRDefault="004D6941" w:rsidP="00B778FA">
            <w:pPr>
              <w:jc w:val="center"/>
              <w:rPr>
                <w:rFonts w:ascii="FrankRuehl" w:hAnsi="FrankRuehl" w:cs="FrankRuehl"/>
                <w:b/>
                <w:bCs/>
                <w:color w:val="000000"/>
                <w:sz w:val="26"/>
                <w:szCs w:val="26"/>
                <w:rtl/>
              </w:rPr>
            </w:pPr>
            <w:r>
              <w:rPr>
                <w:rFonts w:ascii="FrankRuehl" w:hAnsi="FrankRuehl" w:cs="FrankRuehl"/>
                <w:b/>
                <w:bCs/>
                <w:color w:val="000000"/>
                <w:sz w:val="26"/>
                <w:szCs w:val="26"/>
                <w:rtl/>
              </w:rPr>
              <w:t>מאושר 2025</w:t>
            </w:r>
          </w:p>
        </w:tc>
        <w:tc>
          <w:tcPr>
            <w:tcW w:w="541" w:type="pct"/>
            <w:tcBorders>
              <w:top w:val="single" w:sz="4" w:space="0" w:color="979991"/>
              <w:left w:val="single" w:sz="4" w:space="0" w:color="979991"/>
              <w:bottom w:val="single" w:sz="4" w:space="0" w:color="979991"/>
              <w:right w:val="nil"/>
            </w:tcBorders>
            <w:shd w:val="clear" w:color="auto" w:fill="F0F4FA"/>
            <w:vAlign w:val="center"/>
            <w:hideMark/>
          </w:tcPr>
          <w:p w14:paraId="72A863EB" w14:textId="77777777" w:rsidR="004D6941" w:rsidRDefault="004D6941" w:rsidP="00B778FA">
            <w:pPr>
              <w:jc w:val="center"/>
              <w:rPr>
                <w:rFonts w:ascii="FrankRuehl" w:hAnsi="FrankRuehl" w:cs="FrankRuehl"/>
                <w:b/>
                <w:bCs/>
                <w:color w:val="000000"/>
                <w:sz w:val="26"/>
                <w:szCs w:val="26"/>
                <w:rtl/>
              </w:rPr>
            </w:pPr>
            <w:r>
              <w:rPr>
                <w:rFonts w:ascii="FrankRuehl" w:hAnsi="FrankRuehl" w:cs="FrankRuehl"/>
                <w:b/>
                <w:bCs/>
                <w:color w:val="000000"/>
                <w:sz w:val="26"/>
                <w:szCs w:val="26"/>
                <w:rtl/>
              </w:rPr>
              <w:t>מקורי 2025</w:t>
            </w:r>
          </w:p>
        </w:tc>
        <w:tc>
          <w:tcPr>
            <w:tcW w:w="541" w:type="pct"/>
            <w:tcBorders>
              <w:top w:val="single" w:sz="4" w:space="0" w:color="979991"/>
              <w:left w:val="single" w:sz="4" w:space="0" w:color="979991"/>
              <w:bottom w:val="single" w:sz="4" w:space="0" w:color="979991"/>
              <w:right w:val="nil"/>
            </w:tcBorders>
            <w:shd w:val="clear" w:color="auto" w:fill="F0F4FA"/>
            <w:vAlign w:val="center"/>
            <w:hideMark/>
          </w:tcPr>
          <w:p w14:paraId="410E273B" w14:textId="77777777" w:rsidR="004D6941" w:rsidRDefault="004D6941" w:rsidP="00B778FA">
            <w:pPr>
              <w:jc w:val="center"/>
              <w:rPr>
                <w:rFonts w:ascii="FrankRuehl" w:hAnsi="FrankRuehl" w:cs="FrankRuehl"/>
                <w:b/>
                <w:bCs/>
                <w:color w:val="000000"/>
                <w:sz w:val="26"/>
                <w:szCs w:val="26"/>
                <w:rtl/>
              </w:rPr>
            </w:pPr>
            <w:r>
              <w:rPr>
                <w:rFonts w:ascii="FrankRuehl" w:hAnsi="FrankRuehl" w:cs="FrankRuehl"/>
                <w:b/>
                <w:bCs/>
                <w:color w:val="000000"/>
                <w:sz w:val="26"/>
                <w:szCs w:val="26"/>
                <w:rtl/>
              </w:rPr>
              <w:t>מאושר 2024</w:t>
            </w:r>
          </w:p>
        </w:tc>
        <w:tc>
          <w:tcPr>
            <w:tcW w:w="541" w:type="pct"/>
            <w:tcBorders>
              <w:top w:val="single" w:sz="4" w:space="0" w:color="979991"/>
              <w:left w:val="single" w:sz="4" w:space="0" w:color="979991"/>
              <w:bottom w:val="single" w:sz="4" w:space="0" w:color="979991"/>
              <w:right w:val="nil"/>
            </w:tcBorders>
            <w:shd w:val="clear" w:color="auto" w:fill="F0F4FA"/>
            <w:vAlign w:val="center"/>
            <w:hideMark/>
          </w:tcPr>
          <w:p w14:paraId="5703DBD2" w14:textId="77777777" w:rsidR="004D6941" w:rsidRDefault="004D6941" w:rsidP="00B778FA">
            <w:pPr>
              <w:jc w:val="center"/>
              <w:rPr>
                <w:rFonts w:ascii="FrankRuehl" w:hAnsi="FrankRuehl" w:cs="FrankRuehl"/>
                <w:b/>
                <w:bCs/>
                <w:color w:val="000000"/>
                <w:sz w:val="26"/>
                <w:szCs w:val="26"/>
                <w:rtl/>
              </w:rPr>
            </w:pPr>
            <w:r>
              <w:rPr>
                <w:rFonts w:ascii="FrankRuehl" w:hAnsi="FrankRuehl" w:cs="FrankRuehl"/>
                <w:b/>
                <w:bCs/>
                <w:color w:val="000000"/>
                <w:sz w:val="26"/>
                <w:szCs w:val="26"/>
                <w:rtl/>
              </w:rPr>
              <w:t>מקורי 2024</w:t>
            </w:r>
          </w:p>
        </w:tc>
        <w:tc>
          <w:tcPr>
            <w:tcW w:w="541" w:type="pct"/>
            <w:tcBorders>
              <w:top w:val="single" w:sz="4" w:space="0" w:color="979991"/>
              <w:left w:val="single" w:sz="4" w:space="0" w:color="979991"/>
              <w:bottom w:val="single" w:sz="4" w:space="0" w:color="979991"/>
              <w:right w:val="nil"/>
            </w:tcBorders>
            <w:shd w:val="clear" w:color="auto" w:fill="F0F4FA"/>
            <w:vAlign w:val="center"/>
            <w:hideMark/>
          </w:tcPr>
          <w:p w14:paraId="4A14FBE1" w14:textId="77777777" w:rsidR="004D6941" w:rsidRDefault="004D6941" w:rsidP="00B778FA">
            <w:pPr>
              <w:jc w:val="center"/>
              <w:rPr>
                <w:rFonts w:ascii="FrankRuehl" w:hAnsi="FrankRuehl" w:cs="FrankRuehl"/>
                <w:b/>
                <w:bCs/>
                <w:color w:val="000000"/>
                <w:sz w:val="26"/>
                <w:szCs w:val="26"/>
                <w:rtl/>
              </w:rPr>
            </w:pPr>
            <w:r>
              <w:rPr>
                <w:rFonts w:ascii="FrankRuehl" w:hAnsi="FrankRuehl" w:cs="FrankRuehl"/>
                <w:b/>
                <w:bCs/>
                <w:color w:val="000000"/>
                <w:sz w:val="26"/>
                <w:szCs w:val="26"/>
                <w:rtl/>
              </w:rPr>
              <w:t>מאושר 2023</w:t>
            </w:r>
          </w:p>
        </w:tc>
        <w:tc>
          <w:tcPr>
            <w:tcW w:w="498" w:type="pct"/>
            <w:tcBorders>
              <w:top w:val="single" w:sz="4" w:space="0" w:color="979991"/>
              <w:left w:val="single" w:sz="4" w:space="0" w:color="979991"/>
              <w:bottom w:val="single" w:sz="4" w:space="0" w:color="979991"/>
              <w:right w:val="single" w:sz="4" w:space="0" w:color="979991"/>
            </w:tcBorders>
            <w:shd w:val="clear" w:color="auto" w:fill="F0F4FA"/>
            <w:vAlign w:val="center"/>
            <w:hideMark/>
          </w:tcPr>
          <w:p w14:paraId="220FB27E" w14:textId="77777777" w:rsidR="004D6941" w:rsidRDefault="004D6941" w:rsidP="00B778FA">
            <w:pPr>
              <w:jc w:val="center"/>
              <w:rPr>
                <w:rFonts w:ascii="FrankRuehl" w:hAnsi="FrankRuehl" w:cs="FrankRuehl"/>
                <w:b/>
                <w:bCs/>
                <w:color w:val="000000"/>
                <w:sz w:val="26"/>
                <w:szCs w:val="26"/>
                <w:rtl/>
              </w:rPr>
            </w:pPr>
            <w:r>
              <w:rPr>
                <w:rFonts w:ascii="FrankRuehl" w:hAnsi="FrankRuehl" w:cs="FrankRuehl"/>
                <w:b/>
                <w:bCs/>
                <w:color w:val="000000"/>
                <w:sz w:val="26"/>
                <w:szCs w:val="26"/>
                <w:rtl/>
              </w:rPr>
              <w:t>מקורי 2023</w:t>
            </w:r>
          </w:p>
        </w:tc>
      </w:tr>
      <w:tr w:rsidR="004D6941" w14:paraId="4734AD2B" w14:textId="77777777" w:rsidTr="004D6941">
        <w:trPr>
          <w:trHeight w:val="330"/>
        </w:trPr>
        <w:tc>
          <w:tcPr>
            <w:tcW w:w="628" w:type="pct"/>
            <w:tcBorders>
              <w:top w:val="single" w:sz="4" w:space="0" w:color="979991"/>
              <w:left w:val="single" w:sz="4" w:space="0" w:color="979991"/>
              <w:bottom w:val="single" w:sz="4" w:space="0" w:color="979991"/>
              <w:right w:val="nil"/>
            </w:tcBorders>
            <w:shd w:val="clear" w:color="auto" w:fill="F0F4FA"/>
            <w:vAlign w:val="center"/>
            <w:hideMark/>
          </w:tcPr>
          <w:p w14:paraId="4C1641A2" w14:textId="77777777" w:rsidR="004D6941" w:rsidRDefault="004D6941" w:rsidP="00B778FA">
            <w:pPr>
              <w:bidi w:val="0"/>
              <w:jc w:val="center"/>
              <w:rPr>
                <w:rFonts w:ascii="FrankRuehl" w:hAnsi="FrankRuehl" w:cs="FrankRuehl"/>
                <w:color w:val="000000"/>
                <w:sz w:val="26"/>
                <w:szCs w:val="26"/>
                <w:rtl/>
              </w:rPr>
            </w:pPr>
            <w:r>
              <w:rPr>
                <w:rFonts w:ascii="FrankRuehl" w:hAnsi="FrankRuehl" w:cs="FrankRuehl"/>
                <w:color w:val="000000"/>
                <w:sz w:val="26"/>
                <w:szCs w:val="26"/>
              </w:rPr>
              <w:t>830304</w:t>
            </w:r>
          </w:p>
        </w:tc>
        <w:tc>
          <w:tcPr>
            <w:tcW w:w="628" w:type="pct"/>
            <w:tcBorders>
              <w:top w:val="nil"/>
              <w:left w:val="single" w:sz="4" w:space="0" w:color="979991"/>
              <w:bottom w:val="single" w:sz="4" w:space="0" w:color="979991"/>
              <w:right w:val="nil"/>
            </w:tcBorders>
            <w:shd w:val="clear" w:color="auto" w:fill="FFFFFF"/>
            <w:vAlign w:val="center"/>
            <w:hideMark/>
          </w:tcPr>
          <w:p w14:paraId="0CE0B860" w14:textId="77777777" w:rsidR="004D6941" w:rsidRDefault="004D6941" w:rsidP="00B778FA">
            <w:pPr>
              <w:bidi w:val="0"/>
              <w:jc w:val="center"/>
              <w:rPr>
                <w:rFonts w:ascii="FrankRuehl" w:hAnsi="FrankRuehl" w:cs="FrankRuehl"/>
                <w:color w:val="000000"/>
                <w:sz w:val="26"/>
                <w:szCs w:val="26"/>
                <w:rtl/>
              </w:rPr>
            </w:pPr>
            <w:r>
              <w:rPr>
                <w:rFonts w:ascii="FrankRuehl" w:hAnsi="FrankRuehl" w:cs="FrankRuehl"/>
                <w:color w:val="000000"/>
                <w:sz w:val="26"/>
                <w:szCs w:val="26"/>
              </w:rPr>
              <w:t>39,130</w:t>
            </w:r>
          </w:p>
        </w:tc>
        <w:tc>
          <w:tcPr>
            <w:tcW w:w="541" w:type="pct"/>
            <w:tcBorders>
              <w:top w:val="nil"/>
              <w:left w:val="single" w:sz="4" w:space="0" w:color="979991"/>
              <w:bottom w:val="single" w:sz="4" w:space="0" w:color="979991"/>
              <w:right w:val="nil"/>
            </w:tcBorders>
            <w:shd w:val="clear" w:color="auto" w:fill="FFFFFF"/>
            <w:vAlign w:val="center"/>
            <w:hideMark/>
          </w:tcPr>
          <w:p w14:paraId="240DEA28" w14:textId="77777777" w:rsidR="004D6941" w:rsidRDefault="004D6941" w:rsidP="00B778FA">
            <w:pPr>
              <w:bidi w:val="0"/>
              <w:jc w:val="center"/>
              <w:rPr>
                <w:rFonts w:ascii="FrankRuehl" w:hAnsi="FrankRuehl" w:cs="FrankRuehl"/>
                <w:color w:val="000000"/>
                <w:sz w:val="26"/>
                <w:szCs w:val="26"/>
              </w:rPr>
            </w:pPr>
            <w:r>
              <w:rPr>
                <w:rFonts w:ascii="FrankRuehl" w:hAnsi="FrankRuehl" w:cs="FrankRuehl"/>
                <w:color w:val="000000"/>
                <w:sz w:val="26"/>
                <w:szCs w:val="26"/>
              </w:rPr>
              <w:t>217,742</w:t>
            </w:r>
          </w:p>
        </w:tc>
        <w:tc>
          <w:tcPr>
            <w:tcW w:w="541" w:type="pct"/>
            <w:tcBorders>
              <w:top w:val="nil"/>
              <w:left w:val="single" w:sz="4" w:space="0" w:color="979991"/>
              <w:bottom w:val="single" w:sz="4" w:space="0" w:color="979991"/>
              <w:right w:val="nil"/>
            </w:tcBorders>
            <w:shd w:val="clear" w:color="auto" w:fill="FFFFFF"/>
            <w:vAlign w:val="center"/>
            <w:hideMark/>
          </w:tcPr>
          <w:p w14:paraId="44DCCB9C" w14:textId="77777777" w:rsidR="004D6941" w:rsidRDefault="004D6941" w:rsidP="00B778FA">
            <w:pPr>
              <w:bidi w:val="0"/>
              <w:jc w:val="center"/>
              <w:rPr>
                <w:rFonts w:ascii="FrankRuehl" w:hAnsi="FrankRuehl" w:cs="FrankRuehl"/>
                <w:color w:val="000000"/>
                <w:sz w:val="26"/>
                <w:szCs w:val="26"/>
              </w:rPr>
            </w:pPr>
            <w:r>
              <w:rPr>
                <w:rFonts w:ascii="FrankRuehl" w:hAnsi="FrankRuehl" w:cs="FrankRuehl"/>
                <w:color w:val="000000"/>
                <w:sz w:val="26"/>
                <w:szCs w:val="26"/>
              </w:rPr>
              <w:t>371,675</w:t>
            </w:r>
          </w:p>
        </w:tc>
        <w:tc>
          <w:tcPr>
            <w:tcW w:w="541" w:type="pct"/>
            <w:tcBorders>
              <w:top w:val="nil"/>
              <w:left w:val="single" w:sz="4" w:space="0" w:color="979991"/>
              <w:bottom w:val="single" w:sz="4" w:space="0" w:color="979991"/>
              <w:right w:val="nil"/>
            </w:tcBorders>
            <w:shd w:val="clear" w:color="auto" w:fill="FFFFFF"/>
            <w:vAlign w:val="center"/>
            <w:hideMark/>
          </w:tcPr>
          <w:p w14:paraId="657BF9A9" w14:textId="77777777" w:rsidR="004D6941" w:rsidRDefault="004D6941" w:rsidP="00B778FA">
            <w:pPr>
              <w:bidi w:val="0"/>
              <w:jc w:val="center"/>
              <w:rPr>
                <w:rFonts w:ascii="FrankRuehl" w:hAnsi="FrankRuehl" w:cs="FrankRuehl"/>
                <w:color w:val="000000"/>
                <w:sz w:val="26"/>
                <w:szCs w:val="26"/>
              </w:rPr>
            </w:pPr>
            <w:r>
              <w:rPr>
                <w:rFonts w:ascii="FrankRuehl" w:hAnsi="FrankRuehl" w:cs="FrankRuehl"/>
                <w:color w:val="000000"/>
                <w:sz w:val="26"/>
                <w:szCs w:val="26"/>
              </w:rPr>
              <w:t>91,578</w:t>
            </w:r>
          </w:p>
        </w:tc>
        <w:tc>
          <w:tcPr>
            <w:tcW w:w="541" w:type="pct"/>
            <w:tcBorders>
              <w:top w:val="nil"/>
              <w:left w:val="single" w:sz="4" w:space="0" w:color="979991"/>
              <w:bottom w:val="single" w:sz="4" w:space="0" w:color="979991"/>
              <w:right w:val="nil"/>
            </w:tcBorders>
            <w:shd w:val="clear" w:color="auto" w:fill="FFFFFF"/>
            <w:vAlign w:val="center"/>
            <w:hideMark/>
          </w:tcPr>
          <w:p w14:paraId="6025A800" w14:textId="77777777" w:rsidR="004D6941" w:rsidRDefault="004D6941" w:rsidP="00B778FA">
            <w:pPr>
              <w:bidi w:val="0"/>
              <w:jc w:val="center"/>
              <w:rPr>
                <w:rFonts w:ascii="FrankRuehl" w:hAnsi="FrankRuehl" w:cs="FrankRuehl"/>
                <w:color w:val="000000"/>
                <w:sz w:val="26"/>
                <w:szCs w:val="26"/>
              </w:rPr>
            </w:pPr>
            <w:r>
              <w:rPr>
                <w:rFonts w:ascii="FrankRuehl" w:hAnsi="FrankRuehl" w:cs="FrankRuehl"/>
                <w:color w:val="000000"/>
                <w:sz w:val="26"/>
                <w:szCs w:val="26"/>
              </w:rPr>
              <w:t>264,570</w:t>
            </w:r>
          </w:p>
        </w:tc>
        <w:tc>
          <w:tcPr>
            <w:tcW w:w="541" w:type="pct"/>
            <w:tcBorders>
              <w:top w:val="nil"/>
              <w:left w:val="single" w:sz="4" w:space="0" w:color="979991"/>
              <w:bottom w:val="single" w:sz="4" w:space="0" w:color="979991"/>
              <w:right w:val="nil"/>
            </w:tcBorders>
            <w:shd w:val="clear" w:color="auto" w:fill="FFFFFF"/>
            <w:vAlign w:val="center"/>
            <w:hideMark/>
          </w:tcPr>
          <w:p w14:paraId="1FAAFF83" w14:textId="77777777" w:rsidR="004D6941" w:rsidRDefault="004D6941" w:rsidP="00B778FA">
            <w:pPr>
              <w:bidi w:val="0"/>
              <w:jc w:val="center"/>
              <w:rPr>
                <w:rFonts w:ascii="FrankRuehl" w:hAnsi="FrankRuehl" w:cs="FrankRuehl"/>
                <w:color w:val="000000"/>
                <w:sz w:val="26"/>
                <w:szCs w:val="26"/>
              </w:rPr>
            </w:pPr>
            <w:r>
              <w:rPr>
                <w:rFonts w:ascii="FrankRuehl" w:hAnsi="FrankRuehl" w:cs="FrankRuehl"/>
                <w:color w:val="000000"/>
                <w:sz w:val="26"/>
                <w:szCs w:val="26"/>
              </w:rPr>
              <w:t>85,968</w:t>
            </w:r>
          </w:p>
        </w:tc>
        <w:tc>
          <w:tcPr>
            <w:tcW w:w="541" w:type="pct"/>
            <w:tcBorders>
              <w:top w:val="nil"/>
              <w:left w:val="single" w:sz="4" w:space="0" w:color="979991"/>
              <w:bottom w:val="single" w:sz="4" w:space="0" w:color="979991"/>
              <w:right w:val="nil"/>
            </w:tcBorders>
            <w:shd w:val="clear" w:color="auto" w:fill="FFFFFF"/>
            <w:vAlign w:val="center"/>
            <w:hideMark/>
          </w:tcPr>
          <w:p w14:paraId="7E191390" w14:textId="77777777" w:rsidR="004D6941" w:rsidRDefault="004D6941" w:rsidP="00B778FA">
            <w:pPr>
              <w:bidi w:val="0"/>
              <w:jc w:val="center"/>
              <w:rPr>
                <w:rFonts w:ascii="FrankRuehl" w:hAnsi="FrankRuehl" w:cs="FrankRuehl"/>
                <w:color w:val="000000"/>
                <w:sz w:val="26"/>
                <w:szCs w:val="26"/>
              </w:rPr>
            </w:pPr>
            <w:r>
              <w:rPr>
                <w:rFonts w:ascii="FrankRuehl" w:hAnsi="FrankRuehl" w:cs="FrankRuehl"/>
                <w:color w:val="000000"/>
                <w:sz w:val="26"/>
                <w:szCs w:val="26"/>
              </w:rPr>
              <w:t>358,250</w:t>
            </w:r>
          </w:p>
        </w:tc>
        <w:tc>
          <w:tcPr>
            <w:tcW w:w="498" w:type="pct"/>
            <w:tcBorders>
              <w:top w:val="nil"/>
              <w:left w:val="single" w:sz="4" w:space="0" w:color="979991"/>
              <w:bottom w:val="single" w:sz="4" w:space="0" w:color="979991"/>
              <w:right w:val="single" w:sz="4" w:space="0" w:color="979991"/>
            </w:tcBorders>
            <w:shd w:val="clear" w:color="auto" w:fill="FFFFFF"/>
            <w:vAlign w:val="center"/>
            <w:hideMark/>
          </w:tcPr>
          <w:p w14:paraId="23106663" w14:textId="77777777" w:rsidR="004D6941" w:rsidRDefault="004D6941" w:rsidP="00B778FA">
            <w:pPr>
              <w:bidi w:val="0"/>
              <w:jc w:val="center"/>
              <w:rPr>
                <w:rFonts w:ascii="FrankRuehl" w:hAnsi="FrankRuehl" w:cs="FrankRuehl"/>
                <w:color w:val="000000"/>
                <w:sz w:val="26"/>
                <w:szCs w:val="26"/>
              </w:rPr>
            </w:pPr>
            <w:r>
              <w:rPr>
                <w:rFonts w:ascii="FrankRuehl" w:hAnsi="FrankRuehl" w:cs="FrankRuehl"/>
                <w:color w:val="000000"/>
                <w:sz w:val="26"/>
                <w:szCs w:val="26"/>
              </w:rPr>
              <w:t>90,000</w:t>
            </w:r>
          </w:p>
        </w:tc>
      </w:tr>
    </w:tbl>
    <w:p w14:paraId="4AE43638" w14:textId="77777777" w:rsidR="004D6941" w:rsidRDefault="004D6941" w:rsidP="004D6941">
      <w:pPr>
        <w:rPr>
          <w:rFonts w:cs="FrankRuehl"/>
          <w:sz w:val="26"/>
          <w:szCs w:val="26"/>
        </w:rPr>
      </w:pPr>
    </w:p>
    <w:p w14:paraId="3000D5E4" w14:textId="77777777" w:rsidR="004D6941" w:rsidRDefault="004D6941" w:rsidP="004D6941">
      <w:pPr>
        <w:rPr>
          <w:rFonts w:cs="FrankRuehl"/>
          <w:sz w:val="26"/>
          <w:szCs w:val="26"/>
          <w:rtl/>
        </w:rPr>
      </w:pPr>
    </w:p>
    <w:p w14:paraId="2B1A539C" w14:textId="77777777" w:rsidR="004D6941" w:rsidRDefault="004D6941" w:rsidP="004D6941">
      <w:pPr>
        <w:rPr>
          <w:rFonts w:cs="FrankRuehl"/>
          <w:sz w:val="26"/>
          <w:szCs w:val="26"/>
          <w:rtl/>
        </w:rPr>
      </w:pPr>
    </w:p>
    <w:p w14:paraId="03A5CD8A" w14:textId="77777777" w:rsidR="004D6941" w:rsidRPr="00161010" w:rsidRDefault="004D6941">
      <w:pPr>
        <w:rPr>
          <w:rFonts w:cs="FrankRuehl"/>
          <w:sz w:val="26"/>
          <w:szCs w:val="26"/>
          <w:rtl/>
        </w:rPr>
      </w:pPr>
    </w:p>
    <w:p w14:paraId="76D0CF1D" w14:textId="77777777" w:rsidR="00CB133E" w:rsidRPr="00161010" w:rsidRDefault="00CB133E">
      <w:pPr>
        <w:rPr>
          <w:rFonts w:cs="FrankRuehl"/>
          <w:sz w:val="26"/>
          <w:szCs w:val="26"/>
          <w:rtl/>
        </w:rPr>
      </w:pPr>
      <w:bookmarkStart w:id="13" w:name="TAKZIV25"/>
      <w:bookmarkEnd w:id="13"/>
    </w:p>
    <w:sectPr w:rsidR="00CB133E" w:rsidRPr="00161010" w:rsidSect="00BC0F8E">
      <w:headerReference w:type="even" r:id="rId6"/>
      <w:headerReference w:type="default" r:id="rId7"/>
      <w:footerReference w:type="even" r:id="rId8"/>
      <w:footerReference w:type="default" r:id="rId9"/>
      <w:headerReference w:type="first" r:id="rId10"/>
      <w:footerReference w:type="first" r:id="rId11"/>
      <w:endnotePr>
        <w:numFmt w:val="lowerLetter"/>
      </w:endnotePr>
      <w:pgSz w:w="11907" w:h="16839" w:code="9"/>
      <w:pgMar w:top="1440" w:right="1800" w:bottom="1440" w:left="1800" w:header="720" w:footer="720" w:gutter="0"/>
      <w:cols w:space="720"/>
      <w:bidi/>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E6565" w14:textId="77777777" w:rsidR="00615B2C" w:rsidRDefault="00615B2C" w:rsidP="00BC0F8E">
      <w:r>
        <w:separator/>
      </w:r>
    </w:p>
  </w:endnote>
  <w:endnote w:type="continuationSeparator" w:id="0">
    <w:p w14:paraId="41D7D639" w14:textId="77777777" w:rsidR="00615B2C" w:rsidRDefault="00615B2C" w:rsidP="00BC0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arkisim">
    <w:altName w:val="FrankRuehl"/>
    <w:panose1 w:val="020E050205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Guttman Kav">
    <w:panose1 w:val="02010401010101010101"/>
    <w:charset w:val="B1"/>
    <w:family w:val="auto"/>
    <w:pitch w:val="variable"/>
    <w:sig w:usb0="00000801" w:usb1="40000000" w:usb2="00000000" w:usb3="00000000" w:csb0="00000020" w:csb1="00000000"/>
  </w:font>
  <w:font w:name="Guttman Haim-Condensed">
    <w:panose1 w:val="02010401010101010101"/>
    <w:charset w:val="B1"/>
    <w:family w:val="auto"/>
    <w:pitch w:val="variable"/>
    <w:sig w:usb0="00000801" w:usb1="40000000" w:usb2="00000000" w:usb3="00000000" w:csb0="00000020"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D5C58" w14:textId="77777777" w:rsidR="005431FE" w:rsidRDefault="005431FE">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D5D0C" w14:textId="77777777" w:rsidR="005431FE" w:rsidRDefault="005431FE">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09575" w14:textId="77777777" w:rsidR="005431FE" w:rsidRDefault="005431FE">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F5F534" w14:textId="77777777" w:rsidR="00615B2C" w:rsidRDefault="00615B2C" w:rsidP="00BC0F8E">
      <w:r>
        <w:separator/>
      </w:r>
    </w:p>
  </w:footnote>
  <w:footnote w:type="continuationSeparator" w:id="0">
    <w:p w14:paraId="06D2FC82" w14:textId="77777777" w:rsidR="00615B2C" w:rsidRDefault="00615B2C" w:rsidP="00BC0F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08FFA" w14:textId="77777777" w:rsidR="005431FE" w:rsidRDefault="005431FE">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DDC96" w14:textId="77777777" w:rsidR="00BC0F8E" w:rsidRPr="00CB5FFD" w:rsidRDefault="00615B2C" w:rsidP="00BC0F8E">
    <w:pPr>
      <w:pStyle w:val="a4"/>
      <w:jc w:val="right"/>
      <w:rPr>
        <w:color w:val="4F81BD"/>
        <w:rtl/>
        <w:cs/>
      </w:rPr>
    </w:pPr>
    <w:r>
      <w:rPr>
        <w:noProof/>
        <w:rtl/>
      </w:rPr>
      <w:pict w14:anchorId="66FCAB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2" type="#_x0000_t75" style="position:absolute;margin-left:-89.25pt;margin-top:-89.15pt;width:593.25pt;height:89.25pt;z-index:1;mso-position-horizontal-relative:margin;mso-position-vertical-relative:margin">
          <v:imagedata r:id="rId1" o:title="Header"/>
          <w10:wrap type="square" anchorx="margin" anchory="margin"/>
        </v:shape>
      </w:pict>
    </w:r>
  </w:p>
  <w:p w14:paraId="04543EC3" w14:textId="77777777" w:rsidR="00BC0F8E" w:rsidRPr="00CB5FFD" w:rsidRDefault="00BC0F8E" w:rsidP="00BC0F8E">
    <w:pPr>
      <w:pStyle w:val="a4"/>
      <w:jc w:val="right"/>
      <w:rPr>
        <w:color w:val="4F81BD"/>
        <w:rtl/>
        <w:cs/>
      </w:rPr>
    </w:pPr>
  </w:p>
  <w:p w14:paraId="2EF87145" w14:textId="77777777" w:rsidR="00BC0F8E" w:rsidRDefault="00BC0F8E" w:rsidP="00BC0F8E">
    <w:pPr>
      <w:pStyle w:val="a4"/>
    </w:pPr>
  </w:p>
  <w:p w14:paraId="0C1E20E9" w14:textId="77777777" w:rsidR="00BC0F8E" w:rsidRDefault="00BC0F8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D5B888" w14:textId="77777777" w:rsidR="005431FE" w:rsidRDefault="005431F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Move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63"/>
    <o:shapelayout v:ext="edit">
      <o:idmap v:ext="edit" data="2"/>
    </o:shapelayout>
  </w:hdrShapeDefaults>
  <w:footnotePr>
    <w:footnote w:id="-1"/>
    <w:footnote w:id="0"/>
  </w:footnotePr>
  <w:endnotePr>
    <w:numFmt w:val="lowerLette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1FD1"/>
    <w:rsid w:val="00082924"/>
    <w:rsid w:val="000A4830"/>
    <w:rsid w:val="00161010"/>
    <w:rsid w:val="00270817"/>
    <w:rsid w:val="00360BD3"/>
    <w:rsid w:val="003A4CAE"/>
    <w:rsid w:val="00462897"/>
    <w:rsid w:val="004D6941"/>
    <w:rsid w:val="005431FE"/>
    <w:rsid w:val="005C7E8B"/>
    <w:rsid w:val="00615B2C"/>
    <w:rsid w:val="006A7A7A"/>
    <w:rsid w:val="007F3CB2"/>
    <w:rsid w:val="00A06DF5"/>
    <w:rsid w:val="00A20F3B"/>
    <w:rsid w:val="00AF2BBF"/>
    <w:rsid w:val="00B94155"/>
    <w:rsid w:val="00BB72D5"/>
    <w:rsid w:val="00BC0F8E"/>
    <w:rsid w:val="00CA6239"/>
    <w:rsid w:val="00CB133E"/>
    <w:rsid w:val="00CE2337"/>
    <w:rsid w:val="00E31FD1"/>
    <w:rsid w:val="00E40F3E"/>
    <w:rsid w:val="00F11513"/>
    <w:rsid w:val="00F4006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1"/>
    </o:shapelayout>
  </w:shapeDefaults>
  <w:decimalSymbol w:val="."/>
  <w:listSeparator w:val=","/>
  <w14:docId w14:val="7EE414CD"/>
  <w15:chartTrackingRefBased/>
  <w15:docId w15:val="{1C19B911-DB26-4E20-84CE-A448941ED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bidi/>
      <w:adjustRightInd w:val="0"/>
      <w:textAlignment w:val="baseline"/>
    </w:pPr>
    <w:rPr>
      <w:rFonts w:cs="Narkisim"/>
      <w:szCs w:val="24"/>
      <w:lang w:eastAsia="he-IL"/>
    </w:rPr>
  </w:style>
  <w:style w:type="paragraph" w:styleId="1">
    <w:name w:val="heading 1"/>
    <w:basedOn w:val="a"/>
    <w:next w:val="a"/>
    <w:qFormat/>
    <w:pPr>
      <w:keepNext/>
      <w:tabs>
        <w:tab w:val="left" w:pos="276"/>
        <w:tab w:val="left" w:pos="851"/>
        <w:tab w:val="left" w:pos="1418"/>
        <w:tab w:val="left" w:pos="2472"/>
        <w:tab w:val="left" w:pos="4498"/>
        <w:tab w:val="left" w:pos="6796"/>
        <w:tab w:val="left" w:pos="8856"/>
      </w:tabs>
      <w:spacing w:before="80" w:after="120"/>
      <w:ind w:left="448" w:right="130" w:hanging="170"/>
      <w:outlineLvl w:val="0"/>
    </w:pPr>
    <w:rPr>
      <w:rFonts w:ascii="Arial" w:hAnsi="Arial" w:cs="Guttman Kav"/>
      <w:b/>
      <w:bCs/>
      <w:kern w:val="28"/>
      <w:sz w:val="18"/>
      <w:szCs w:val="32"/>
    </w:rPr>
  </w:style>
  <w:style w:type="paragraph" w:styleId="2">
    <w:name w:val="heading 2"/>
    <w:basedOn w:val="a"/>
    <w:next w:val="a"/>
    <w:qFormat/>
    <w:pPr>
      <w:tabs>
        <w:tab w:val="left" w:pos="276"/>
      </w:tabs>
      <w:spacing w:before="120" w:after="48"/>
      <w:ind w:left="278" w:right="357" w:hanging="2"/>
      <w:outlineLvl w:val="1"/>
    </w:pPr>
    <w:rPr>
      <w:rFonts w:ascii="Arial" w:hAnsi="Arial" w:cs="Guttman Haim-Condensed"/>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indentnumberedinabullet">
    <w:name w:val="normal indent numbered in a bullet"/>
    <w:basedOn w:val="a3"/>
    <w:pPr>
      <w:tabs>
        <w:tab w:val="left" w:pos="851"/>
        <w:tab w:val="left" w:pos="1418"/>
        <w:tab w:val="left" w:pos="2472"/>
        <w:tab w:val="left" w:pos="4498"/>
        <w:tab w:val="left" w:pos="6796"/>
        <w:tab w:val="left" w:pos="8856"/>
      </w:tabs>
      <w:ind w:left="618" w:right="510" w:hanging="170"/>
    </w:pPr>
  </w:style>
  <w:style w:type="paragraph" w:styleId="a3">
    <w:name w:val="Normal Indent"/>
    <w:basedOn w:val="a"/>
    <w:semiHidden/>
    <w:pPr>
      <w:ind w:left="720"/>
    </w:pPr>
  </w:style>
  <w:style w:type="paragraph" w:customStyle="1" w:styleId="Normalindentnumberindent">
    <w:name w:val="Normal indent number indent"/>
    <w:basedOn w:val="a"/>
    <w:pPr>
      <w:tabs>
        <w:tab w:val="left" w:pos="851"/>
        <w:tab w:val="left" w:pos="1418"/>
        <w:tab w:val="left" w:pos="2472"/>
        <w:tab w:val="left" w:pos="4498"/>
        <w:tab w:val="left" w:pos="6796"/>
        <w:tab w:val="left" w:pos="8856"/>
      </w:tabs>
      <w:ind w:left="702" w:right="510" w:hanging="872"/>
    </w:pPr>
  </w:style>
  <w:style w:type="paragraph" w:styleId="a4">
    <w:name w:val="header"/>
    <w:basedOn w:val="a"/>
    <w:link w:val="a5"/>
    <w:uiPriority w:val="99"/>
    <w:unhideWhenUsed/>
    <w:rsid w:val="00BC0F8E"/>
    <w:pPr>
      <w:tabs>
        <w:tab w:val="center" w:pos="4153"/>
        <w:tab w:val="right" w:pos="8306"/>
      </w:tabs>
    </w:pPr>
  </w:style>
  <w:style w:type="paragraph" w:customStyle="1" w:styleId="a6">
    <w:name w:val="מדינת ישראל"/>
    <w:basedOn w:val="a"/>
    <w:pPr>
      <w:jc w:val="center"/>
    </w:pPr>
    <w:rPr>
      <w:b/>
      <w:bCs/>
      <w:szCs w:val="28"/>
    </w:rPr>
  </w:style>
  <w:style w:type="paragraph" w:customStyle="1" w:styleId="a7">
    <w:name w:val="כותרת נדון"/>
    <w:basedOn w:val="a"/>
    <w:rPr>
      <w:bCs/>
      <w:szCs w:val="26"/>
      <w:u w:val="single"/>
    </w:rPr>
  </w:style>
  <w:style w:type="character" w:customStyle="1" w:styleId="a5">
    <w:name w:val="כותרת עליונה תו"/>
    <w:link w:val="a4"/>
    <w:uiPriority w:val="99"/>
    <w:rsid w:val="00BC0F8E"/>
    <w:rPr>
      <w:rFonts w:cs="Narkisim"/>
      <w:szCs w:val="24"/>
      <w:lang w:eastAsia="he-IL"/>
    </w:rPr>
  </w:style>
  <w:style w:type="paragraph" w:styleId="a8">
    <w:name w:val="footer"/>
    <w:basedOn w:val="a"/>
    <w:link w:val="a9"/>
    <w:uiPriority w:val="99"/>
    <w:unhideWhenUsed/>
    <w:rsid w:val="00BC0F8E"/>
    <w:pPr>
      <w:tabs>
        <w:tab w:val="center" w:pos="4153"/>
        <w:tab w:val="right" w:pos="8306"/>
      </w:tabs>
    </w:pPr>
  </w:style>
  <w:style w:type="character" w:customStyle="1" w:styleId="a9">
    <w:name w:val="כותרת תחתונה תו"/>
    <w:link w:val="a8"/>
    <w:uiPriority w:val="99"/>
    <w:rsid w:val="00BC0F8E"/>
    <w:rPr>
      <w:rFonts w:cs="Narkisim"/>
      <w:szCs w:val="24"/>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245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630</Words>
  <Characters>3151</Characters>
  <Application>Microsoft Office Word</Application>
  <DocSecurity>0</DocSecurity>
  <Lines>26</Lines>
  <Paragraphs>7</Paragraphs>
  <ScaleCrop>false</ScaleCrop>
  <HeadingPairs>
    <vt:vector size="6" baseType="variant">
      <vt:variant>
        <vt:lpstr>Title</vt:lpstr>
      </vt:variant>
      <vt:variant>
        <vt:i4>1</vt:i4>
      </vt:variant>
      <vt:variant>
        <vt:lpstr>שם</vt:lpstr>
      </vt:variant>
      <vt:variant>
        <vt:i4>1</vt:i4>
      </vt:variant>
      <vt:variant>
        <vt:lpstr/>
      </vt:variant>
      <vt:variant>
        <vt:i4>0</vt:i4>
      </vt:variant>
    </vt:vector>
  </HeadingPairs>
  <TitlesOfParts>
    <vt:vector size="2" baseType="lpstr">
      <vt:lpstr/>
      <vt:lpstr/>
    </vt:vector>
  </TitlesOfParts>
  <Company>משרד האוצר</Company>
  <LinksUpToDate>false</LinksUpToDate>
  <CharactersWithSpaces>3774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משרד האוצר</dc:creator>
  <cp:keywords/>
  <cp:lastModifiedBy>שמרית יצחקי</cp:lastModifiedBy>
  <cp:revision>6</cp:revision>
  <cp:lastPrinted>1899-12-31T22:00:00Z</cp:lastPrinted>
  <dcterms:created xsi:type="dcterms:W3CDTF">2026-07-27T07:30:00Z</dcterms:created>
  <dcterms:modified xsi:type="dcterms:W3CDTF">2026-07-27T07:40:00Z</dcterms:modified>
</cp:coreProperties>
</file>