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F422" w14:textId="77777777" w:rsidR="00AE06C1" w:rsidRPr="00AE06C1" w:rsidRDefault="00AE06C1" w:rsidP="00280CAC">
      <w:pPr>
        <w:overflowPunct/>
        <w:autoSpaceDE/>
        <w:autoSpaceDN/>
        <w:bidi w:val="0"/>
        <w:adjustRightInd/>
        <w:jc w:val="both"/>
        <w:textAlignment w:val="auto"/>
        <w:outlineLvl w:val="0"/>
        <w:rPr>
          <w:rFonts w:cs="David"/>
          <w:b/>
          <w:bCs/>
          <w:sz w:val="24"/>
          <w:szCs w:val="24"/>
          <w:u w:val="single"/>
          <w:lang w:eastAsia="en-US"/>
        </w:rPr>
      </w:pPr>
      <w:bookmarkStart w:id="0" w:name="DocNum"/>
      <w:bookmarkStart w:id="1" w:name="_GoBack"/>
      <w:bookmarkEnd w:id="0"/>
      <w:bookmarkEnd w:id="1"/>
    </w:p>
    <w:p w14:paraId="047AF423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2D0C2C">
        <w:rPr>
          <w:rFonts w:cs="David"/>
          <w:b/>
          <w:bCs/>
          <w:sz w:val="24"/>
          <w:szCs w:val="24"/>
          <w:u w:val="single"/>
          <w:rtl/>
          <w:lang w:eastAsia="en-US"/>
        </w:rPr>
        <w:t>הנחיות ל</w:t>
      </w:r>
      <w:r w:rsidRPr="002D0C2C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ה</w:t>
      </w:r>
      <w:r w:rsidRPr="002D0C2C">
        <w:rPr>
          <w:rFonts w:cs="David"/>
          <w:b/>
          <w:bCs/>
          <w:sz w:val="24"/>
          <w:szCs w:val="24"/>
          <w:u w:val="single"/>
          <w:rtl/>
          <w:lang w:eastAsia="en-US"/>
        </w:rPr>
        <w:t>ודעת העברה</w:t>
      </w:r>
    </w:p>
    <w:p w14:paraId="047AF424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2D0C2C" w:rsidRPr="002D0C2C" w14:paraId="047AF426" w14:textId="77777777" w:rsidTr="00443F87">
        <w:trPr>
          <w:trHeight w:val="20"/>
        </w:trPr>
        <w:tc>
          <w:tcPr>
            <w:tcW w:w="2268" w:type="dxa"/>
            <w:shd w:val="pct20" w:color="auto" w:fill="auto"/>
          </w:tcPr>
          <w:p w14:paraId="047AF425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הודעת העברה</w:t>
            </w:r>
          </w:p>
        </w:tc>
      </w:tr>
    </w:tbl>
    <w:p w14:paraId="047AF427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28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טופס זה הוא בקשה להעביר למאגר </w:t>
      </w:r>
      <w:r w:rsidR="00280CAC">
        <w:rPr>
          <w:rFonts w:cs="David" w:hint="cs"/>
          <w:sz w:val="24"/>
          <w:szCs w:val="24"/>
          <w:rtl/>
          <w:lang w:eastAsia="en-US"/>
        </w:rPr>
        <w:t xml:space="preserve">המשכונות </w:t>
      </w:r>
      <w:r w:rsidRPr="002D0C2C">
        <w:rPr>
          <w:rFonts w:cs="David"/>
          <w:sz w:val="24"/>
          <w:szCs w:val="24"/>
          <w:rtl/>
          <w:lang w:eastAsia="en-US"/>
        </w:rPr>
        <w:t>הממוחשב רישומו של משכון שקיים ב</w:t>
      </w:r>
      <w:r w:rsidR="00280CAC">
        <w:rPr>
          <w:rFonts w:cs="David" w:hint="cs"/>
          <w:sz w:val="24"/>
          <w:szCs w:val="24"/>
          <w:rtl/>
          <w:lang w:eastAsia="en-US"/>
        </w:rPr>
        <w:t xml:space="preserve">מאגר </w:t>
      </w:r>
      <w:r w:rsidRPr="002D0C2C">
        <w:rPr>
          <w:rFonts w:cs="David"/>
          <w:sz w:val="24"/>
          <w:szCs w:val="24"/>
          <w:rtl/>
          <w:lang w:eastAsia="en-US"/>
        </w:rPr>
        <w:t xml:space="preserve">הידני. </w:t>
      </w:r>
    </w:p>
    <w:p w14:paraId="047AF429" w14:textId="77777777" w:rsidR="002D0C2C" w:rsidRPr="002D0C2C" w:rsidRDefault="00280CA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>
        <w:rPr>
          <w:rFonts w:cs="David" w:hint="cs"/>
          <w:sz w:val="24"/>
          <w:szCs w:val="24"/>
          <w:rtl/>
          <w:lang w:eastAsia="en-US"/>
        </w:rPr>
        <w:t>ה</w:t>
      </w:r>
      <w:r w:rsidR="002D0C2C" w:rsidRPr="002D0C2C">
        <w:rPr>
          <w:rFonts w:cs="David"/>
          <w:sz w:val="24"/>
          <w:szCs w:val="24"/>
          <w:rtl/>
          <w:lang w:eastAsia="en-US"/>
        </w:rPr>
        <w:t>אפשרות</w:t>
      </w:r>
      <w:r>
        <w:rPr>
          <w:rFonts w:cs="David" w:hint="cs"/>
          <w:sz w:val="24"/>
          <w:szCs w:val="24"/>
          <w:rtl/>
          <w:lang w:eastAsia="en-US"/>
        </w:rPr>
        <w:t xml:space="preserve"> העומדת </w:t>
      </w:r>
      <w:r w:rsidR="002D0C2C" w:rsidRPr="002D0C2C">
        <w:rPr>
          <w:rFonts w:cs="David"/>
          <w:sz w:val="24"/>
          <w:szCs w:val="24"/>
          <w:rtl/>
          <w:lang w:eastAsia="en-US"/>
        </w:rPr>
        <w:t>לנושה להעביר את רישום המשכון למאגר הממוחשב</w:t>
      </w:r>
      <w:r>
        <w:rPr>
          <w:rFonts w:cs="David" w:hint="cs"/>
          <w:sz w:val="24"/>
          <w:szCs w:val="24"/>
          <w:rtl/>
          <w:lang w:eastAsia="en-US"/>
        </w:rPr>
        <w:t>,</w:t>
      </w:r>
      <w:r w:rsidR="002D0C2C" w:rsidRPr="002D0C2C">
        <w:rPr>
          <w:rFonts w:cs="David"/>
          <w:sz w:val="24"/>
          <w:szCs w:val="24"/>
          <w:rtl/>
          <w:lang w:eastAsia="en-US"/>
        </w:rPr>
        <w:t xml:space="preserve"> </w:t>
      </w:r>
      <w:r>
        <w:rPr>
          <w:rFonts w:cs="David" w:hint="cs"/>
          <w:sz w:val="24"/>
          <w:szCs w:val="24"/>
          <w:rtl/>
          <w:lang w:eastAsia="en-US"/>
        </w:rPr>
        <w:t>מגדילה את ב</w:t>
      </w:r>
      <w:r w:rsidR="002D0C2C" w:rsidRPr="002D0C2C">
        <w:rPr>
          <w:rFonts w:cs="David"/>
          <w:sz w:val="24"/>
          <w:szCs w:val="24"/>
          <w:rtl/>
          <w:lang w:eastAsia="en-US"/>
        </w:rPr>
        <w:t>טחונו בטיב המידע ובנגישות אליו.</w:t>
      </w:r>
    </w:p>
    <w:p w14:paraId="047AF42A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כאשר מתבקש שינוי במשכון שנרשם במאגר הידני לפי תקנה 17 (א)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לתקנות המשכון (סדרי רישום ועיון), התשנ"ד </w:t>
      </w:r>
      <w:r w:rsidRPr="002D0C2C">
        <w:rPr>
          <w:rFonts w:cs="David"/>
          <w:sz w:val="24"/>
          <w:szCs w:val="24"/>
          <w:rtl/>
          <w:lang w:eastAsia="en-US"/>
        </w:rPr>
        <w:t>–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1994,</w:t>
      </w:r>
      <w:r w:rsidRPr="002D0C2C">
        <w:rPr>
          <w:rFonts w:cs="David"/>
          <w:sz w:val="24"/>
          <w:szCs w:val="24"/>
          <w:rtl/>
          <w:lang w:eastAsia="en-US"/>
        </w:rPr>
        <w:t xml:space="preserve"> יש להעביר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את המשכון האמור</w:t>
      </w:r>
      <w:r w:rsidRPr="002D0C2C">
        <w:rPr>
          <w:rFonts w:cs="David"/>
          <w:sz w:val="24"/>
          <w:szCs w:val="24"/>
          <w:rtl/>
          <w:lang w:eastAsia="en-US"/>
        </w:rPr>
        <w:t xml:space="preserve"> למאגר הממוחשב ואז לבצע את השינוי המבוקש. </w:t>
      </w:r>
    </w:p>
    <w:p w14:paraId="047AF42B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D0C2C" w:rsidRPr="002D0C2C" w14:paraId="047AF42D" w14:textId="77777777" w:rsidTr="00443F87">
        <w:trPr>
          <w:trHeight w:val="20"/>
        </w:trPr>
        <w:tc>
          <w:tcPr>
            <w:tcW w:w="2459" w:type="dxa"/>
            <w:shd w:val="pct20" w:color="auto" w:fill="auto"/>
          </w:tcPr>
          <w:p w14:paraId="047AF42C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פרטי הרישום הקודם</w:t>
            </w:r>
          </w:p>
        </w:tc>
      </w:tr>
    </w:tbl>
    <w:p w14:paraId="047AF42E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2F" w14:textId="77777777" w:rsidR="00280CA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יש לציין את פרטי הרישום של המ</w:t>
      </w:r>
      <w:r w:rsidR="0045300A">
        <w:rPr>
          <w:rFonts w:cs="David"/>
          <w:sz w:val="24"/>
          <w:szCs w:val="24"/>
          <w:rtl/>
          <w:lang w:eastAsia="en-US"/>
        </w:rPr>
        <w:t xml:space="preserve">שכון שקיים במאגר הידני לפי </w:t>
      </w:r>
      <w:r w:rsidRPr="002D0C2C">
        <w:rPr>
          <w:rFonts w:cs="David"/>
          <w:sz w:val="24"/>
          <w:szCs w:val="24"/>
          <w:rtl/>
          <w:lang w:eastAsia="en-US"/>
        </w:rPr>
        <w:t>הפרמטרים של לשכת הרישום המקורי</w:t>
      </w:r>
      <w:r w:rsidRPr="002D0C2C">
        <w:rPr>
          <w:rFonts w:cs="David" w:hint="cs"/>
          <w:sz w:val="24"/>
          <w:szCs w:val="24"/>
          <w:rtl/>
          <w:lang w:eastAsia="en-US"/>
        </w:rPr>
        <w:t>:</w:t>
      </w:r>
      <w:r w:rsidRPr="002D0C2C">
        <w:rPr>
          <w:rFonts w:cs="David"/>
          <w:sz w:val="24"/>
          <w:szCs w:val="24"/>
          <w:rtl/>
          <w:lang w:eastAsia="en-US"/>
        </w:rPr>
        <w:t xml:space="preserve"> מספר תיק המשכון וכן תאריך הרישום של המשכון המקורי. </w:t>
      </w:r>
    </w:p>
    <w:p w14:paraId="047AF430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 w:hint="cs"/>
          <w:sz w:val="24"/>
          <w:szCs w:val="24"/>
          <w:rtl/>
          <w:lang w:eastAsia="en-US"/>
        </w:rPr>
        <w:t>למען הסר ספק יובהר, כי הודעת ההעברה תירשם במאגר הממוחשב לפי היום ושעת הקבלה המקוריים שהיו רשומים במאגר הידני.</w:t>
      </w:r>
    </w:p>
    <w:p w14:paraId="047AF431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D0C2C" w:rsidRPr="002D0C2C" w14:paraId="047AF433" w14:textId="77777777" w:rsidTr="00443F87">
        <w:trPr>
          <w:trHeight w:val="20"/>
        </w:trPr>
        <w:tc>
          <w:tcPr>
            <w:tcW w:w="2459" w:type="dxa"/>
            <w:shd w:val="pct20" w:color="auto" w:fill="auto"/>
          </w:tcPr>
          <w:p w14:paraId="047AF432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החייב /ים</w:t>
            </w:r>
          </w:p>
        </w:tc>
      </w:tr>
    </w:tbl>
    <w:p w14:paraId="047AF434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35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יש למלא </w:t>
      </w:r>
      <w:r w:rsidR="00280CAC">
        <w:rPr>
          <w:rFonts w:cs="David" w:hint="cs"/>
          <w:sz w:val="24"/>
          <w:szCs w:val="24"/>
          <w:rtl/>
          <w:lang w:eastAsia="en-US"/>
        </w:rPr>
        <w:t xml:space="preserve">את </w:t>
      </w:r>
      <w:r w:rsidRPr="002D0C2C">
        <w:rPr>
          <w:rFonts w:cs="David"/>
          <w:sz w:val="24"/>
          <w:szCs w:val="24"/>
          <w:rtl/>
          <w:lang w:eastAsia="en-US"/>
        </w:rPr>
        <w:t xml:space="preserve">פרטי החייב /ים בדיוק כפי שהופיעו ברישום המקורי. </w:t>
      </w:r>
    </w:p>
    <w:p w14:paraId="047AF436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D0C2C" w:rsidRPr="002D0C2C" w14:paraId="047AF438" w14:textId="77777777" w:rsidTr="00443F87">
        <w:trPr>
          <w:trHeight w:val="20"/>
        </w:trPr>
        <w:tc>
          <w:tcPr>
            <w:tcW w:w="2459" w:type="dxa"/>
            <w:shd w:val="pct20" w:color="auto" w:fill="auto"/>
          </w:tcPr>
          <w:p w14:paraId="047AF437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תקופת הרישום החדש</w:t>
            </w:r>
          </w:p>
        </w:tc>
      </w:tr>
    </w:tbl>
    <w:p w14:paraId="047AF439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3A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יש לציין את תקופת הרישום של המשכון החל מה</w:t>
      </w:r>
      <w:r w:rsidR="00280CAC">
        <w:rPr>
          <w:rFonts w:cs="David" w:hint="cs"/>
          <w:sz w:val="24"/>
          <w:szCs w:val="24"/>
          <w:rtl/>
          <w:lang w:eastAsia="en-US"/>
        </w:rPr>
        <w:t xml:space="preserve">עברת הרישום </w:t>
      </w:r>
      <w:r w:rsidRPr="002D0C2C">
        <w:rPr>
          <w:rFonts w:cs="David"/>
          <w:sz w:val="24"/>
          <w:szCs w:val="24"/>
          <w:rtl/>
          <w:lang w:eastAsia="en-US"/>
        </w:rPr>
        <w:t xml:space="preserve">למאגר הממוחשב. </w:t>
      </w:r>
    </w:p>
    <w:p w14:paraId="047AF43B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59"/>
      </w:tblGrid>
      <w:tr w:rsidR="002D0C2C" w:rsidRPr="002D0C2C" w14:paraId="047AF43D" w14:textId="77777777" w:rsidTr="00443F87">
        <w:trPr>
          <w:trHeight w:val="20"/>
        </w:trPr>
        <w:tc>
          <w:tcPr>
            <w:tcW w:w="2459" w:type="dxa"/>
            <w:shd w:val="pct20" w:color="auto" w:fill="auto"/>
            <w:vAlign w:val="center"/>
          </w:tcPr>
          <w:p w14:paraId="047AF43C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ind w:right="-156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הנושה</w:t>
            </w:r>
          </w:p>
        </w:tc>
      </w:tr>
    </w:tbl>
    <w:p w14:paraId="047AF43E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3F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יש למלא 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את </w:t>
      </w:r>
      <w:r w:rsidRPr="002D0C2C">
        <w:rPr>
          <w:rFonts w:cs="David"/>
          <w:sz w:val="24"/>
          <w:szCs w:val="24"/>
          <w:rtl/>
          <w:lang w:eastAsia="en-US"/>
        </w:rPr>
        <w:t>פרטי הנושה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</w:t>
      </w:r>
      <w:r w:rsidRPr="002D0C2C">
        <w:rPr>
          <w:rFonts w:cs="David"/>
          <w:sz w:val="24"/>
          <w:szCs w:val="24"/>
          <w:rtl/>
          <w:lang w:eastAsia="en-US"/>
        </w:rPr>
        <w:t>בדיוק כפי שהופיעו ברישום המקורי.</w:t>
      </w:r>
    </w:p>
    <w:p w14:paraId="047AF440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נושה שהוא בנק חייב לרשום קוד מסלקה.</w:t>
      </w:r>
    </w:p>
    <w:p w14:paraId="047AF441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18"/>
      </w:tblGrid>
      <w:tr w:rsidR="002D0C2C" w:rsidRPr="002D0C2C" w14:paraId="047AF443" w14:textId="77777777" w:rsidTr="00443F87">
        <w:trPr>
          <w:trHeight w:val="20"/>
        </w:trPr>
        <w:tc>
          <w:tcPr>
            <w:tcW w:w="4018" w:type="dxa"/>
            <w:shd w:val="pct20" w:color="auto" w:fill="auto"/>
          </w:tcPr>
          <w:p w14:paraId="047AF442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ממשכן לטובת חיובו של אחר</w:t>
            </w:r>
          </w:p>
        </w:tc>
      </w:tr>
    </w:tbl>
    <w:p w14:paraId="047AF444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45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הממשכן איננו החייב, אלא אדם שהסכים כי נכסו ישמש ערובה להחזר חובו של אחר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(החייב)</w:t>
      </w:r>
      <w:r w:rsidR="00280CAC">
        <w:rPr>
          <w:rFonts w:cs="David" w:hint="cs"/>
          <w:sz w:val="24"/>
          <w:szCs w:val="24"/>
          <w:rtl/>
          <w:lang w:eastAsia="en-US"/>
        </w:rPr>
        <w:t>. אדם זה יי</w:t>
      </w:r>
      <w:r w:rsidRPr="002D0C2C">
        <w:rPr>
          <w:rFonts w:cs="David" w:hint="cs"/>
          <w:sz w:val="24"/>
          <w:szCs w:val="24"/>
          <w:rtl/>
          <w:lang w:eastAsia="en-US"/>
        </w:rPr>
        <w:t>רשם במאגר כאילו הוא</w:t>
      </w:r>
      <w:r w:rsidRPr="002D0C2C">
        <w:rPr>
          <w:rFonts w:cs="David"/>
          <w:sz w:val="24"/>
          <w:szCs w:val="24"/>
          <w:rtl/>
          <w:lang w:eastAsia="en-US"/>
        </w:rPr>
        <w:t xml:space="preserve"> 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חייב, בנוסף לחייב הרשום בהודעת המשכון. </w:t>
      </w:r>
    </w:p>
    <w:p w14:paraId="047AF446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אם קיימים יותר משני חייבים או </w:t>
      </w:r>
      <w:r w:rsidRPr="002D0C2C">
        <w:rPr>
          <w:rFonts w:cs="David" w:hint="cs"/>
          <w:sz w:val="24"/>
          <w:szCs w:val="24"/>
          <w:rtl/>
          <w:lang w:eastAsia="en-US"/>
        </w:rPr>
        <w:t>יותר מ</w:t>
      </w:r>
      <w:r w:rsidRPr="002D0C2C">
        <w:rPr>
          <w:rFonts w:cs="David"/>
          <w:sz w:val="24"/>
          <w:szCs w:val="24"/>
          <w:rtl/>
          <w:lang w:eastAsia="en-US"/>
        </w:rPr>
        <w:t>בעל נכ</w:t>
      </w:r>
      <w:r w:rsidRPr="002D0C2C">
        <w:rPr>
          <w:rFonts w:cs="David" w:hint="cs"/>
          <w:sz w:val="24"/>
          <w:szCs w:val="24"/>
          <w:rtl/>
          <w:lang w:eastAsia="en-US"/>
        </w:rPr>
        <w:t>ס אחד,</w:t>
      </w:r>
      <w:r w:rsidRPr="002D0C2C">
        <w:rPr>
          <w:rFonts w:cs="David"/>
          <w:sz w:val="24"/>
          <w:szCs w:val="24"/>
          <w:rtl/>
          <w:lang w:eastAsia="en-US"/>
        </w:rPr>
        <w:t xml:space="preserve"> יש להשתמש בנספח א' - נושים וחייבים נוספים.</w:t>
      </w:r>
    </w:p>
    <w:p w14:paraId="047AF447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יש למלא את פרטי הממשכן לטובת חיובו של אחר בדיוק כפי שהופיעו ברישום המקורי.</w:t>
      </w:r>
    </w:p>
    <w:p w14:paraId="047AF448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1"/>
      </w:tblGrid>
      <w:tr w:rsidR="002D0C2C" w:rsidRPr="002D0C2C" w14:paraId="047AF44A" w14:textId="77777777" w:rsidTr="00443F87">
        <w:trPr>
          <w:trHeight w:val="20"/>
        </w:trPr>
        <w:tc>
          <w:tcPr>
            <w:tcW w:w="3451" w:type="dxa"/>
            <w:shd w:val="pct20" w:color="auto" w:fill="auto"/>
          </w:tcPr>
          <w:p w14:paraId="047AF449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זכויות במקרקעין</w:t>
            </w:r>
          </w:p>
        </w:tc>
      </w:tr>
    </w:tbl>
    <w:p w14:paraId="047AF44B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4C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 w:hint="cs"/>
          <w:sz w:val="24"/>
          <w:szCs w:val="24"/>
          <w:rtl/>
          <w:lang w:eastAsia="en-US"/>
        </w:rPr>
        <w:t>כאשר מדובר ב</w:t>
      </w:r>
      <w:r w:rsidRPr="002D0C2C">
        <w:rPr>
          <w:rFonts w:cs="David"/>
          <w:sz w:val="24"/>
          <w:szCs w:val="24"/>
          <w:rtl/>
          <w:lang w:eastAsia="en-US"/>
        </w:rPr>
        <w:t>זכויות חוזיות ואחרות בנוגע למקרקעין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, </w:t>
      </w:r>
      <w:r w:rsidRPr="002D0C2C">
        <w:rPr>
          <w:rFonts w:cs="David"/>
          <w:sz w:val="24"/>
          <w:szCs w:val="24"/>
          <w:rtl/>
          <w:lang w:eastAsia="en-US"/>
        </w:rPr>
        <w:t>יש לפרט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, במידה וקיימים פרטים אלה: </w:t>
      </w:r>
      <w:r w:rsidRPr="002D0C2C">
        <w:rPr>
          <w:rFonts w:cs="David"/>
          <w:sz w:val="24"/>
          <w:szCs w:val="24"/>
          <w:rtl/>
          <w:lang w:eastAsia="en-US"/>
        </w:rPr>
        <w:t xml:space="preserve">גוש /חלקה/תת חלקה /מגרש </w:t>
      </w:r>
      <w:r w:rsidRPr="002D0C2C">
        <w:rPr>
          <w:rFonts w:cs="David" w:hint="cs"/>
          <w:sz w:val="24"/>
          <w:szCs w:val="24"/>
          <w:rtl/>
          <w:lang w:eastAsia="en-US"/>
        </w:rPr>
        <w:t>ו</w:t>
      </w:r>
      <w:r w:rsidRPr="002D0C2C">
        <w:rPr>
          <w:rFonts w:cs="David"/>
          <w:sz w:val="24"/>
          <w:szCs w:val="24"/>
          <w:rtl/>
          <w:lang w:eastAsia="en-US"/>
        </w:rPr>
        <w:t>כתובת הנכס</w:t>
      </w:r>
      <w:r w:rsidR="00280CAC">
        <w:rPr>
          <w:rFonts w:cs="David" w:hint="cs"/>
          <w:sz w:val="24"/>
          <w:szCs w:val="24"/>
          <w:rtl/>
          <w:lang w:eastAsia="en-US"/>
        </w:rPr>
        <w:t xml:space="preserve">, </w:t>
      </w:r>
      <w:r w:rsidRPr="002D0C2C">
        <w:rPr>
          <w:rFonts w:cs="David"/>
          <w:sz w:val="24"/>
          <w:szCs w:val="24"/>
          <w:rtl/>
          <w:lang w:eastAsia="en-US"/>
        </w:rPr>
        <w:t>בדיוק כפי שהופיעו ברישום המקורי.</w:t>
      </w:r>
    </w:p>
    <w:p w14:paraId="047AF44D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01"/>
      </w:tblGrid>
      <w:tr w:rsidR="002D0C2C" w:rsidRPr="002D0C2C" w14:paraId="047AF44F" w14:textId="77777777" w:rsidTr="00443F87">
        <w:trPr>
          <w:trHeight w:val="20"/>
        </w:trPr>
        <w:tc>
          <w:tcPr>
            <w:tcW w:w="2601" w:type="dxa"/>
            <w:shd w:val="pct20" w:color="auto" w:fill="auto"/>
          </w:tcPr>
          <w:p w14:paraId="047AF44E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שהוא כלי תחבורה</w:t>
            </w:r>
          </w:p>
        </w:tc>
      </w:tr>
    </w:tbl>
    <w:p w14:paraId="047AF450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51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יש לפרט את הנכסים הבאים: 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 </w:t>
      </w:r>
    </w:p>
    <w:p w14:paraId="047AF452" w14:textId="77777777" w:rsidR="002D0C2C" w:rsidRPr="002D0C2C" w:rsidRDefault="002D0C2C" w:rsidP="00280CAC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רכב שמזוהה ע"י מספר רישוי או שילדה</w:t>
      </w:r>
    </w:p>
    <w:p w14:paraId="047AF453" w14:textId="77777777" w:rsidR="002D0C2C" w:rsidRPr="002D0C2C" w:rsidRDefault="002D0C2C" w:rsidP="00280CAC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כלי טייס ישראלי שסימונו_ _ _ </w:t>
      </w:r>
      <w:r w:rsidRPr="002D0C2C">
        <w:rPr>
          <w:rFonts w:cs="David"/>
          <w:sz w:val="24"/>
          <w:szCs w:val="24"/>
          <w:lang w:eastAsia="en-US"/>
        </w:rPr>
        <w:sym w:font="Symbol" w:char="F0B4"/>
      </w:r>
      <w:r w:rsidRPr="002D0C2C">
        <w:rPr>
          <w:rFonts w:cs="David"/>
          <w:sz w:val="24"/>
          <w:szCs w:val="24"/>
          <w:rtl/>
          <w:lang w:eastAsia="en-US"/>
        </w:rPr>
        <w:t>4</w:t>
      </w:r>
    </w:p>
    <w:p w14:paraId="047AF454" w14:textId="77777777" w:rsidR="002D0C2C" w:rsidRPr="002D0C2C" w:rsidRDefault="002D0C2C" w:rsidP="00280CAC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ציוד הנדסי בעל מספר מ.ע.צ</w:t>
      </w:r>
    </w:p>
    <w:p w14:paraId="047AF455" w14:textId="77777777" w:rsidR="002D0C2C" w:rsidRPr="002D0C2C" w:rsidRDefault="00280CA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>
        <w:rPr>
          <w:rFonts w:cs="David" w:hint="cs"/>
          <w:sz w:val="24"/>
          <w:szCs w:val="24"/>
          <w:rtl/>
          <w:lang w:eastAsia="en-US"/>
        </w:rPr>
        <w:t>כל אלה,</w:t>
      </w:r>
      <w:r w:rsidR="002D0C2C" w:rsidRPr="002D0C2C">
        <w:rPr>
          <w:rFonts w:cs="David"/>
          <w:sz w:val="24"/>
          <w:szCs w:val="24"/>
          <w:rtl/>
          <w:lang w:eastAsia="en-US"/>
        </w:rPr>
        <w:t xml:space="preserve"> בדיוק כפי שהופיעו ברישום המקורי. </w:t>
      </w:r>
    </w:p>
    <w:p w14:paraId="047AF456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01"/>
      </w:tblGrid>
      <w:tr w:rsidR="002D0C2C" w:rsidRPr="002D0C2C" w14:paraId="047AF458" w14:textId="77777777" w:rsidTr="00443F87">
        <w:trPr>
          <w:trHeight w:val="20"/>
        </w:trPr>
        <w:tc>
          <w:tcPr>
            <w:tcW w:w="2601" w:type="dxa"/>
            <w:shd w:val="pct20" w:color="auto" w:fill="auto"/>
          </w:tcPr>
          <w:p w14:paraId="047AF457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נכס אחר</w:t>
            </w:r>
          </w:p>
        </w:tc>
      </w:tr>
    </w:tbl>
    <w:p w14:paraId="047AF459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5A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 w:hint="cs"/>
          <w:sz w:val="24"/>
          <w:szCs w:val="24"/>
          <w:rtl/>
          <w:lang w:eastAsia="en-US"/>
        </w:rPr>
        <w:t>מדובר ב</w:t>
      </w:r>
      <w:r w:rsidRPr="002D0C2C">
        <w:rPr>
          <w:rFonts w:cs="David"/>
          <w:sz w:val="24"/>
          <w:szCs w:val="24"/>
          <w:rtl/>
          <w:lang w:eastAsia="en-US"/>
        </w:rPr>
        <w:t>כל נכס, להוציא כלי תחבורה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או </w:t>
      </w:r>
      <w:r w:rsidRPr="002D0C2C">
        <w:rPr>
          <w:rFonts w:cs="David"/>
          <w:sz w:val="24"/>
          <w:szCs w:val="24"/>
          <w:rtl/>
          <w:lang w:eastAsia="en-US"/>
        </w:rPr>
        <w:t>זכויות במקרקעין.</w:t>
      </w:r>
    </w:p>
    <w:p w14:paraId="047AF45B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 xml:space="preserve">יש לפרט את הנכסים בדיוק כפי שהופיעו ברישום המקורי. </w:t>
      </w:r>
    </w:p>
    <w:p w14:paraId="047AF45C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אם קיימים מספר נכסים יש להשתמש בנספח ב' - נכסים נוספים.</w:t>
      </w:r>
    </w:p>
    <w:p w14:paraId="047AF45D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3"/>
      </w:tblGrid>
      <w:tr w:rsidR="002D0C2C" w:rsidRPr="002D0C2C" w14:paraId="047AF45F" w14:textId="77777777" w:rsidTr="00443F87">
        <w:trPr>
          <w:trHeight w:val="20"/>
        </w:trPr>
        <w:tc>
          <w:tcPr>
            <w:tcW w:w="2743" w:type="dxa"/>
            <w:shd w:val="pct20" w:color="auto" w:fill="auto"/>
          </w:tcPr>
          <w:p w14:paraId="047AF45E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קביעה לגבי משכון נוסף</w:t>
            </w:r>
          </w:p>
        </w:tc>
      </w:tr>
    </w:tbl>
    <w:p w14:paraId="047AF460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61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 w:hint="cs"/>
          <w:sz w:val="24"/>
          <w:szCs w:val="24"/>
          <w:rtl/>
          <w:lang w:eastAsia="en-US"/>
        </w:rPr>
        <w:t>כאשר יסומן</w:t>
      </w:r>
      <w:r w:rsidRPr="002D0C2C">
        <w:rPr>
          <w:rFonts w:cs="David"/>
          <w:sz w:val="24"/>
          <w:szCs w:val="24"/>
          <w:rtl/>
          <w:lang w:eastAsia="en-US"/>
        </w:rPr>
        <w:t xml:space="preserve"> </w:t>
      </w:r>
      <w:r w:rsidRPr="002D0C2C">
        <w:rPr>
          <w:rFonts w:cs="David"/>
          <w:b/>
          <w:bCs/>
          <w:sz w:val="24"/>
          <w:szCs w:val="24"/>
          <w:lang w:eastAsia="en-US"/>
        </w:rPr>
        <w:sym w:font="Symbol" w:char="F0B4"/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במשבצת זו </w:t>
      </w:r>
      <w:r w:rsidRPr="002D0C2C">
        <w:rPr>
          <w:rFonts w:cs="David"/>
          <w:sz w:val="24"/>
          <w:szCs w:val="24"/>
          <w:rtl/>
          <w:lang w:eastAsia="en-US"/>
        </w:rPr>
        <w:t>תופיע באישור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רישום המשכון </w:t>
      </w:r>
      <w:r w:rsidRPr="002D0C2C">
        <w:rPr>
          <w:rFonts w:cs="David"/>
          <w:sz w:val="24"/>
          <w:szCs w:val="24"/>
          <w:rtl/>
          <w:lang w:eastAsia="en-US"/>
        </w:rPr>
        <w:t xml:space="preserve">השורה "קיימת קביעה לגבי משכון נוסף". </w:t>
      </w:r>
      <w:r w:rsidRPr="002D0C2C">
        <w:rPr>
          <w:rFonts w:cs="David" w:hint="cs"/>
          <w:sz w:val="24"/>
          <w:szCs w:val="24"/>
          <w:rtl/>
          <w:lang w:eastAsia="en-US"/>
        </w:rPr>
        <w:t>יצוין, כי לפי</w:t>
      </w:r>
      <w:r w:rsidRPr="002D0C2C">
        <w:rPr>
          <w:rFonts w:cs="David"/>
          <w:sz w:val="24"/>
          <w:szCs w:val="24"/>
          <w:rtl/>
          <w:lang w:eastAsia="en-US"/>
        </w:rPr>
        <w:t xml:space="preserve"> סעיף 6</w:t>
      </w:r>
      <w:r w:rsidRPr="002D0C2C">
        <w:rPr>
          <w:rFonts w:cs="David" w:hint="cs"/>
          <w:sz w:val="24"/>
          <w:szCs w:val="24"/>
          <w:rtl/>
          <w:lang w:eastAsia="en-US"/>
        </w:rPr>
        <w:t>(א)</w:t>
      </w:r>
      <w:r w:rsidRPr="002D0C2C">
        <w:rPr>
          <w:rFonts w:cs="David"/>
          <w:sz w:val="24"/>
          <w:szCs w:val="24"/>
          <w:rtl/>
          <w:lang w:eastAsia="en-US"/>
        </w:rPr>
        <w:t xml:space="preserve"> לחוק המשכון</w:t>
      </w:r>
      <w:r w:rsidRPr="002D0C2C">
        <w:rPr>
          <w:rFonts w:cs="David" w:hint="cs"/>
          <w:sz w:val="24"/>
          <w:szCs w:val="24"/>
          <w:rtl/>
          <w:lang w:eastAsia="en-US"/>
        </w:rPr>
        <w:t>, תשכ"ז-1967, הצדדים להסכם המשכון יכולים לקבוע כי לא ניתן לשעבד את הנכס הממושכן במשכון נוסף</w:t>
      </w:r>
      <w:r w:rsidRPr="002D0C2C">
        <w:rPr>
          <w:rFonts w:cs="David"/>
          <w:sz w:val="24"/>
          <w:szCs w:val="24"/>
          <w:rtl/>
          <w:lang w:eastAsia="en-US"/>
        </w:rPr>
        <w:t>.</w:t>
      </w:r>
    </w:p>
    <w:p w14:paraId="047AF462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ab/>
      </w: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3"/>
      </w:tblGrid>
      <w:tr w:rsidR="002D0C2C" w:rsidRPr="002D0C2C" w14:paraId="047AF464" w14:textId="77777777" w:rsidTr="00443F87">
        <w:trPr>
          <w:trHeight w:val="20"/>
        </w:trPr>
        <w:tc>
          <w:tcPr>
            <w:tcW w:w="2743" w:type="dxa"/>
            <w:shd w:val="pct20" w:color="auto" w:fill="auto"/>
          </w:tcPr>
          <w:p w14:paraId="047AF463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הערה לפי תקנה  </w:t>
            </w:r>
            <w:r w:rsidRPr="002D0C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5</w:t>
            </w:r>
            <w:r w:rsidRPr="002D0C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ד'</w:t>
            </w:r>
          </w:p>
        </w:tc>
      </w:tr>
    </w:tbl>
    <w:p w14:paraId="047AF465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66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 w:hint="cs"/>
          <w:sz w:val="24"/>
          <w:szCs w:val="24"/>
          <w:rtl/>
          <w:lang w:eastAsia="en-US"/>
        </w:rPr>
        <w:t xml:space="preserve">כאשר יסומן </w:t>
      </w:r>
      <w:r w:rsidRPr="002D0C2C">
        <w:rPr>
          <w:rFonts w:cs="David"/>
          <w:sz w:val="24"/>
          <w:szCs w:val="24"/>
          <w:lang w:eastAsia="en-US"/>
        </w:rPr>
        <w:t xml:space="preserve"> </w:t>
      </w:r>
      <w:r w:rsidRPr="002D0C2C">
        <w:rPr>
          <w:rFonts w:cs="David"/>
          <w:b/>
          <w:bCs/>
          <w:sz w:val="24"/>
          <w:szCs w:val="24"/>
          <w:lang w:eastAsia="en-US"/>
        </w:rPr>
        <w:sym w:font="Symbol" w:char="F0B4"/>
      </w:r>
      <w:r w:rsidRPr="002D0C2C">
        <w:rPr>
          <w:rFonts w:cs="David" w:hint="cs"/>
          <w:sz w:val="24"/>
          <w:szCs w:val="24"/>
          <w:rtl/>
          <w:lang w:eastAsia="en-US"/>
        </w:rPr>
        <w:t>במשבצת זו</w:t>
      </w:r>
      <w:r w:rsidRPr="002D0C2C">
        <w:rPr>
          <w:rFonts w:cs="David"/>
          <w:sz w:val="24"/>
          <w:szCs w:val="24"/>
          <w:rtl/>
          <w:lang w:eastAsia="en-US"/>
        </w:rPr>
        <w:t xml:space="preserve"> תופיע באישור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רישום המשכון</w:t>
      </w:r>
      <w:r w:rsidRPr="002D0C2C">
        <w:rPr>
          <w:rFonts w:cs="David"/>
          <w:sz w:val="24"/>
          <w:szCs w:val="24"/>
          <w:rtl/>
          <w:lang w:eastAsia="en-US"/>
        </w:rPr>
        <w:t xml:space="preserve"> השורה</w:t>
      </w:r>
      <w:r w:rsidRPr="002D0C2C">
        <w:rPr>
          <w:rFonts w:cs="David" w:hint="cs"/>
          <w:sz w:val="24"/>
          <w:szCs w:val="24"/>
          <w:rtl/>
          <w:lang w:eastAsia="en-US"/>
        </w:rPr>
        <w:t>:</w:t>
      </w:r>
      <w:r w:rsidRPr="002D0C2C">
        <w:rPr>
          <w:rFonts w:cs="David"/>
          <w:sz w:val="24"/>
          <w:szCs w:val="24"/>
          <w:rtl/>
          <w:lang w:eastAsia="en-US"/>
        </w:rPr>
        <w:t xml:space="preserve"> "הערה לפי תקנה 5 ד'".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לפי תקנה 5(ד) לתקנות המשכון (סדרי רישום ועיון), תשנ"ד-1994</w:t>
      </w:r>
      <w:r w:rsidR="00280CAC">
        <w:rPr>
          <w:rFonts w:cs="David" w:hint="cs"/>
          <w:sz w:val="24"/>
          <w:szCs w:val="24"/>
          <w:rtl/>
          <w:lang w:eastAsia="en-US"/>
        </w:rPr>
        <w:t>: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"</w:t>
      </w:r>
      <w:r w:rsidRPr="002D0C2C">
        <w:rPr>
          <w:rFonts w:cs="David"/>
          <w:sz w:val="24"/>
          <w:szCs w:val="24"/>
          <w:rtl/>
          <w:lang w:eastAsia="en-US"/>
        </w:rPr>
        <w:t>ב</w:t>
      </w:r>
      <w:r w:rsidRPr="002D0C2C">
        <w:rPr>
          <w:rFonts w:cs="David" w:hint="cs"/>
          <w:sz w:val="24"/>
          <w:szCs w:val="24"/>
          <w:rtl/>
          <w:lang w:eastAsia="en-US"/>
        </w:rPr>
        <w:t>רישום משכון לפי הסכם מכר או שכירות, ניתן להוסיף הערה בהודעת המשכון, כי אין הרישום כשלעצמו מעיד על כוונת הצדדים שהנכס המשועבד ישמש ערובה לחיוב כאמור בסעיף 2(ב) לחוק"</w:t>
      </w:r>
      <w:r w:rsidR="00B62451">
        <w:rPr>
          <w:rFonts w:cs="David" w:hint="cs"/>
          <w:sz w:val="24"/>
          <w:szCs w:val="24"/>
          <w:rtl/>
          <w:lang w:eastAsia="en-US"/>
        </w:rPr>
        <w:t>.</w:t>
      </w:r>
    </w:p>
    <w:p w14:paraId="047AF467" w14:textId="77777777" w:rsidR="002D0C2C" w:rsidRPr="002D0C2C" w:rsidRDefault="002D0C2C" w:rsidP="00B6245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הכוונה</w:t>
      </w:r>
      <w:r w:rsidRPr="002D0C2C">
        <w:rPr>
          <w:rFonts w:cs="David" w:hint="cs"/>
          <w:sz w:val="24"/>
          <w:szCs w:val="24"/>
          <w:rtl/>
          <w:lang w:eastAsia="en-US"/>
        </w:rPr>
        <w:t>, למשל,</w:t>
      </w:r>
      <w:r w:rsidRPr="002D0C2C">
        <w:rPr>
          <w:rFonts w:cs="David"/>
          <w:sz w:val="24"/>
          <w:szCs w:val="24"/>
          <w:rtl/>
          <w:lang w:eastAsia="en-US"/>
        </w:rPr>
        <w:t xml:space="preserve"> לנכס מושכר שאינו משמש עירבון </w:t>
      </w:r>
      <w:r w:rsidRPr="002D0C2C">
        <w:rPr>
          <w:rFonts w:cs="David" w:hint="cs"/>
          <w:sz w:val="24"/>
          <w:szCs w:val="24"/>
          <w:rtl/>
          <w:lang w:eastAsia="en-US"/>
        </w:rPr>
        <w:t>לקיום החיוב</w:t>
      </w:r>
      <w:r w:rsidRPr="002D0C2C">
        <w:rPr>
          <w:rFonts w:cs="David"/>
          <w:sz w:val="24"/>
          <w:szCs w:val="24"/>
          <w:rtl/>
          <w:lang w:eastAsia="en-US"/>
        </w:rPr>
        <w:t xml:space="preserve">. </w:t>
      </w:r>
    </w:p>
    <w:p w14:paraId="047AF468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7"/>
      </w:tblGrid>
      <w:tr w:rsidR="002D0C2C" w:rsidRPr="002D0C2C" w14:paraId="047AF46A" w14:textId="77777777" w:rsidTr="00443F87">
        <w:trPr>
          <w:trHeight w:val="20"/>
        </w:trPr>
        <w:tc>
          <w:tcPr>
            <w:tcW w:w="2317" w:type="dxa"/>
            <w:shd w:val="pct20" w:color="auto" w:fill="auto"/>
            <w:vAlign w:val="bottom"/>
          </w:tcPr>
          <w:p w14:paraId="047AF469" w14:textId="77777777" w:rsidR="002D0C2C" w:rsidRPr="002D0C2C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2D0C2C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חתימות</w:t>
            </w:r>
          </w:p>
        </w:tc>
      </w:tr>
    </w:tbl>
    <w:p w14:paraId="047AF46B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6C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lastRenderedPageBreak/>
        <w:t>יש צורך בחתימ</w:t>
      </w:r>
      <w:r w:rsidRPr="002D0C2C">
        <w:rPr>
          <w:rFonts w:cs="David" w:hint="cs"/>
          <w:sz w:val="24"/>
          <w:szCs w:val="24"/>
          <w:rtl/>
          <w:lang w:eastAsia="en-US"/>
        </w:rPr>
        <w:t>ו</w:t>
      </w:r>
      <w:r w:rsidRPr="002D0C2C">
        <w:rPr>
          <w:rFonts w:cs="David"/>
          <w:sz w:val="24"/>
          <w:szCs w:val="24"/>
          <w:rtl/>
          <w:lang w:eastAsia="en-US"/>
        </w:rPr>
        <w:t xml:space="preserve">ת הנושה/ים </w:t>
      </w:r>
      <w:r w:rsidRPr="002D0C2C">
        <w:rPr>
          <w:rFonts w:cs="David" w:hint="cs"/>
          <w:sz w:val="24"/>
          <w:szCs w:val="24"/>
          <w:rtl/>
          <w:lang w:eastAsia="en-US"/>
        </w:rPr>
        <w:t xml:space="preserve"> והחייב/ים. ניתן לחתום בשם הצדדים גם</w:t>
      </w:r>
      <w:r w:rsidRPr="002D0C2C">
        <w:rPr>
          <w:rFonts w:cs="David"/>
          <w:sz w:val="24"/>
          <w:szCs w:val="24"/>
          <w:rtl/>
          <w:lang w:eastAsia="en-US"/>
        </w:rPr>
        <w:t xml:space="preserve"> בצירוף י</w:t>
      </w:r>
      <w:r w:rsidR="0045300A">
        <w:rPr>
          <w:rFonts w:cs="David" w:hint="cs"/>
          <w:sz w:val="24"/>
          <w:szCs w:val="24"/>
          <w:rtl/>
          <w:lang w:eastAsia="en-US"/>
        </w:rPr>
        <w:t>י</w:t>
      </w:r>
      <w:r w:rsidR="0045300A">
        <w:rPr>
          <w:rFonts w:cs="David"/>
          <w:sz w:val="24"/>
          <w:szCs w:val="24"/>
          <w:rtl/>
          <w:lang w:eastAsia="en-US"/>
        </w:rPr>
        <w:t>פו</w:t>
      </w:r>
      <w:r w:rsidRPr="002D0C2C">
        <w:rPr>
          <w:rFonts w:cs="David" w:hint="cs"/>
          <w:sz w:val="24"/>
          <w:szCs w:val="24"/>
          <w:rtl/>
          <w:lang w:eastAsia="en-US"/>
        </w:rPr>
        <w:t>י</w:t>
      </w:r>
      <w:r w:rsidRPr="002D0C2C">
        <w:rPr>
          <w:rFonts w:cs="David"/>
          <w:sz w:val="24"/>
          <w:szCs w:val="24"/>
          <w:rtl/>
          <w:lang w:eastAsia="en-US"/>
        </w:rPr>
        <w:t xml:space="preserve"> כוח</w:t>
      </w:r>
      <w:r w:rsidRPr="002D0C2C">
        <w:rPr>
          <w:rFonts w:cs="David" w:hint="cs"/>
          <w:sz w:val="24"/>
          <w:szCs w:val="24"/>
          <w:rtl/>
          <w:lang w:eastAsia="en-US"/>
        </w:rPr>
        <w:t>.</w:t>
      </w:r>
    </w:p>
    <w:p w14:paraId="047AF46D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David"/>
          <w:sz w:val="24"/>
          <w:szCs w:val="24"/>
          <w:lang w:eastAsia="en-US"/>
        </w:rPr>
      </w:pPr>
      <w:r w:rsidRPr="002D0C2C">
        <w:rPr>
          <w:rFonts w:ascii="Arial" w:hAnsi="Arial" w:cs="David" w:hint="cs"/>
          <w:sz w:val="24"/>
          <w:szCs w:val="24"/>
          <w:rtl/>
          <w:lang w:eastAsia="en-US"/>
        </w:rPr>
        <w:t>על מנת שלא לעכב את הטיפול בהודעת העברת המשכון עקב בדיקת סמכותו של מיופה הכוח, רצוי לכלול בייפוי הכוח את הסמכות המפורשת לבצע את הפעולה המבוקשת בנוגע למשכון ספציפי זה.</w:t>
      </w:r>
    </w:p>
    <w:p w14:paraId="047AF46E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7"/>
      </w:tblGrid>
      <w:tr w:rsidR="002D0C2C" w:rsidRPr="002D0C2C" w14:paraId="047AF470" w14:textId="77777777" w:rsidTr="00443F87">
        <w:trPr>
          <w:trHeight w:val="20"/>
        </w:trPr>
        <w:tc>
          <w:tcPr>
            <w:tcW w:w="2317" w:type="dxa"/>
            <w:shd w:val="pct20" w:color="auto" w:fill="auto"/>
            <w:vAlign w:val="center"/>
          </w:tcPr>
          <w:p w14:paraId="047AF46F" w14:textId="77777777" w:rsidR="002D0C2C" w:rsidRPr="00FC7F4E" w:rsidRDefault="002D0C2C" w:rsidP="00280CAC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FC7F4E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אגרה</w:t>
            </w:r>
          </w:p>
        </w:tc>
      </w:tr>
    </w:tbl>
    <w:p w14:paraId="047AF471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72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2D0C2C">
        <w:rPr>
          <w:rFonts w:cs="David"/>
          <w:sz w:val="24"/>
          <w:szCs w:val="24"/>
          <w:rtl/>
          <w:lang w:eastAsia="en-US"/>
        </w:rPr>
        <w:t>הודעת העברה פטורה מאגרה</w:t>
      </w:r>
      <w:r w:rsidRPr="002D0C2C">
        <w:rPr>
          <w:rFonts w:cs="David" w:hint="cs"/>
          <w:sz w:val="24"/>
          <w:szCs w:val="24"/>
          <w:rtl/>
          <w:lang w:eastAsia="en-US"/>
        </w:rPr>
        <w:t>.</w:t>
      </w:r>
      <w:r w:rsidRPr="002D0C2C">
        <w:rPr>
          <w:rFonts w:cs="David"/>
          <w:sz w:val="24"/>
          <w:szCs w:val="24"/>
          <w:rtl/>
          <w:lang w:eastAsia="en-US"/>
        </w:rPr>
        <w:t xml:space="preserve"> </w:t>
      </w:r>
    </w:p>
    <w:p w14:paraId="047AF473" w14:textId="77777777" w:rsidR="002D0C2C" w:rsidRPr="002D0C2C" w:rsidRDefault="002D0C2C" w:rsidP="00280CA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047AF474" w14:textId="77777777" w:rsidR="00BE308C" w:rsidRPr="004E6482" w:rsidRDefault="00BE308C" w:rsidP="00280CAC">
      <w:pPr>
        <w:pStyle w:val="Heading2"/>
        <w:jc w:val="both"/>
        <w:rPr>
          <w:rtl/>
          <w:lang w:eastAsia="en-US"/>
        </w:rPr>
      </w:pPr>
    </w:p>
    <w:sectPr w:rsidR="00BE308C" w:rsidRPr="004E6482" w:rsidSect="00213F9B">
      <w:headerReference w:type="default" r:id="rId11"/>
      <w:footerReference w:type="default" r:id="rId12"/>
      <w:endnotePr>
        <w:numFmt w:val="lowerLetter"/>
      </w:endnotePr>
      <w:pgSz w:w="11906" w:h="16838"/>
      <w:pgMar w:top="1440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DC13" w14:textId="77777777" w:rsidR="00551FAE" w:rsidRDefault="00551FAE">
      <w:r>
        <w:separator/>
      </w:r>
    </w:p>
  </w:endnote>
  <w:endnote w:type="continuationSeparator" w:id="0">
    <w:p w14:paraId="0211CDAB" w14:textId="77777777" w:rsidR="00551FAE" w:rsidRDefault="0055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AF483" w14:textId="77777777" w:rsidR="0047437D" w:rsidRPr="00CC5B99" w:rsidRDefault="0047437D" w:rsidP="007B39F9">
    <w:pPr>
      <w:pStyle w:val="Footer"/>
      <w:jc w:val="center"/>
      <w:rPr>
        <w:rFonts w:ascii="Arial" w:hAnsi="Arial" w:cs="Guttman Davi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09E7" w14:textId="77777777" w:rsidR="00551FAE" w:rsidRDefault="00551FAE">
      <w:r>
        <w:separator/>
      </w:r>
    </w:p>
  </w:footnote>
  <w:footnote w:type="continuationSeparator" w:id="0">
    <w:p w14:paraId="0C41523D" w14:textId="77777777" w:rsidR="00551FAE" w:rsidRDefault="0055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3EE7" w14:textId="6A129AE1" w:rsidR="004B476A" w:rsidRDefault="004B476A" w:rsidP="004B476A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17D1A204" wp14:editId="54587774">
          <wp:simplePos x="0" y="0"/>
          <wp:positionH relativeFrom="column">
            <wp:posOffset>5753100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3" name="תמונה 3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9164E95" wp14:editId="66CCA811">
          <wp:simplePos x="0" y="0"/>
          <wp:positionH relativeFrom="column">
            <wp:posOffset>-742950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4" name="תמונה 4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 w:hint="cs"/>
        <w:b/>
        <w:bCs/>
        <w:sz w:val="28"/>
        <w:szCs w:val="28"/>
        <w:rtl/>
      </w:rPr>
      <w:t>מדינת ישראל</w:t>
    </w:r>
  </w:p>
  <w:p w14:paraId="421720C0" w14:textId="77777777" w:rsidR="004B476A" w:rsidRDefault="004B476A" w:rsidP="004B476A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משרד המשפטים</w:t>
    </w:r>
  </w:p>
  <w:p w14:paraId="0C5030C2" w14:textId="77777777" w:rsidR="004B476A" w:rsidRDefault="004B476A" w:rsidP="004B476A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רשות התאגידים</w:t>
    </w:r>
  </w:p>
  <w:p w14:paraId="7B6B2F21" w14:textId="77777777" w:rsidR="004B476A" w:rsidRDefault="004B476A" w:rsidP="004B476A">
    <w:pPr>
      <w:pStyle w:val="Header"/>
      <w:jc w:val="center"/>
      <w:rPr>
        <w:rFonts w:ascii="Calibri" w:eastAsia="Calibri" w:hAnsi="Calibri"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רשם המשכונות</w:t>
    </w:r>
  </w:p>
  <w:p w14:paraId="59FC0F14" w14:textId="77777777" w:rsidR="004B476A" w:rsidRDefault="004B476A" w:rsidP="004B476A"/>
  <w:p w14:paraId="35DB697A" w14:textId="77777777" w:rsidR="004B476A" w:rsidRPr="007C2393" w:rsidRDefault="004B476A" w:rsidP="004B476A">
    <w:pPr>
      <w:jc w:val="center"/>
    </w:pPr>
  </w:p>
  <w:p w14:paraId="047AF482" w14:textId="77777777" w:rsidR="0047437D" w:rsidRPr="004B476A" w:rsidRDefault="0047437D" w:rsidP="004B476A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5015F"/>
    <w:multiLevelType w:val="hybridMultilevel"/>
    <w:tmpl w:val="252A3F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xqnTsd8wONtbvmiNQaXAfxXTIY=" w:salt="mWNRIL4LJtNN8+hukBiKL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BF"/>
    <w:rsid w:val="000804FE"/>
    <w:rsid w:val="00087BA4"/>
    <w:rsid w:val="000A5876"/>
    <w:rsid w:val="00127608"/>
    <w:rsid w:val="00137E95"/>
    <w:rsid w:val="001412A3"/>
    <w:rsid w:val="001516AD"/>
    <w:rsid w:val="00157A1A"/>
    <w:rsid w:val="0018109B"/>
    <w:rsid w:val="001A6E73"/>
    <w:rsid w:val="001D09AE"/>
    <w:rsid w:val="001F25EC"/>
    <w:rsid w:val="00201B7C"/>
    <w:rsid w:val="00213F9B"/>
    <w:rsid w:val="0021659B"/>
    <w:rsid w:val="00233606"/>
    <w:rsid w:val="00235CC0"/>
    <w:rsid w:val="00261649"/>
    <w:rsid w:val="00280CAC"/>
    <w:rsid w:val="00280E00"/>
    <w:rsid w:val="002D0C2C"/>
    <w:rsid w:val="00371B4F"/>
    <w:rsid w:val="00392A27"/>
    <w:rsid w:val="003A102A"/>
    <w:rsid w:val="003C6355"/>
    <w:rsid w:val="003D3875"/>
    <w:rsid w:val="003D53C6"/>
    <w:rsid w:val="003E5FDD"/>
    <w:rsid w:val="004047B0"/>
    <w:rsid w:val="0045300A"/>
    <w:rsid w:val="0046719A"/>
    <w:rsid w:val="0047437D"/>
    <w:rsid w:val="004B476A"/>
    <w:rsid w:val="004E6482"/>
    <w:rsid w:val="004E786F"/>
    <w:rsid w:val="005267A3"/>
    <w:rsid w:val="00551FAE"/>
    <w:rsid w:val="00585FC2"/>
    <w:rsid w:val="005A58F6"/>
    <w:rsid w:val="005C38A6"/>
    <w:rsid w:val="006232F5"/>
    <w:rsid w:val="00631C1F"/>
    <w:rsid w:val="006601B2"/>
    <w:rsid w:val="006622ED"/>
    <w:rsid w:val="006904B9"/>
    <w:rsid w:val="006C62BF"/>
    <w:rsid w:val="006F4D82"/>
    <w:rsid w:val="00726B1B"/>
    <w:rsid w:val="00736D2F"/>
    <w:rsid w:val="007441AA"/>
    <w:rsid w:val="00793160"/>
    <w:rsid w:val="007952A2"/>
    <w:rsid w:val="0079686C"/>
    <w:rsid w:val="007A3CDF"/>
    <w:rsid w:val="007B3140"/>
    <w:rsid w:val="007B39F9"/>
    <w:rsid w:val="007C3102"/>
    <w:rsid w:val="00820DD7"/>
    <w:rsid w:val="00831968"/>
    <w:rsid w:val="00837E88"/>
    <w:rsid w:val="00852E5B"/>
    <w:rsid w:val="0085392B"/>
    <w:rsid w:val="008715AA"/>
    <w:rsid w:val="00883C6D"/>
    <w:rsid w:val="00894661"/>
    <w:rsid w:val="00916DAD"/>
    <w:rsid w:val="00983882"/>
    <w:rsid w:val="009844EE"/>
    <w:rsid w:val="009A043B"/>
    <w:rsid w:val="009F57C4"/>
    <w:rsid w:val="00A00008"/>
    <w:rsid w:val="00A01BD7"/>
    <w:rsid w:val="00A3657B"/>
    <w:rsid w:val="00A4228B"/>
    <w:rsid w:val="00A82B18"/>
    <w:rsid w:val="00A92F5D"/>
    <w:rsid w:val="00AB4A97"/>
    <w:rsid w:val="00AE06C1"/>
    <w:rsid w:val="00B017C3"/>
    <w:rsid w:val="00B13D60"/>
    <w:rsid w:val="00B60256"/>
    <w:rsid w:val="00B62451"/>
    <w:rsid w:val="00B878AD"/>
    <w:rsid w:val="00B94944"/>
    <w:rsid w:val="00BB146A"/>
    <w:rsid w:val="00BE308C"/>
    <w:rsid w:val="00BF6666"/>
    <w:rsid w:val="00C07901"/>
    <w:rsid w:val="00C260F7"/>
    <w:rsid w:val="00C33138"/>
    <w:rsid w:val="00C40073"/>
    <w:rsid w:val="00C467D6"/>
    <w:rsid w:val="00C7526F"/>
    <w:rsid w:val="00CA3F69"/>
    <w:rsid w:val="00CB694A"/>
    <w:rsid w:val="00CC5B99"/>
    <w:rsid w:val="00CD1293"/>
    <w:rsid w:val="00D27FD1"/>
    <w:rsid w:val="00D4391F"/>
    <w:rsid w:val="00DD4B8F"/>
    <w:rsid w:val="00DE21CD"/>
    <w:rsid w:val="00DE5D65"/>
    <w:rsid w:val="00E41E5A"/>
    <w:rsid w:val="00E9182A"/>
    <w:rsid w:val="00F05404"/>
    <w:rsid w:val="00F658E3"/>
    <w:rsid w:val="00F87A85"/>
    <w:rsid w:val="00F91AFD"/>
    <w:rsid w:val="00FC7F4E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AF422"/>
  <w15:docId w15:val="{6D3C1437-1EEC-4725-AE72-EB50198B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3D53C6"/>
    <w:pPr>
      <w:keepNext/>
      <w:ind w:left="5754" w:firstLine="6"/>
      <w:outlineLvl w:val="0"/>
    </w:pPr>
    <w:rPr>
      <w:rFonts w:cs="David"/>
      <w:b/>
      <w:bCs/>
      <w:szCs w:val="24"/>
    </w:rPr>
  </w:style>
  <w:style w:type="paragraph" w:styleId="Heading2">
    <w:name w:val="heading 2"/>
    <w:basedOn w:val="Normal"/>
    <w:next w:val="Normal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Heading3">
    <w:name w:val="heading 3"/>
    <w:basedOn w:val="Normal"/>
    <w:next w:val="Normal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53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53C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Normal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BodyText">
    <w:name w:val="Body Text"/>
    <w:basedOn w:val="Normal"/>
    <w:link w:val="BodyTextChar"/>
    <w:rsid w:val="00AB4A97"/>
    <w:pPr>
      <w:spacing w:after="120"/>
    </w:pPr>
  </w:style>
  <w:style w:type="character" w:customStyle="1" w:styleId="BodyTextChar">
    <w:name w:val="Body Text Char"/>
    <w:link w:val="BodyText"/>
    <w:rsid w:val="00AB4A97"/>
    <w:rPr>
      <w:lang w:eastAsia="he-IL"/>
    </w:rPr>
  </w:style>
  <w:style w:type="paragraph" w:styleId="ListParagraph">
    <w:name w:val="List Paragraph"/>
    <w:basedOn w:val="Normal"/>
    <w:uiPriority w:val="34"/>
    <w:qFormat/>
    <w:rsid w:val="00AB4A97"/>
    <w:pPr>
      <w:ind w:left="720"/>
    </w:pPr>
  </w:style>
  <w:style w:type="table" w:styleId="TableGrid">
    <w:name w:val="Table Grid"/>
    <w:basedOn w:val="TableNormal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4B8F"/>
    <w:rPr>
      <w:lang w:eastAsia="he-IL"/>
    </w:rPr>
  </w:style>
  <w:style w:type="paragraph" w:styleId="BalloonText">
    <w:name w:val="Balloon Text"/>
    <w:basedOn w:val="Normal"/>
    <w:link w:val="BalloonTextChar"/>
    <w:rsid w:val="00B87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8AD"/>
    <w:rPr>
      <w:rFonts w:ascii="Tahoma" w:hAnsi="Tahoma" w:cs="Tahoma"/>
      <w:sz w:val="16"/>
      <w:szCs w:val="16"/>
      <w:lang w:eastAsia="he-IL"/>
    </w:rPr>
  </w:style>
  <w:style w:type="paragraph" w:customStyle="1" w:styleId="CharChar">
    <w:name w:val="Char Char"/>
    <w:basedOn w:val="Normal"/>
    <w:next w:val="Normal"/>
    <w:autoRedefine/>
    <w:rsid w:val="00CB694A"/>
    <w:pPr>
      <w:overflowPunct/>
      <w:autoSpaceDE/>
      <w:autoSpaceDN/>
      <w:adjustRightInd/>
      <w:spacing w:after="160" w:line="360" w:lineRule="auto"/>
      <w:textAlignment w:val="auto"/>
    </w:pPr>
    <w:rPr>
      <w:rFonts w:ascii="Tahoma" w:hAnsi="Tahoma" w:cs="Arial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741D9B0BB887AB408982CCF8928A9A17" ma:contentTypeVersion="108" ma:contentTypeDescription="סוג תוכן עבור קבצים, אגרות,רשומות " ma:contentTypeScope="" ma:versionID="a33acf596df9292f07989f2ea175a3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b8c732f6d279b28224ea5bd0bb5c45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1:PublishingContactName" minOccurs="0"/>
                <xsd:element ref="ns1:PublishingContactPicture" minOccurs="0"/>
                <xsd:element ref="ns2:OpenNewWindow" minOccurs="0"/>
                <xsd:element ref="ns2:Targ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5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6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7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18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9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2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3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3" nillable="true" ma:taxonomy="true" ma:internalName="MMDUnitsNameTaxHTField0" ma:taxonomyFieldName="MMDUnitsName" ma:displayName="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OpenNewWindow" ma:index="24" nillable="true" ma:displayName="פתח בחלון נפרד" ma:default="0" ma:internalName="OpenNewWindow">
      <xsd:simpleType>
        <xsd:restriction base="dms:Boolean"/>
      </xsd:simpleType>
    </xsd:element>
    <xsd:element name="Target" ma:index="25" nillable="true" ma:displayName="פתיחת קישור בחלון חדש" ma:default="לא" ma:format="RadioButtons" ma:internalName="Target">
      <xsd:simpleType>
        <xsd:restriction base="dms:Choice">
          <xsd:enumeration value="לא"/>
          <xsd:enumeration value="כן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OpenNewWindow xmlns="605e85f2-268e-450d-9afb-d305d42b267e">false</OpenNewWindow>
    <Target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6FAA-2EBA-48D7-9205-EBF8FC26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93F88-CBA1-4067-AD76-47E63E248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89604-157E-4B5C-B28D-62CC33E3236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65589A-9471-49C9-8A6F-BED85D1C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הודעת העברה</vt:lpstr>
      <vt:lpstr/>
    </vt:vector>
  </TitlesOfParts>
  <Company>Ministry of the Interior</Company>
  <LinksUpToDate>false</LinksUpToDate>
  <CharactersWithSpaces>2723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http://www.amutot.justice.gov.il/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הודעת העברה</dc:title>
  <dc:creator>Oshrat Arfi Moray</dc:creator>
  <cp:lastModifiedBy>Nataly Katz</cp:lastModifiedBy>
  <cp:revision>2</cp:revision>
  <cp:lastPrinted>2012-12-30T12:02:00Z</cp:lastPrinted>
  <dcterms:created xsi:type="dcterms:W3CDTF">2017-11-22T09:24:00Z</dcterms:created>
  <dcterms:modified xsi:type="dcterms:W3CDTF">2017-11-22T09:24:00Z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0x010100C568DB52D9D0A14D9B2FDCC96666E9F2007948130EC3DB064584E219954237AF390501010300741D9B0BB887AB408982CCF8928A9A17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5500</vt:r8>
  </property>
  <property fmtid="{D5CDD505-2E9C-101B-9397-08002B2CF9AE}" pid="13" name="MojChoice4">
    <vt:lpwstr>הזן אפשרות מס' 1</vt:lpwstr>
  </property>
  <property fmtid="{D5CDD505-2E9C-101B-9397-08002B2CF9AE}" pid="14" name="CopyRights">
    <vt:bool>false</vt:bool>
  </property>
  <property fmtid="{D5CDD505-2E9C-101B-9397-08002B2CF9AE}" pid="15" name="MojChoice2">
    <vt:lpwstr>הזן אפשרות מס' 1</vt:lpwstr>
  </property>
  <property fmtid="{D5CDD505-2E9C-101B-9397-08002B2CF9AE}" pid="16" name="MojChoice5">
    <vt:lpwstr>הזן אפשרות מס' 1</vt:lpwstr>
  </property>
  <property fmtid="{D5CDD505-2E9C-101B-9397-08002B2CF9AE}" pid="17" name="MojChoice3">
    <vt:lpwstr>הזן אפשרות מס' 1</vt:lpwstr>
  </property>
  <property fmtid="{D5CDD505-2E9C-101B-9397-08002B2CF9AE}" pid="18" name="MOJ_IsShowInHomePage">
    <vt:bool>false</vt:bool>
  </property>
  <property fmtid="{D5CDD505-2E9C-101B-9397-08002B2CF9AE}" pid="19" name="MojDescriptionImgSize">
    <vt:lpwstr>Small</vt:lpwstr>
  </property>
</Properties>
</file>