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1C" w:rsidRPr="00C36EC2" w:rsidRDefault="0062371C" w:rsidP="0062371C">
      <w:pPr>
        <w:jc w:val="both"/>
        <w:rPr>
          <w:rFonts w:cs="FrankRuehl"/>
          <w:b/>
          <w:bCs/>
          <w:sz w:val="28"/>
          <w:szCs w:val="28"/>
          <w:u w:val="single"/>
          <w:rtl/>
        </w:rPr>
      </w:pPr>
      <w:r w:rsidRPr="00C36EC2">
        <w:rPr>
          <w:rFonts w:cs="FrankRuehl" w:hint="cs"/>
          <w:b/>
          <w:bCs/>
          <w:sz w:val="28"/>
          <w:szCs w:val="28"/>
          <w:u w:val="single"/>
          <w:rtl/>
        </w:rPr>
        <w:t xml:space="preserve">הוועדה להגברת התחרות בשירותים בנקאיים ופיננסים נפוצים </w:t>
      </w:r>
    </w:p>
    <w:p w:rsidR="0062371C" w:rsidRPr="00C36EC2" w:rsidRDefault="0062371C" w:rsidP="0062371C">
      <w:pPr>
        <w:jc w:val="both"/>
        <w:rPr>
          <w:rFonts w:cs="FrankRuehl"/>
          <w:b/>
          <w:bCs/>
          <w:sz w:val="28"/>
          <w:szCs w:val="28"/>
          <w:u w:val="single"/>
          <w:rtl/>
        </w:rPr>
      </w:pPr>
      <w:r>
        <w:rPr>
          <w:rFonts w:cs="FrankRuehl" w:hint="cs"/>
          <w:b/>
          <w:bCs/>
          <w:sz w:val="28"/>
          <w:szCs w:val="28"/>
          <w:u w:val="single"/>
          <w:rtl/>
        </w:rPr>
        <w:t>28.10.2015</w:t>
      </w:r>
    </w:p>
    <w:p w:rsidR="0062371C" w:rsidRPr="00C36EC2" w:rsidRDefault="0062371C" w:rsidP="0062371C">
      <w:pPr>
        <w:jc w:val="both"/>
        <w:rPr>
          <w:rFonts w:cs="FrankRuehl"/>
          <w:sz w:val="28"/>
          <w:szCs w:val="28"/>
          <w:u w:val="single"/>
          <w:rtl/>
        </w:rPr>
      </w:pPr>
      <w:r w:rsidRPr="00C36EC2">
        <w:rPr>
          <w:rFonts w:cs="FrankRuehl" w:hint="cs"/>
          <w:sz w:val="28"/>
          <w:szCs w:val="28"/>
          <w:u w:val="single"/>
          <w:rtl/>
        </w:rPr>
        <w:t>חברי הוועדה המשתתפים:</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מר דרור שטרום, יושב ראש הוועדה</w:t>
      </w:r>
    </w:p>
    <w:p w:rsidR="0062371C" w:rsidRPr="00C0712C" w:rsidRDefault="0062371C" w:rsidP="0062371C">
      <w:pPr>
        <w:spacing w:line="360" w:lineRule="auto"/>
        <w:jc w:val="both"/>
        <w:rPr>
          <w:rFonts w:cs="FrankRuehl"/>
          <w:sz w:val="26"/>
          <w:szCs w:val="26"/>
          <w:rtl/>
        </w:rPr>
      </w:pPr>
      <w:proofErr w:type="spellStart"/>
      <w:r w:rsidRPr="00C0712C">
        <w:rPr>
          <w:rFonts w:cs="FrankRuehl" w:hint="cs"/>
          <w:sz w:val="26"/>
          <w:szCs w:val="26"/>
          <w:rtl/>
        </w:rPr>
        <w:t>פרופ</w:t>
      </w:r>
      <w:proofErr w:type="spellEnd"/>
      <w:r w:rsidRPr="00C0712C">
        <w:rPr>
          <w:rFonts w:cs="FrankRuehl" w:hint="cs"/>
          <w:sz w:val="26"/>
          <w:szCs w:val="26"/>
          <w:rtl/>
        </w:rPr>
        <w:t>', אבי בן בסט, האוניברסיטה העברית והמכללה למנהל</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ד"ר נדין בודו-טרכטנברג, המשנה לנגידת בנק ישראל, בנק ישראל</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פרופ' נתן זוסמן, ראש חטיבת המחקר, בנק ישראל</w:t>
      </w:r>
    </w:p>
    <w:p w:rsidR="0062371C" w:rsidRDefault="0062371C" w:rsidP="0062371C">
      <w:pPr>
        <w:spacing w:line="360" w:lineRule="auto"/>
        <w:jc w:val="both"/>
        <w:rPr>
          <w:rFonts w:cs="FrankRuehl"/>
          <w:sz w:val="26"/>
          <w:szCs w:val="26"/>
          <w:rtl/>
        </w:rPr>
      </w:pPr>
      <w:r w:rsidRPr="00C0712C">
        <w:rPr>
          <w:rFonts w:cs="FrankRuehl" w:hint="cs"/>
          <w:sz w:val="26"/>
          <w:szCs w:val="26"/>
          <w:rtl/>
        </w:rPr>
        <w:t>גב' יעל מבורך, סגנית הממונה על התקציבים</w:t>
      </w:r>
    </w:p>
    <w:p w:rsidR="0062371C" w:rsidRPr="00C0712C" w:rsidRDefault="0062371C" w:rsidP="0062371C">
      <w:pPr>
        <w:spacing w:line="360" w:lineRule="auto"/>
        <w:jc w:val="both"/>
        <w:rPr>
          <w:rFonts w:cs="FrankRuehl"/>
          <w:sz w:val="26"/>
          <w:szCs w:val="26"/>
          <w:rtl/>
        </w:rPr>
      </w:pPr>
      <w:r>
        <w:rPr>
          <w:rFonts w:cs="FrankRuehl" w:hint="cs"/>
          <w:sz w:val="26"/>
          <w:szCs w:val="26"/>
          <w:rtl/>
        </w:rPr>
        <w:t xml:space="preserve">עו"ד ארץ </w:t>
      </w:r>
      <w:proofErr w:type="spellStart"/>
      <w:r>
        <w:rPr>
          <w:rFonts w:cs="FrankRuehl" w:hint="cs"/>
          <w:sz w:val="26"/>
          <w:szCs w:val="26"/>
          <w:rtl/>
        </w:rPr>
        <w:t>קמינץ</w:t>
      </w:r>
      <w:proofErr w:type="spellEnd"/>
      <w:r>
        <w:rPr>
          <w:rFonts w:cs="FrankRuehl" w:hint="cs"/>
          <w:sz w:val="26"/>
          <w:szCs w:val="26"/>
          <w:rtl/>
        </w:rPr>
        <w:t>, משנה ליועמ"ש, משרד המשפטים</w:t>
      </w:r>
    </w:p>
    <w:p w:rsidR="0062371C" w:rsidRPr="00C0712C" w:rsidRDefault="0062371C" w:rsidP="0062371C">
      <w:pPr>
        <w:spacing w:line="360" w:lineRule="auto"/>
        <w:jc w:val="both"/>
        <w:rPr>
          <w:rFonts w:cs="FrankRuehl"/>
          <w:sz w:val="26"/>
          <w:szCs w:val="26"/>
          <w:rtl/>
        </w:rPr>
      </w:pPr>
    </w:p>
    <w:p w:rsidR="0062371C" w:rsidRPr="00C0712C" w:rsidRDefault="0062371C" w:rsidP="0062371C">
      <w:pPr>
        <w:spacing w:line="360" w:lineRule="auto"/>
        <w:jc w:val="both"/>
        <w:rPr>
          <w:rFonts w:cs="FrankRuehl"/>
          <w:sz w:val="26"/>
          <w:szCs w:val="26"/>
          <w:u w:val="single"/>
          <w:rtl/>
        </w:rPr>
      </w:pPr>
      <w:r w:rsidRPr="00C0712C">
        <w:rPr>
          <w:rFonts w:cs="FrankRuehl" w:hint="cs"/>
          <w:sz w:val="26"/>
          <w:szCs w:val="26"/>
          <w:u w:val="single"/>
          <w:rtl/>
        </w:rPr>
        <w:t>נציגים:</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יואל בריס, משרד האוצר</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יואב גפני, משרד האוצר</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יונתן בר סימן טוב, משרד האוצר</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 xml:space="preserve">כפיר </w:t>
      </w:r>
      <w:proofErr w:type="spellStart"/>
      <w:r w:rsidRPr="00C0712C">
        <w:rPr>
          <w:rFonts w:cs="FrankRuehl" w:hint="cs"/>
          <w:sz w:val="26"/>
          <w:szCs w:val="26"/>
          <w:rtl/>
        </w:rPr>
        <w:t>בטט</w:t>
      </w:r>
      <w:proofErr w:type="spellEnd"/>
      <w:r w:rsidRPr="00C0712C">
        <w:rPr>
          <w:rFonts w:cs="FrankRuehl" w:hint="cs"/>
          <w:sz w:val="26"/>
          <w:szCs w:val="26"/>
          <w:rtl/>
        </w:rPr>
        <w:t>, משרד האוצר</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 xml:space="preserve">ברוך </w:t>
      </w:r>
      <w:proofErr w:type="spellStart"/>
      <w:r w:rsidRPr="00C0712C">
        <w:rPr>
          <w:rFonts w:cs="FrankRuehl" w:hint="cs"/>
          <w:sz w:val="26"/>
          <w:szCs w:val="26"/>
          <w:rtl/>
        </w:rPr>
        <w:t>לוברט</w:t>
      </w:r>
      <w:proofErr w:type="spellEnd"/>
      <w:r w:rsidRPr="00C0712C">
        <w:rPr>
          <w:rFonts w:cs="FrankRuehl" w:hint="cs"/>
          <w:sz w:val="26"/>
          <w:szCs w:val="26"/>
          <w:rtl/>
        </w:rPr>
        <w:t>, משרד האוצר</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רויטל קיסר, בנק ישראל</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 xml:space="preserve">מיקי </w:t>
      </w:r>
      <w:proofErr w:type="spellStart"/>
      <w:r w:rsidRPr="00C0712C">
        <w:rPr>
          <w:rFonts w:cs="FrankRuehl" w:hint="cs"/>
          <w:sz w:val="26"/>
          <w:szCs w:val="26"/>
          <w:rtl/>
        </w:rPr>
        <w:t>קהן</w:t>
      </w:r>
      <w:proofErr w:type="spellEnd"/>
      <w:r w:rsidRPr="00C0712C">
        <w:rPr>
          <w:rFonts w:cs="FrankRuehl" w:hint="cs"/>
          <w:sz w:val="26"/>
          <w:szCs w:val="26"/>
          <w:rtl/>
        </w:rPr>
        <w:t>, בנק ישראל</w:t>
      </w:r>
    </w:p>
    <w:p w:rsidR="0062371C" w:rsidRPr="00C0712C" w:rsidRDefault="0078534C" w:rsidP="0062371C">
      <w:pPr>
        <w:spacing w:line="360" w:lineRule="auto"/>
        <w:jc w:val="both"/>
        <w:rPr>
          <w:rFonts w:cs="FrankRuehl"/>
          <w:sz w:val="26"/>
          <w:szCs w:val="26"/>
          <w:rtl/>
        </w:rPr>
      </w:pPr>
      <w:r>
        <w:rPr>
          <w:rFonts w:cs="FrankRuehl" w:hint="cs"/>
          <w:sz w:val="26"/>
          <w:szCs w:val="26"/>
          <w:rtl/>
        </w:rPr>
        <w:t xml:space="preserve">ד"ר </w:t>
      </w:r>
      <w:r w:rsidR="0062371C" w:rsidRPr="00C0712C">
        <w:rPr>
          <w:rFonts w:cs="FrankRuehl" w:hint="cs"/>
          <w:sz w:val="26"/>
          <w:szCs w:val="26"/>
          <w:rtl/>
        </w:rPr>
        <w:t>אסף אילת, הרשות להגבלים עסקיים</w:t>
      </w:r>
    </w:p>
    <w:p w:rsidR="0062371C" w:rsidRPr="00C0712C" w:rsidRDefault="0078534C" w:rsidP="0062371C">
      <w:pPr>
        <w:spacing w:line="360" w:lineRule="auto"/>
        <w:jc w:val="both"/>
        <w:rPr>
          <w:rFonts w:cs="FrankRuehl"/>
          <w:sz w:val="26"/>
          <w:szCs w:val="26"/>
          <w:rtl/>
        </w:rPr>
      </w:pPr>
      <w:r>
        <w:rPr>
          <w:rFonts w:cs="FrankRuehl" w:hint="cs"/>
          <w:sz w:val="26"/>
          <w:szCs w:val="26"/>
          <w:rtl/>
        </w:rPr>
        <w:t xml:space="preserve">ד"ר </w:t>
      </w:r>
      <w:r w:rsidR="0062371C" w:rsidRPr="00C0712C">
        <w:rPr>
          <w:rFonts w:cs="FrankRuehl" w:hint="cs"/>
          <w:sz w:val="26"/>
          <w:szCs w:val="26"/>
          <w:rtl/>
        </w:rPr>
        <w:t>דנה הלר, הרשות להגבלים עסקיים</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אורי שרף, הרשות להגבלים עסקיים</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 xml:space="preserve">אלעד </w:t>
      </w:r>
      <w:proofErr w:type="spellStart"/>
      <w:r w:rsidRPr="00C0712C">
        <w:rPr>
          <w:rFonts w:cs="FrankRuehl" w:hint="cs"/>
          <w:sz w:val="26"/>
          <w:szCs w:val="26"/>
          <w:rtl/>
        </w:rPr>
        <w:t>מקדסי</w:t>
      </w:r>
      <w:proofErr w:type="spellEnd"/>
      <w:r w:rsidRPr="00C0712C">
        <w:rPr>
          <w:rFonts w:cs="FrankRuehl" w:hint="cs"/>
          <w:sz w:val="26"/>
          <w:szCs w:val="26"/>
          <w:rtl/>
        </w:rPr>
        <w:t>, הרשות להגבלים עסקיים</w:t>
      </w:r>
    </w:p>
    <w:p w:rsidR="0062371C" w:rsidRDefault="0062371C" w:rsidP="0062371C">
      <w:pPr>
        <w:spacing w:line="360" w:lineRule="auto"/>
        <w:jc w:val="both"/>
        <w:rPr>
          <w:rFonts w:cs="FrankRuehl"/>
          <w:sz w:val="26"/>
          <w:szCs w:val="26"/>
          <w:rtl/>
        </w:rPr>
      </w:pPr>
      <w:r w:rsidRPr="00C0712C">
        <w:rPr>
          <w:rFonts w:cs="FrankRuehl" w:hint="cs"/>
          <w:sz w:val="26"/>
          <w:szCs w:val="26"/>
          <w:rtl/>
        </w:rPr>
        <w:t xml:space="preserve">ליאור </w:t>
      </w:r>
      <w:proofErr w:type="spellStart"/>
      <w:r w:rsidRPr="00C0712C">
        <w:rPr>
          <w:rFonts w:cs="FrankRuehl" w:hint="cs"/>
          <w:sz w:val="26"/>
          <w:szCs w:val="26"/>
          <w:rtl/>
        </w:rPr>
        <w:t>תבורי</w:t>
      </w:r>
      <w:proofErr w:type="spellEnd"/>
    </w:p>
    <w:p w:rsidR="0062371C" w:rsidRDefault="0062371C" w:rsidP="0062371C">
      <w:pPr>
        <w:spacing w:line="360" w:lineRule="auto"/>
        <w:jc w:val="both"/>
        <w:rPr>
          <w:rFonts w:cs="FrankRuehl"/>
          <w:sz w:val="26"/>
          <w:szCs w:val="26"/>
          <w:rtl/>
        </w:rPr>
      </w:pPr>
      <w:r>
        <w:rPr>
          <w:rFonts w:cs="FrankRuehl" w:hint="cs"/>
          <w:sz w:val="26"/>
          <w:szCs w:val="26"/>
          <w:rtl/>
        </w:rPr>
        <w:t xml:space="preserve">רוני </w:t>
      </w:r>
      <w:proofErr w:type="spellStart"/>
      <w:r>
        <w:rPr>
          <w:rFonts w:cs="FrankRuehl" w:hint="cs"/>
          <w:sz w:val="26"/>
          <w:szCs w:val="26"/>
          <w:rtl/>
        </w:rPr>
        <w:t>טלמור</w:t>
      </w:r>
      <w:proofErr w:type="spellEnd"/>
      <w:r>
        <w:rPr>
          <w:rFonts w:cs="FrankRuehl" w:hint="cs"/>
          <w:sz w:val="26"/>
          <w:szCs w:val="26"/>
          <w:rtl/>
        </w:rPr>
        <w:t>, משרד המשפטים</w:t>
      </w:r>
    </w:p>
    <w:p w:rsidR="0062371C" w:rsidRDefault="0062371C" w:rsidP="0062371C">
      <w:pPr>
        <w:spacing w:line="360" w:lineRule="auto"/>
        <w:jc w:val="both"/>
        <w:rPr>
          <w:rFonts w:cs="FrankRuehl"/>
          <w:sz w:val="26"/>
          <w:szCs w:val="26"/>
          <w:rtl/>
        </w:rPr>
      </w:pPr>
      <w:r>
        <w:rPr>
          <w:rFonts w:cs="FrankRuehl" w:hint="cs"/>
          <w:sz w:val="26"/>
          <w:szCs w:val="26"/>
          <w:rtl/>
        </w:rPr>
        <w:lastRenderedPageBreak/>
        <w:t xml:space="preserve">רוני </w:t>
      </w:r>
      <w:proofErr w:type="spellStart"/>
      <w:r>
        <w:rPr>
          <w:rFonts w:cs="FrankRuehl" w:hint="cs"/>
          <w:sz w:val="26"/>
          <w:szCs w:val="26"/>
          <w:rtl/>
        </w:rPr>
        <w:t>נויבאר</w:t>
      </w:r>
      <w:proofErr w:type="spellEnd"/>
      <w:r>
        <w:rPr>
          <w:rFonts w:cs="FrankRuehl" w:hint="cs"/>
          <w:sz w:val="26"/>
          <w:szCs w:val="26"/>
          <w:rtl/>
        </w:rPr>
        <w:t>, משרד המשפטים</w:t>
      </w:r>
    </w:p>
    <w:p w:rsidR="004C63D7" w:rsidRPr="00C36EC2" w:rsidRDefault="004C63D7" w:rsidP="004C63D7">
      <w:pPr>
        <w:spacing w:line="360" w:lineRule="auto"/>
        <w:jc w:val="both"/>
        <w:rPr>
          <w:rFonts w:cs="FrankRuehl"/>
          <w:b/>
          <w:bCs/>
          <w:sz w:val="28"/>
          <w:szCs w:val="28"/>
          <w:u w:val="single"/>
          <w:rtl/>
        </w:rPr>
      </w:pPr>
      <w:r w:rsidRPr="00C36EC2">
        <w:rPr>
          <w:rFonts w:cs="FrankRuehl" w:hint="cs"/>
          <w:b/>
          <w:bCs/>
          <w:sz w:val="28"/>
          <w:szCs w:val="28"/>
          <w:u w:val="single"/>
          <w:rtl/>
        </w:rPr>
        <w:t xml:space="preserve">סיכום דיון </w:t>
      </w:r>
    </w:p>
    <w:p w:rsidR="004C63D7" w:rsidRPr="00DA42CD" w:rsidRDefault="004C63D7" w:rsidP="004C63D7">
      <w:pPr>
        <w:pStyle w:val="a3"/>
        <w:numPr>
          <w:ilvl w:val="0"/>
          <w:numId w:val="1"/>
        </w:numPr>
        <w:spacing w:line="360" w:lineRule="auto"/>
        <w:jc w:val="both"/>
        <w:rPr>
          <w:rFonts w:cs="FrankRuehl"/>
          <w:sz w:val="26"/>
          <w:szCs w:val="26"/>
        </w:rPr>
      </w:pPr>
      <w:r w:rsidRPr="00DA42CD">
        <w:rPr>
          <w:rFonts w:cs="FrankRuehl" w:hint="cs"/>
          <w:sz w:val="26"/>
          <w:szCs w:val="26"/>
          <w:rtl/>
        </w:rPr>
        <w:t>יו"ר הוועדה, דרור שטרום, פתח והציג את נושאי הדיון להיום, המלצות צוות המשנה לעניין הגופים המוסדיים.</w:t>
      </w:r>
    </w:p>
    <w:p w:rsidR="004C63D7" w:rsidRPr="00DA42CD" w:rsidRDefault="004C63D7" w:rsidP="004C63D7">
      <w:pPr>
        <w:pStyle w:val="a3"/>
        <w:numPr>
          <w:ilvl w:val="0"/>
          <w:numId w:val="1"/>
        </w:numPr>
        <w:spacing w:line="360" w:lineRule="auto"/>
        <w:jc w:val="both"/>
        <w:rPr>
          <w:rFonts w:cs="FrankRuehl"/>
          <w:sz w:val="26"/>
          <w:szCs w:val="26"/>
        </w:rPr>
      </w:pPr>
      <w:r w:rsidRPr="00DA42CD">
        <w:rPr>
          <w:rFonts w:cs="FrankRuehl" w:hint="cs"/>
          <w:sz w:val="26"/>
          <w:szCs w:val="26"/>
          <w:rtl/>
        </w:rPr>
        <w:t>הוצגה החשיבות ברתימת ההון המוסדי כאמצעי לעידוד התחרות באשראי הקמעונאי. צוין כי דבר זה יבוא לרווחת הצרכנים בשוק האשראי והן לרווחת החוסכים בגופים המוסדיים בגלל גיוון מקורות ההשקעה של נכסיהם.</w:t>
      </w:r>
    </w:p>
    <w:p w:rsidR="004C63D7" w:rsidRPr="00DA42CD" w:rsidRDefault="004C63D7" w:rsidP="004C63D7">
      <w:pPr>
        <w:pStyle w:val="a3"/>
        <w:numPr>
          <w:ilvl w:val="0"/>
          <w:numId w:val="1"/>
        </w:numPr>
        <w:spacing w:line="360" w:lineRule="auto"/>
        <w:jc w:val="both"/>
        <w:rPr>
          <w:rFonts w:cs="FrankRuehl"/>
          <w:sz w:val="26"/>
          <w:szCs w:val="26"/>
        </w:rPr>
      </w:pPr>
      <w:r w:rsidRPr="00DA42CD">
        <w:rPr>
          <w:rFonts w:cs="FrankRuehl" w:hint="cs"/>
          <w:sz w:val="26"/>
          <w:szCs w:val="26"/>
          <w:rtl/>
        </w:rPr>
        <w:t>הוצגו ההמלצות ולאחר מכן התקיים דיון. ההמלצות הן כדלקמן:</w:t>
      </w:r>
    </w:p>
    <w:p w:rsidR="00DA42CD" w:rsidRPr="00DA42CD" w:rsidRDefault="00DA42CD" w:rsidP="00DA42CD">
      <w:pPr>
        <w:pStyle w:val="a3"/>
        <w:numPr>
          <w:ilvl w:val="0"/>
          <w:numId w:val="1"/>
        </w:numPr>
        <w:spacing w:line="360" w:lineRule="auto"/>
        <w:jc w:val="both"/>
        <w:rPr>
          <w:rFonts w:ascii="David" w:hAnsi="David" w:cs="FrankRuehl"/>
          <w:sz w:val="26"/>
          <w:szCs w:val="26"/>
        </w:rPr>
      </w:pPr>
      <w:r w:rsidRPr="00DA42CD">
        <w:rPr>
          <w:rFonts w:ascii="David" w:hAnsi="David" w:cs="FrankRuehl" w:hint="cs"/>
          <w:sz w:val="26"/>
          <w:szCs w:val="26"/>
          <w:rtl/>
        </w:rPr>
        <w:t>בעלי השליטה בגופים</w:t>
      </w:r>
      <w:r w:rsidRPr="00DA42CD">
        <w:rPr>
          <w:rFonts w:ascii="David" w:hAnsi="David" w:cs="FrankRuehl"/>
          <w:sz w:val="26"/>
          <w:szCs w:val="26"/>
          <w:rtl/>
        </w:rPr>
        <w:t xml:space="preserve"> המוסדיים יוכלו להקים חברות בנות להספקת אשראי שמקורותיהם יהיו הון </w:t>
      </w:r>
      <w:proofErr w:type="spellStart"/>
      <w:r w:rsidRPr="00DA42CD">
        <w:rPr>
          <w:rFonts w:ascii="David" w:hAnsi="David" w:cs="FrankRuehl"/>
          <w:sz w:val="26"/>
          <w:szCs w:val="26"/>
          <w:rtl/>
        </w:rPr>
        <w:t>נוסטרו</w:t>
      </w:r>
      <w:proofErr w:type="spellEnd"/>
      <w:r w:rsidRPr="00DA42CD">
        <w:rPr>
          <w:rFonts w:ascii="David" w:hAnsi="David" w:cs="FrankRuehl" w:hint="cs"/>
          <w:sz w:val="26"/>
          <w:szCs w:val="26"/>
          <w:rtl/>
        </w:rPr>
        <w:t xml:space="preserve"> של חברת האם</w:t>
      </w:r>
      <w:r w:rsidRPr="00DA42CD">
        <w:rPr>
          <w:rFonts w:ascii="David" w:hAnsi="David" w:cs="FrankRuehl"/>
          <w:sz w:val="26"/>
          <w:szCs w:val="26"/>
          <w:rtl/>
        </w:rPr>
        <w:t xml:space="preserve"> והון שיגויס על ידי הנפקת איגרות חוב.</w:t>
      </w:r>
      <w:r w:rsidRPr="00DA42CD">
        <w:rPr>
          <w:rFonts w:ascii="David" w:hAnsi="David" w:cs="FrankRuehl" w:hint="cs"/>
          <w:sz w:val="26"/>
          <w:szCs w:val="26"/>
          <w:rtl/>
        </w:rPr>
        <w:t xml:space="preserve"> </w:t>
      </w:r>
    </w:p>
    <w:p w:rsidR="00DA42CD" w:rsidRPr="00DA42CD" w:rsidRDefault="00DA42CD" w:rsidP="00DA42CD">
      <w:pPr>
        <w:pStyle w:val="a3"/>
        <w:numPr>
          <w:ilvl w:val="0"/>
          <w:numId w:val="1"/>
        </w:numPr>
        <w:spacing w:line="360" w:lineRule="auto"/>
        <w:jc w:val="both"/>
        <w:rPr>
          <w:rFonts w:ascii="David" w:hAnsi="David" w:cs="FrankRuehl"/>
          <w:sz w:val="26"/>
          <w:szCs w:val="26"/>
        </w:rPr>
      </w:pPr>
      <w:r w:rsidRPr="00DA42CD">
        <w:rPr>
          <w:rFonts w:ascii="David" w:hAnsi="David" w:cs="FrankRuehl"/>
          <w:sz w:val="26"/>
          <w:szCs w:val="26"/>
          <w:rtl/>
        </w:rPr>
        <w:t xml:space="preserve">סך הנפקת איגרות החוב לא תוגבל, ובלבד שפעילות חברת הבת להספקת אשראי </w:t>
      </w:r>
      <w:proofErr w:type="spellStart"/>
      <w:r w:rsidRPr="00DA42CD">
        <w:rPr>
          <w:rFonts w:ascii="David" w:hAnsi="David" w:cs="FrankRuehl"/>
          <w:sz w:val="26"/>
          <w:szCs w:val="26"/>
          <w:rtl/>
        </w:rPr>
        <w:t>תפוקח</w:t>
      </w:r>
      <w:proofErr w:type="spellEnd"/>
      <w:r w:rsidRPr="00DA42CD">
        <w:rPr>
          <w:rFonts w:ascii="David" w:hAnsi="David" w:cs="FrankRuehl"/>
          <w:sz w:val="26"/>
          <w:szCs w:val="26"/>
          <w:rtl/>
        </w:rPr>
        <w:t xml:space="preserve"> בידי הממונה על שוק ההון</w:t>
      </w:r>
      <w:r w:rsidRPr="00DA42CD">
        <w:rPr>
          <w:rFonts w:ascii="David" w:hAnsi="David" w:cs="FrankRuehl" w:hint="cs"/>
          <w:sz w:val="26"/>
          <w:szCs w:val="26"/>
          <w:rtl/>
        </w:rPr>
        <w:t>, ולאחר שתוסדר מסגרת הפיקוח</w:t>
      </w:r>
      <w:r w:rsidRPr="00DA42CD">
        <w:rPr>
          <w:rFonts w:ascii="David" w:hAnsi="David" w:cs="FrankRuehl"/>
          <w:sz w:val="26"/>
          <w:szCs w:val="26"/>
          <w:rtl/>
        </w:rPr>
        <w:t>.</w:t>
      </w:r>
    </w:p>
    <w:p w:rsidR="004C63D7" w:rsidRPr="00DA42CD" w:rsidRDefault="00DA42CD" w:rsidP="00CF2629">
      <w:pPr>
        <w:pStyle w:val="a3"/>
        <w:numPr>
          <w:ilvl w:val="1"/>
          <w:numId w:val="1"/>
        </w:numPr>
        <w:spacing w:line="360" w:lineRule="auto"/>
        <w:jc w:val="both"/>
        <w:rPr>
          <w:rFonts w:cs="FrankRuehl"/>
          <w:sz w:val="26"/>
          <w:szCs w:val="26"/>
        </w:rPr>
      </w:pPr>
      <w:r w:rsidRPr="00DA42CD">
        <w:rPr>
          <w:rFonts w:ascii="David" w:hAnsi="David" w:cs="FrankRuehl" w:hint="cs"/>
          <w:sz w:val="26"/>
          <w:szCs w:val="26"/>
          <w:rtl/>
        </w:rPr>
        <w:t>הגוף המוסדי</w:t>
      </w:r>
      <w:r w:rsidRPr="00DA42CD">
        <w:rPr>
          <w:rFonts w:ascii="David" w:hAnsi="David" w:cs="FrankRuehl"/>
          <w:sz w:val="26"/>
          <w:szCs w:val="26"/>
          <w:rtl/>
        </w:rPr>
        <w:t xml:space="preserve"> יוכל לרכוש עבור </w:t>
      </w:r>
      <w:r w:rsidRPr="00DA42CD">
        <w:rPr>
          <w:rFonts w:ascii="David" w:hAnsi="David" w:cs="FrankRuehl" w:hint="cs"/>
          <w:sz w:val="26"/>
          <w:szCs w:val="26"/>
          <w:rtl/>
        </w:rPr>
        <w:t xml:space="preserve">כספי </w:t>
      </w:r>
      <w:r w:rsidRPr="00DA42CD">
        <w:rPr>
          <w:rFonts w:ascii="David" w:hAnsi="David" w:cs="FrankRuehl"/>
          <w:sz w:val="26"/>
          <w:szCs w:val="26"/>
          <w:rtl/>
        </w:rPr>
        <w:t>העמיתים איגרות חוב</w:t>
      </w:r>
      <w:r w:rsidRPr="00DA42CD">
        <w:rPr>
          <w:rFonts w:ascii="David" w:hAnsi="David" w:cs="FrankRuehl" w:hint="cs"/>
          <w:sz w:val="26"/>
          <w:szCs w:val="26"/>
          <w:rtl/>
        </w:rPr>
        <w:t xml:space="preserve"> סחירות</w:t>
      </w:r>
      <w:r w:rsidRPr="00DA42CD">
        <w:rPr>
          <w:rFonts w:ascii="David" w:hAnsi="David" w:cs="FrankRuehl"/>
          <w:sz w:val="26"/>
          <w:szCs w:val="26"/>
          <w:rtl/>
        </w:rPr>
        <w:t xml:space="preserve"> של חברת הבת להספקת אשראי בשיעור שלא יעלה על 25% מהיקף ההנפקה בכללותה.</w:t>
      </w:r>
      <w:r w:rsidRPr="00DA42CD">
        <w:rPr>
          <w:rFonts w:ascii="David" w:hAnsi="David" w:cs="FrankRuehl" w:hint="cs"/>
          <w:sz w:val="26"/>
          <w:szCs w:val="26"/>
          <w:rtl/>
        </w:rPr>
        <w:t xml:space="preserve"> </w:t>
      </w:r>
    </w:p>
    <w:p w:rsidR="00DA42CD" w:rsidRPr="001862E6" w:rsidRDefault="00DA42CD" w:rsidP="001862E6">
      <w:pPr>
        <w:pStyle w:val="a3"/>
        <w:numPr>
          <w:ilvl w:val="0"/>
          <w:numId w:val="1"/>
        </w:numPr>
        <w:spacing w:line="360" w:lineRule="auto"/>
        <w:jc w:val="both"/>
        <w:rPr>
          <w:rFonts w:ascii="David" w:hAnsi="David" w:cs="FrankRuehl"/>
          <w:sz w:val="26"/>
          <w:szCs w:val="26"/>
        </w:rPr>
      </w:pPr>
      <w:r w:rsidRPr="001862E6">
        <w:rPr>
          <w:rFonts w:ascii="David" w:hAnsi="David" w:cs="FrankRuehl"/>
          <w:sz w:val="26"/>
          <w:szCs w:val="26"/>
          <w:rtl/>
        </w:rPr>
        <w:t>הדרישה להעמדת בטוחה מספקת כנגד הספקת הלוואות שאינן מדורגות תבוטל.</w:t>
      </w:r>
      <w:r w:rsidRPr="001862E6">
        <w:rPr>
          <w:rFonts w:ascii="David" w:hAnsi="David" w:cs="FrankRuehl" w:hint="cs"/>
          <w:sz w:val="26"/>
          <w:szCs w:val="26"/>
          <w:rtl/>
        </w:rPr>
        <w:t xml:space="preserve"> </w:t>
      </w:r>
      <w:r w:rsidRPr="001862E6">
        <w:rPr>
          <w:rFonts w:ascii="David" w:hAnsi="David" w:cs="FrankRuehl"/>
          <w:sz w:val="26"/>
          <w:szCs w:val="26"/>
          <w:rtl/>
        </w:rPr>
        <w:t xml:space="preserve">הדרישה לאנליזה שתדרג את הסיכון </w:t>
      </w:r>
      <w:r w:rsidRPr="001862E6">
        <w:rPr>
          <w:rFonts w:ascii="David" w:hAnsi="David" w:cs="FrankRuehl" w:hint="cs"/>
          <w:sz w:val="26"/>
          <w:szCs w:val="26"/>
          <w:rtl/>
        </w:rPr>
        <w:t xml:space="preserve">הכרוך בכל </w:t>
      </w:r>
      <w:r w:rsidRPr="001862E6">
        <w:rPr>
          <w:rFonts w:ascii="David" w:hAnsi="David" w:cs="FrankRuehl"/>
          <w:sz w:val="26"/>
          <w:szCs w:val="26"/>
          <w:rtl/>
        </w:rPr>
        <w:t xml:space="preserve">הלוואה </w:t>
      </w:r>
      <w:r w:rsidRPr="001862E6">
        <w:rPr>
          <w:rFonts w:ascii="David" w:hAnsi="David" w:cs="FrankRuehl" w:hint="cs"/>
          <w:sz w:val="26"/>
          <w:szCs w:val="26"/>
          <w:rtl/>
        </w:rPr>
        <w:t xml:space="preserve">תישאר בעינה. ויובהר כי בחינת עקרונות החיתום של גוף נותן אשראי מהווה אנליזה מספקת.  </w:t>
      </w:r>
      <w:r w:rsidRPr="001862E6">
        <w:rPr>
          <w:rFonts w:ascii="David" w:hAnsi="David" w:cs="FrankRuehl"/>
          <w:sz w:val="26"/>
          <w:szCs w:val="26"/>
          <w:rtl/>
        </w:rPr>
        <w:t>בנקים יחויבו ל</w:t>
      </w:r>
      <w:r w:rsidRPr="001862E6">
        <w:rPr>
          <w:rFonts w:ascii="David" w:hAnsi="David" w:cs="FrankRuehl" w:hint="cs"/>
          <w:sz w:val="26"/>
          <w:szCs w:val="26"/>
          <w:rtl/>
        </w:rPr>
        <w:t>דווח לצד שלישי,</w:t>
      </w:r>
      <w:r w:rsidRPr="001862E6">
        <w:rPr>
          <w:rFonts w:ascii="David" w:hAnsi="David" w:cs="FrankRuehl"/>
          <w:sz w:val="26"/>
          <w:szCs w:val="26"/>
          <w:rtl/>
        </w:rPr>
        <w:t xml:space="preserve"> לפי דרישת הלקוח</w:t>
      </w:r>
      <w:r w:rsidRPr="001862E6">
        <w:rPr>
          <w:rFonts w:ascii="David" w:hAnsi="David" w:cs="FrankRuehl" w:hint="cs"/>
          <w:sz w:val="26"/>
          <w:szCs w:val="26"/>
          <w:rtl/>
        </w:rPr>
        <w:t>,</w:t>
      </w:r>
      <w:r w:rsidRPr="001862E6">
        <w:rPr>
          <w:rFonts w:ascii="David" w:hAnsi="David" w:cs="FrankRuehl"/>
          <w:sz w:val="26"/>
          <w:szCs w:val="26"/>
          <w:rtl/>
        </w:rPr>
        <w:t xml:space="preserve"> את יתרת חשבון העו"ש שלהם על בסיס יומי ובאמצעות ממשק דיגיטלי.</w:t>
      </w:r>
    </w:p>
    <w:p w:rsidR="00DA42CD" w:rsidRPr="001862E6" w:rsidRDefault="00DA42CD" w:rsidP="00DA42CD">
      <w:pPr>
        <w:pStyle w:val="a3"/>
        <w:spacing w:line="360" w:lineRule="auto"/>
        <w:jc w:val="both"/>
        <w:rPr>
          <w:rFonts w:ascii="David" w:hAnsi="David" w:cs="FrankRuehl"/>
          <w:sz w:val="26"/>
          <w:szCs w:val="26"/>
        </w:rPr>
      </w:pPr>
    </w:p>
    <w:p w:rsidR="004C63D7" w:rsidRPr="00DA42CD" w:rsidRDefault="00DA42CD" w:rsidP="00DA42CD">
      <w:pPr>
        <w:pStyle w:val="a3"/>
        <w:numPr>
          <w:ilvl w:val="0"/>
          <w:numId w:val="1"/>
        </w:numPr>
        <w:spacing w:line="360" w:lineRule="auto"/>
        <w:jc w:val="both"/>
        <w:rPr>
          <w:rFonts w:cs="FrankRuehl"/>
          <w:sz w:val="26"/>
          <w:szCs w:val="26"/>
          <w:rtl/>
        </w:rPr>
      </w:pPr>
      <w:r w:rsidRPr="00DA42CD">
        <w:rPr>
          <w:rFonts w:cs="FrankRuehl" w:hint="cs"/>
          <w:sz w:val="26"/>
          <w:szCs w:val="26"/>
          <w:rtl/>
        </w:rPr>
        <w:t xml:space="preserve">חברי הוועדה התבקשו לדון בהמלצות תחליפיות לעניין הקלה על תקנות השקעה של </w:t>
      </w:r>
      <w:r>
        <w:rPr>
          <w:rFonts w:cs="FrankRuehl" w:hint="cs"/>
          <w:sz w:val="26"/>
          <w:szCs w:val="26"/>
          <w:rtl/>
        </w:rPr>
        <w:t xml:space="preserve">כספי </w:t>
      </w:r>
      <w:proofErr w:type="spellStart"/>
      <w:r>
        <w:rPr>
          <w:rFonts w:cs="FrankRuehl" w:hint="cs"/>
          <w:sz w:val="26"/>
          <w:szCs w:val="26"/>
          <w:rtl/>
        </w:rPr>
        <w:t>הנוסט</w:t>
      </w:r>
      <w:r w:rsidR="00161A85">
        <w:rPr>
          <w:rFonts w:cs="FrankRuehl" w:hint="cs"/>
          <w:sz w:val="26"/>
          <w:szCs w:val="26"/>
          <w:rtl/>
        </w:rPr>
        <w:t>ר</w:t>
      </w:r>
      <w:r>
        <w:rPr>
          <w:rFonts w:cs="FrankRuehl" w:hint="cs"/>
          <w:sz w:val="26"/>
          <w:szCs w:val="26"/>
          <w:rtl/>
        </w:rPr>
        <w:t>ו</w:t>
      </w:r>
      <w:proofErr w:type="spellEnd"/>
      <w:r w:rsidR="00161A85">
        <w:rPr>
          <w:rFonts w:cs="FrankRuehl" w:hint="cs"/>
          <w:sz w:val="26"/>
          <w:szCs w:val="26"/>
          <w:rtl/>
        </w:rPr>
        <w:t>.</w:t>
      </w:r>
      <w:r>
        <w:rPr>
          <w:rFonts w:cs="FrankRuehl" w:hint="cs"/>
          <w:sz w:val="26"/>
          <w:szCs w:val="26"/>
          <w:rtl/>
        </w:rPr>
        <w:t xml:space="preserve"> </w:t>
      </w:r>
    </w:p>
    <w:p w:rsidR="00DA42CD" w:rsidRPr="00DA42CD" w:rsidRDefault="00DA42CD" w:rsidP="00DA42CD">
      <w:pPr>
        <w:pStyle w:val="a3"/>
        <w:numPr>
          <w:ilvl w:val="0"/>
          <w:numId w:val="4"/>
        </w:numPr>
        <w:spacing w:line="360" w:lineRule="auto"/>
        <w:jc w:val="both"/>
        <w:rPr>
          <w:rFonts w:ascii="David" w:hAnsi="David" w:cs="FrankRuehl"/>
          <w:sz w:val="26"/>
          <w:szCs w:val="26"/>
        </w:rPr>
      </w:pPr>
      <w:r w:rsidRPr="00DA42CD">
        <w:rPr>
          <w:rFonts w:ascii="David" w:hAnsi="David" w:cs="FrankRuehl"/>
          <w:sz w:val="26"/>
          <w:szCs w:val="26"/>
          <w:rtl/>
        </w:rPr>
        <w:t>הממונה על שוק ההון תמשיך לבחון את העמידה במגבלות הקיימות וככל שהמגבלה תהפוך לאפקטיבית היא תישקל מחדש.</w:t>
      </w:r>
    </w:p>
    <w:p w:rsidR="00DA42CD" w:rsidRPr="00BD4952" w:rsidRDefault="00DA42CD" w:rsidP="00BD4952">
      <w:pPr>
        <w:pStyle w:val="a3"/>
        <w:numPr>
          <w:ilvl w:val="0"/>
          <w:numId w:val="4"/>
        </w:numPr>
        <w:spacing w:line="360" w:lineRule="auto"/>
        <w:jc w:val="both"/>
        <w:rPr>
          <w:rFonts w:ascii="David" w:hAnsi="David" w:cs="FrankRuehl"/>
          <w:sz w:val="26"/>
          <w:szCs w:val="26"/>
          <w:rtl/>
        </w:rPr>
      </w:pPr>
      <w:r w:rsidRPr="00DA42CD">
        <w:rPr>
          <w:rFonts w:ascii="David" w:hAnsi="David" w:cs="FrankRuehl" w:hint="cs"/>
          <w:sz w:val="26"/>
          <w:szCs w:val="26"/>
          <w:rtl/>
        </w:rPr>
        <w:t>להקל את ההגבלה כבר עתה</w:t>
      </w:r>
      <w:r w:rsidR="00161A85">
        <w:rPr>
          <w:rFonts w:ascii="David" w:hAnsi="David" w:cs="FrankRuehl" w:hint="cs"/>
          <w:sz w:val="26"/>
          <w:szCs w:val="26"/>
          <w:rtl/>
        </w:rPr>
        <w:t xml:space="preserve"> הן </w:t>
      </w:r>
      <w:r w:rsidRPr="00BD4952">
        <w:rPr>
          <w:rFonts w:ascii="David" w:hAnsi="David" w:cs="FrankRuehl" w:hint="cs"/>
          <w:sz w:val="26"/>
          <w:szCs w:val="26"/>
          <w:rtl/>
        </w:rPr>
        <w:t xml:space="preserve">משום שהחברות המעוניינות ביוזמה מתכננות להתחיל בסכומים גדולים בהרבה מחברות האשראי החוץ בנקאיות הקיימות  </w:t>
      </w:r>
      <w:r w:rsidR="00161A85">
        <w:rPr>
          <w:rFonts w:ascii="David" w:hAnsi="David" w:cs="FrankRuehl" w:hint="cs"/>
          <w:sz w:val="26"/>
          <w:szCs w:val="26"/>
          <w:rtl/>
        </w:rPr>
        <w:t>ו</w:t>
      </w:r>
      <w:r w:rsidRPr="00BD4952">
        <w:rPr>
          <w:rFonts w:ascii="David" w:hAnsi="David" w:cs="FrankRuehl" w:hint="cs"/>
          <w:sz w:val="26"/>
          <w:szCs w:val="26"/>
          <w:rtl/>
        </w:rPr>
        <w:t>הן</w:t>
      </w:r>
      <w:r w:rsidR="00161A85">
        <w:rPr>
          <w:rFonts w:ascii="David" w:hAnsi="David" w:cs="FrankRuehl" w:hint="cs"/>
          <w:sz w:val="26"/>
          <w:szCs w:val="26"/>
          <w:rtl/>
        </w:rPr>
        <w:t xml:space="preserve"> כי החברות</w:t>
      </w:r>
      <w:r w:rsidRPr="00BD4952">
        <w:rPr>
          <w:rFonts w:ascii="David" w:hAnsi="David" w:cs="FrankRuehl" w:hint="cs"/>
          <w:sz w:val="26"/>
          <w:szCs w:val="26"/>
          <w:rtl/>
        </w:rPr>
        <w:t xml:space="preserve"> זקוקות לוודאות לגבי ההתפתחות העתידית. </w:t>
      </w:r>
    </w:p>
    <w:p w:rsidR="00331CED" w:rsidRDefault="00DA42CD" w:rsidP="00DC3CA2">
      <w:pPr>
        <w:pStyle w:val="a3"/>
        <w:numPr>
          <w:ilvl w:val="0"/>
          <w:numId w:val="5"/>
        </w:numPr>
        <w:spacing w:line="360" w:lineRule="auto"/>
        <w:jc w:val="both"/>
        <w:rPr>
          <w:rFonts w:ascii="David" w:hAnsi="David" w:cs="FrankRuehl"/>
          <w:sz w:val="26"/>
          <w:szCs w:val="26"/>
        </w:rPr>
      </w:pPr>
      <w:r>
        <w:rPr>
          <w:rFonts w:ascii="David" w:hAnsi="David" w:cs="FrankRuehl" w:hint="cs"/>
          <w:sz w:val="26"/>
          <w:szCs w:val="26"/>
          <w:rtl/>
        </w:rPr>
        <w:t>כמו כן,</w:t>
      </w:r>
      <w:r w:rsidR="00331CED">
        <w:rPr>
          <w:rFonts w:ascii="David" w:hAnsi="David" w:cs="FrankRuehl" w:hint="cs"/>
          <w:sz w:val="26"/>
          <w:szCs w:val="26"/>
          <w:rtl/>
        </w:rPr>
        <w:t xml:space="preserve"> הועלתה הצעה</w:t>
      </w:r>
      <w:r>
        <w:rPr>
          <w:rFonts w:ascii="David" w:hAnsi="David" w:cs="FrankRuehl" w:hint="cs"/>
          <w:sz w:val="26"/>
          <w:szCs w:val="26"/>
          <w:rtl/>
        </w:rPr>
        <w:t xml:space="preserve"> </w:t>
      </w:r>
      <w:r w:rsidR="00DC3CA2">
        <w:rPr>
          <w:rFonts w:ascii="David" w:hAnsi="David" w:cs="FrankRuehl" w:hint="cs"/>
          <w:sz w:val="26"/>
          <w:szCs w:val="26"/>
          <w:rtl/>
        </w:rPr>
        <w:t>בנוגע ל</w:t>
      </w:r>
      <w:r w:rsidR="00331CED">
        <w:rPr>
          <w:rFonts w:ascii="David" w:hAnsi="David" w:cs="FrankRuehl" w:hint="cs"/>
          <w:sz w:val="26"/>
          <w:szCs w:val="26"/>
          <w:rtl/>
        </w:rPr>
        <w:t xml:space="preserve">יכולתו של הפרט לקחת הלוואה על חשבון החיסכון הפנסיוני שלו. </w:t>
      </w:r>
      <w:r w:rsidR="00C635BD">
        <w:rPr>
          <w:rFonts w:ascii="David" w:hAnsi="David" w:cs="FrankRuehl" w:hint="cs"/>
          <w:sz w:val="26"/>
          <w:szCs w:val="26"/>
          <w:rtl/>
        </w:rPr>
        <w:t>אגף שוק ההון הבהיר כי אפשרות זו קיימת כיום, אך יש להיזהר בהמלצות הקוראות להרחיב את היקף ההלוואות הניתנות כנגד חסכונות העמיתים על מנת שלא ייווצר מצב בו עקב העדפת הווה לווים מעדיפים שלא לפרוע את הלוואתם ובכך קטנה באופן משמעותי יתרת החיסכון הצבור שלהם אשר נועד לשמש אותם בגיל הפרישה.</w:t>
      </w:r>
    </w:p>
    <w:p w:rsidR="003D3325" w:rsidRDefault="003D3325" w:rsidP="003D3325">
      <w:pPr>
        <w:pStyle w:val="a3"/>
        <w:numPr>
          <w:ilvl w:val="0"/>
          <w:numId w:val="5"/>
        </w:numPr>
        <w:spacing w:line="360" w:lineRule="auto"/>
        <w:jc w:val="both"/>
        <w:rPr>
          <w:rFonts w:ascii="David" w:hAnsi="David" w:cs="FrankRuehl"/>
          <w:sz w:val="26"/>
          <w:szCs w:val="26"/>
        </w:rPr>
      </w:pPr>
      <w:r>
        <w:rPr>
          <w:rFonts w:ascii="David" w:hAnsi="David" w:cs="FrankRuehl" w:hint="cs"/>
          <w:sz w:val="26"/>
          <w:szCs w:val="26"/>
          <w:rtl/>
        </w:rPr>
        <w:t xml:space="preserve">הועלתה שאלה מדוע לא ניתן לאפשר לגוף פיננסי אחר, שאינו הגוף המנהל את כספי החיסכון, להעניק הלוואה על חשבון שיעבוד חלק מהחיסכון הפנסיוני של הפרט. נאמר כי </w:t>
      </w:r>
      <w:r>
        <w:rPr>
          <w:rFonts w:ascii="David" w:hAnsi="David" w:cs="FrankRuehl" w:hint="cs"/>
          <w:sz w:val="26"/>
          <w:szCs w:val="26"/>
          <w:rtl/>
        </w:rPr>
        <w:lastRenderedPageBreak/>
        <w:t>מתן אפשרות כזו תגדיל את התחרות ואין סיבה כי רק הגוף המנהל יוכל להעניק הלוואה על חשבון כספי החיסכון.</w:t>
      </w:r>
    </w:p>
    <w:p w:rsidR="00530F70" w:rsidRPr="0078534C" w:rsidRDefault="00530F70" w:rsidP="003D3325">
      <w:pPr>
        <w:pStyle w:val="a3"/>
        <w:numPr>
          <w:ilvl w:val="0"/>
          <w:numId w:val="5"/>
        </w:numPr>
        <w:spacing w:line="360" w:lineRule="auto"/>
        <w:jc w:val="both"/>
        <w:rPr>
          <w:rFonts w:ascii="David" w:hAnsi="David" w:cs="FrankRuehl"/>
          <w:sz w:val="26"/>
          <w:szCs w:val="26"/>
        </w:rPr>
      </w:pPr>
      <w:r>
        <w:rPr>
          <w:rFonts w:ascii="David" w:hAnsi="David" w:cs="FrankRuehl" w:hint="cs"/>
          <w:sz w:val="26"/>
          <w:szCs w:val="26"/>
          <w:rtl/>
        </w:rPr>
        <w:t>נאמר כי לא ניתן לשעבד חיסכון פנסיוני שאינו נזיל, הוראה שנועדה להגן על כספי החיסכון הפנסיוני ולהבטיח קצבה נאותה בגיל הפרישה. כאשר גוף מוסדי נותן הלוואה כנגד כספי חיסכון הצבורים אצלו, הדבר נעשה ללא שעבוד והגוף המוסדי יכול לקזז את ההלוואה שלא נפרעה אך ורק במועד המשיכה ולא ל</w:t>
      </w:r>
      <w:bookmarkStart w:id="0" w:name="_GoBack"/>
      <w:bookmarkEnd w:id="0"/>
      <w:r>
        <w:rPr>
          <w:rFonts w:ascii="David" w:hAnsi="David" w:cs="FrankRuehl" w:hint="cs"/>
          <w:sz w:val="26"/>
          <w:szCs w:val="26"/>
          <w:rtl/>
        </w:rPr>
        <w:t>פני כן. מבחינה פרקטית, גוף מוסדי אחר לא יוכל לעשות זאת ולכן הלוואה מגוף מוסדי אחר לא יכולה להינתן כנגד כספי חיסכון פנסיוני צבור בגוף אחר, אלא כהלוואה קמעונאית לכל דבר ועניין.</w:t>
      </w:r>
    </w:p>
    <w:p w:rsidR="00446013" w:rsidRPr="00331CED" w:rsidRDefault="00DA42CD" w:rsidP="00331CED">
      <w:pPr>
        <w:pStyle w:val="a3"/>
        <w:numPr>
          <w:ilvl w:val="0"/>
          <w:numId w:val="5"/>
        </w:numPr>
        <w:spacing w:line="360" w:lineRule="auto"/>
        <w:jc w:val="both"/>
        <w:rPr>
          <w:rFonts w:ascii="David" w:hAnsi="David" w:cs="FrankRuehl"/>
          <w:sz w:val="26"/>
          <w:szCs w:val="26"/>
        </w:rPr>
      </w:pPr>
      <w:r>
        <w:rPr>
          <w:rFonts w:ascii="David" w:hAnsi="David" w:cs="FrankRuehl" w:hint="cs"/>
          <w:sz w:val="26"/>
          <w:szCs w:val="26"/>
          <w:rtl/>
        </w:rPr>
        <w:t xml:space="preserve"> </w:t>
      </w:r>
      <w:r w:rsidR="00331CED">
        <w:rPr>
          <w:rFonts w:ascii="David" w:hAnsi="David" w:cs="FrankRuehl" w:hint="cs"/>
          <w:sz w:val="26"/>
          <w:szCs w:val="26"/>
          <w:rtl/>
        </w:rPr>
        <w:t>חברי הוועדה דנו בהמלצות השונות וסוכם כי נושא זה יידון בהמשך.</w:t>
      </w:r>
      <w:r w:rsidR="00264052">
        <w:rPr>
          <w:rFonts w:ascii="David" w:hAnsi="David" w:cs="FrankRuehl" w:hint="cs"/>
          <w:sz w:val="26"/>
          <w:szCs w:val="26"/>
          <w:rtl/>
        </w:rPr>
        <w:t xml:space="preserve"> </w:t>
      </w:r>
    </w:p>
    <w:sectPr w:rsidR="00446013" w:rsidRPr="00331CED" w:rsidSect="005A3A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7B1C"/>
    <w:multiLevelType w:val="hybridMultilevel"/>
    <w:tmpl w:val="0016A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6C0D54"/>
    <w:multiLevelType w:val="hybridMultilevel"/>
    <w:tmpl w:val="FBA22624"/>
    <w:lvl w:ilvl="0" w:tplc="CB703D50">
      <w:numFmt w:val="bullet"/>
      <w:lvlText w:val=""/>
      <w:lvlJc w:val="left"/>
      <w:pPr>
        <w:ind w:left="720" w:hanging="360"/>
      </w:pPr>
      <w:rPr>
        <w:rFonts w:ascii="Symbol" w:eastAsiaTheme="minorHAnsi" w:hAnsi="Symbol" w:cs="FrankRueh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276E2"/>
    <w:multiLevelType w:val="hybridMultilevel"/>
    <w:tmpl w:val="664AA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F622FE"/>
    <w:multiLevelType w:val="hybridMultilevel"/>
    <w:tmpl w:val="3464437E"/>
    <w:lvl w:ilvl="0" w:tplc="C3BA4F7C">
      <w:start w:val="1"/>
      <w:numFmt w:val="bullet"/>
      <w:lvlText w:val="•"/>
      <w:lvlJc w:val="left"/>
      <w:pPr>
        <w:tabs>
          <w:tab w:val="num" w:pos="720"/>
        </w:tabs>
        <w:ind w:left="720" w:hanging="360"/>
      </w:pPr>
      <w:rPr>
        <w:rFonts w:ascii="Arial" w:hAnsi="Arial" w:hint="default"/>
      </w:rPr>
    </w:lvl>
    <w:lvl w:ilvl="1" w:tplc="AC8CFDEA">
      <w:start w:val="737"/>
      <w:numFmt w:val="bullet"/>
      <w:lvlText w:val="–"/>
      <w:lvlJc w:val="left"/>
      <w:pPr>
        <w:tabs>
          <w:tab w:val="num" w:pos="1440"/>
        </w:tabs>
        <w:ind w:left="1440" w:hanging="360"/>
      </w:pPr>
      <w:rPr>
        <w:rFonts w:ascii="Arial" w:hAnsi="Arial" w:hint="default"/>
      </w:rPr>
    </w:lvl>
    <w:lvl w:ilvl="2" w:tplc="84ECB34A" w:tentative="1">
      <w:start w:val="1"/>
      <w:numFmt w:val="bullet"/>
      <w:lvlText w:val="•"/>
      <w:lvlJc w:val="left"/>
      <w:pPr>
        <w:tabs>
          <w:tab w:val="num" w:pos="2160"/>
        </w:tabs>
        <w:ind w:left="2160" w:hanging="360"/>
      </w:pPr>
      <w:rPr>
        <w:rFonts w:ascii="Arial" w:hAnsi="Arial" w:hint="default"/>
      </w:rPr>
    </w:lvl>
    <w:lvl w:ilvl="3" w:tplc="9F32D22A" w:tentative="1">
      <w:start w:val="1"/>
      <w:numFmt w:val="bullet"/>
      <w:lvlText w:val="•"/>
      <w:lvlJc w:val="left"/>
      <w:pPr>
        <w:tabs>
          <w:tab w:val="num" w:pos="2880"/>
        </w:tabs>
        <w:ind w:left="2880" w:hanging="360"/>
      </w:pPr>
      <w:rPr>
        <w:rFonts w:ascii="Arial" w:hAnsi="Arial" w:hint="default"/>
      </w:rPr>
    </w:lvl>
    <w:lvl w:ilvl="4" w:tplc="2E06F3DC" w:tentative="1">
      <w:start w:val="1"/>
      <w:numFmt w:val="bullet"/>
      <w:lvlText w:val="•"/>
      <w:lvlJc w:val="left"/>
      <w:pPr>
        <w:tabs>
          <w:tab w:val="num" w:pos="3600"/>
        </w:tabs>
        <w:ind w:left="3600" w:hanging="360"/>
      </w:pPr>
      <w:rPr>
        <w:rFonts w:ascii="Arial" w:hAnsi="Arial" w:hint="default"/>
      </w:rPr>
    </w:lvl>
    <w:lvl w:ilvl="5" w:tplc="05D407C4" w:tentative="1">
      <w:start w:val="1"/>
      <w:numFmt w:val="bullet"/>
      <w:lvlText w:val="•"/>
      <w:lvlJc w:val="left"/>
      <w:pPr>
        <w:tabs>
          <w:tab w:val="num" w:pos="4320"/>
        </w:tabs>
        <w:ind w:left="4320" w:hanging="360"/>
      </w:pPr>
      <w:rPr>
        <w:rFonts w:ascii="Arial" w:hAnsi="Arial" w:hint="default"/>
      </w:rPr>
    </w:lvl>
    <w:lvl w:ilvl="6" w:tplc="3912CA3E" w:tentative="1">
      <w:start w:val="1"/>
      <w:numFmt w:val="bullet"/>
      <w:lvlText w:val="•"/>
      <w:lvlJc w:val="left"/>
      <w:pPr>
        <w:tabs>
          <w:tab w:val="num" w:pos="5040"/>
        </w:tabs>
        <w:ind w:left="5040" w:hanging="360"/>
      </w:pPr>
      <w:rPr>
        <w:rFonts w:ascii="Arial" w:hAnsi="Arial" w:hint="default"/>
      </w:rPr>
    </w:lvl>
    <w:lvl w:ilvl="7" w:tplc="4F7E233C" w:tentative="1">
      <w:start w:val="1"/>
      <w:numFmt w:val="bullet"/>
      <w:lvlText w:val="•"/>
      <w:lvlJc w:val="left"/>
      <w:pPr>
        <w:tabs>
          <w:tab w:val="num" w:pos="5760"/>
        </w:tabs>
        <w:ind w:left="5760" w:hanging="360"/>
      </w:pPr>
      <w:rPr>
        <w:rFonts w:ascii="Arial" w:hAnsi="Arial" w:hint="default"/>
      </w:rPr>
    </w:lvl>
    <w:lvl w:ilvl="8" w:tplc="1B422D94" w:tentative="1">
      <w:start w:val="1"/>
      <w:numFmt w:val="bullet"/>
      <w:lvlText w:val="•"/>
      <w:lvlJc w:val="left"/>
      <w:pPr>
        <w:tabs>
          <w:tab w:val="num" w:pos="6480"/>
        </w:tabs>
        <w:ind w:left="6480" w:hanging="360"/>
      </w:pPr>
      <w:rPr>
        <w:rFonts w:ascii="Arial" w:hAnsi="Arial" w:hint="default"/>
      </w:rPr>
    </w:lvl>
  </w:abstractNum>
  <w:abstractNum w:abstractNumId="4">
    <w:nsid w:val="79DD6CB4"/>
    <w:multiLevelType w:val="hybridMultilevel"/>
    <w:tmpl w:val="7B668B22"/>
    <w:lvl w:ilvl="0" w:tplc="CB703D50">
      <w:numFmt w:val="bullet"/>
      <w:lvlText w:val=""/>
      <w:lvlJc w:val="left"/>
      <w:pPr>
        <w:ind w:left="720" w:hanging="360"/>
      </w:pPr>
      <w:rPr>
        <w:rFonts w:ascii="Symbol" w:eastAsiaTheme="minorHAnsi" w:hAnsi="Symbol" w:cs="FrankRuehl" w:hint="default"/>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71C"/>
    <w:rsid w:val="00161A85"/>
    <w:rsid w:val="001862E6"/>
    <w:rsid w:val="00264052"/>
    <w:rsid w:val="00331CED"/>
    <w:rsid w:val="003D3325"/>
    <w:rsid w:val="00446013"/>
    <w:rsid w:val="004C63D7"/>
    <w:rsid w:val="00530F70"/>
    <w:rsid w:val="005A3A54"/>
    <w:rsid w:val="0062371C"/>
    <w:rsid w:val="0078534C"/>
    <w:rsid w:val="00BD4952"/>
    <w:rsid w:val="00C635BD"/>
    <w:rsid w:val="00C95C19"/>
    <w:rsid w:val="00CB04AC"/>
    <w:rsid w:val="00CF2629"/>
    <w:rsid w:val="00DA42CD"/>
    <w:rsid w:val="00DC3C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1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3D7"/>
    <w:pPr>
      <w:ind w:left="720"/>
      <w:contextualSpacing/>
    </w:pPr>
  </w:style>
  <w:style w:type="paragraph" w:styleId="a4">
    <w:name w:val="Balloon Text"/>
    <w:basedOn w:val="a"/>
    <w:link w:val="a5"/>
    <w:uiPriority w:val="99"/>
    <w:semiHidden/>
    <w:unhideWhenUsed/>
    <w:rsid w:val="003D3325"/>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3D33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1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3D7"/>
    <w:pPr>
      <w:ind w:left="720"/>
      <w:contextualSpacing/>
    </w:pPr>
  </w:style>
  <w:style w:type="paragraph" w:styleId="a4">
    <w:name w:val="Balloon Text"/>
    <w:basedOn w:val="a"/>
    <w:link w:val="a5"/>
    <w:uiPriority w:val="99"/>
    <w:semiHidden/>
    <w:unhideWhenUsed/>
    <w:rsid w:val="003D3325"/>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3D33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18</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C6272-02D1-470A-8C81-F202BC4D8A99}"/>
</file>

<file path=customXml/itemProps2.xml><?xml version="1.0" encoding="utf-8"?>
<ds:datastoreItem xmlns:ds="http://schemas.openxmlformats.org/officeDocument/2006/customXml" ds:itemID="{C69623F9-F901-4F3E-8EC5-8608ADA5362F}"/>
</file>

<file path=customXml/itemProps3.xml><?xml version="1.0" encoding="utf-8"?>
<ds:datastoreItem xmlns:ds="http://schemas.openxmlformats.org/officeDocument/2006/customXml" ds:itemID="{DD06D0A8-BFEA-4F98-843A-1C718F9F4A9B}"/>
</file>

<file path=docProps/app.xml><?xml version="1.0" encoding="utf-8"?>
<Properties xmlns="http://schemas.openxmlformats.org/officeDocument/2006/extended-properties" xmlns:vt="http://schemas.openxmlformats.org/officeDocument/2006/docPropsVTypes">
  <Template>Normal</Template>
  <TotalTime>38</TotalTime>
  <Pages>3</Pages>
  <Words>545</Words>
  <Characters>2730</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28.10.2015</dc:title>
  <dc:creator>אבי כהן</dc:creator>
  <cp:lastModifiedBy>אבי כהן</cp:lastModifiedBy>
  <cp:revision>15</cp:revision>
  <dcterms:created xsi:type="dcterms:W3CDTF">2015-11-23T17:33:00Z</dcterms:created>
  <dcterms:modified xsi:type="dcterms:W3CDTF">2016-01-05T17:54:00Z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