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D57" w:rsidRPr="003F2328" w:rsidRDefault="006F2D57" w:rsidP="006F2D57">
      <w:pPr>
        <w:jc w:val="both"/>
        <w:rPr>
          <w:rFonts w:cs="FrankRuehl"/>
          <w:rtl/>
        </w:rPr>
      </w:pPr>
      <w:bookmarkStart w:id="0" w:name="DocNum"/>
      <w:bookmarkEnd w:id="0"/>
    </w:p>
    <w:p w:rsidR="006F2D57" w:rsidRPr="003F2328" w:rsidRDefault="006F2D57" w:rsidP="006F2D57">
      <w:pPr>
        <w:spacing w:line="360" w:lineRule="auto"/>
        <w:jc w:val="both"/>
        <w:rPr>
          <w:rFonts w:cs="FrankRuehl"/>
          <w:b/>
          <w:bCs/>
          <w:sz w:val="44"/>
          <w:szCs w:val="44"/>
          <w:u w:val="single"/>
          <w:rtl/>
        </w:rPr>
      </w:pPr>
      <w:r w:rsidRPr="003F2328">
        <w:rPr>
          <w:rFonts w:cs="FrankRuehl" w:hint="cs"/>
          <w:b/>
          <w:bCs/>
          <w:sz w:val="32"/>
          <w:szCs w:val="32"/>
          <w:u w:val="single"/>
          <w:rtl/>
        </w:rPr>
        <w:t>הוועדה להגברת התחרות בשירותים בנקאיים ופיננסים נפוצים</w:t>
      </w:r>
      <w:r w:rsidRPr="003F2328">
        <w:rPr>
          <w:rFonts w:cs="FrankRuehl" w:hint="cs"/>
          <w:b/>
          <w:bCs/>
          <w:sz w:val="44"/>
          <w:szCs w:val="44"/>
          <w:u w:val="single"/>
          <w:rtl/>
        </w:rPr>
        <w:t xml:space="preserve"> </w:t>
      </w:r>
    </w:p>
    <w:p w:rsidR="006F2D57" w:rsidRPr="003F2328" w:rsidRDefault="006F2D57" w:rsidP="0029602C">
      <w:pPr>
        <w:spacing w:line="360" w:lineRule="auto"/>
        <w:jc w:val="both"/>
        <w:rPr>
          <w:rFonts w:cs="FrankRuehl"/>
          <w:b/>
          <w:bCs/>
          <w:sz w:val="28"/>
          <w:szCs w:val="28"/>
          <w:u w:val="single"/>
          <w:rtl/>
        </w:rPr>
      </w:pPr>
      <w:r>
        <w:rPr>
          <w:rFonts w:cs="FrankRuehl" w:hint="cs"/>
          <w:b/>
          <w:bCs/>
          <w:sz w:val="28"/>
          <w:szCs w:val="28"/>
          <w:u w:val="single"/>
          <w:rtl/>
        </w:rPr>
        <w:t>2</w:t>
      </w:r>
      <w:r w:rsidR="0029602C">
        <w:rPr>
          <w:rFonts w:cs="FrankRuehl" w:hint="cs"/>
          <w:b/>
          <w:bCs/>
          <w:sz w:val="28"/>
          <w:szCs w:val="28"/>
          <w:u w:val="single"/>
          <w:rtl/>
        </w:rPr>
        <w:t>6</w:t>
      </w:r>
      <w:r>
        <w:rPr>
          <w:rFonts w:cs="FrankRuehl" w:hint="cs"/>
          <w:b/>
          <w:bCs/>
          <w:sz w:val="28"/>
          <w:szCs w:val="28"/>
          <w:u w:val="single"/>
          <w:rtl/>
        </w:rPr>
        <w:t>/08/2015</w:t>
      </w:r>
    </w:p>
    <w:p w:rsidR="006F2D57" w:rsidRPr="003F2328" w:rsidRDefault="006F2D57" w:rsidP="006F2D57">
      <w:pPr>
        <w:spacing w:line="360" w:lineRule="auto"/>
        <w:jc w:val="both"/>
        <w:rPr>
          <w:rFonts w:cs="FrankRuehl"/>
          <w:sz w:val="26"/>
          <w:szCs w:val="26"/>
          <w:u w:val="single"/>
          <w:rtl/>
        </w:rPr>
      </w:pPr>
      <w:r w:rsidRPr="003F2328">
        <w:rPr>
          <w:rFonts w:cs="FrankRuehl" w:hint="cs"/>
          <w:sz w:val="26"/>
          <w:szCs w:val="26"/>
          <w:u w:val="single"/>
          <w:rtl/>
        </w:rPr>
        <w:t>חברי הוועדה המשתתפים:</w:t>
      </w:r>
    </w:p>
    <w:p w:rsidR="006F2D57" w:rsidRDefault="006F2D57" w:rsidP="006F2D57">
      <w:pPr>
        <w:spacing w:line="240" w:lineRule="exact"/>
        <w:jc w:val="both"/>
        <w:rPr>
          <w:rFonts w:cs="FrankRuehl"/>
          <w:sz w:val="26"/>
          <w:szCs w:val="26"/>
          <w:rtl/>
        </w:rPr>
      </w:pPr>
      <w:r w:rsidRPr="003F2328">
        <w:rPr>
          <w:rFonts w:cs="FrankRuehl" w:hint="cs"/>
          <w:sz w:val="26"/>
          <w:szCs w:val="26"/>
          <w:rtl/>
        </w:rPr>
        <w:t>מר דרור שטרום, יושב ראש הוועדה</w:t>
      </w:r>
    </w:p>
    <w:p w:rsidR="006F2D57" w:rsidRDefault="006F2D57" w:rsidP="006F2D57">
      <w:pPr>
        <w:spacing w:line="240" w:lineRule="exact"/>
        <w:jc w:val="both"/>
        <w:rPr>
          <w:rFonts w:cs="FrankRuehl"/>
          <w:sz w:val="26"/>
          <w:szCs w:val="26"/>
          <w:rtl/>
        </w:rPr>
      </w:pPr>
      <w:r w:rsidRPr="003F2328">
        <w:rPr>
          <w:rFonts w:cs="FrankRuehl" w:hint="cs"/>
          <w:sz w:val="26"/>
          <w:szCs w:val="26"/>
          <w:rtl/>
        </w:rPr>
        <w:t>פרופ' דיוויד גילה, הממונה על ההגבלים העסקיים</w:t>
      </w:r>
    </w:p>
    <w:p w:rsidR="006F2D57" w:rsidRDefault="006F2D57" w:rsidP="006F2D57">
      <w:pPr>
        <w:spacing w:line="240" w:lineRule="exact"/>
        <w:jc w:val="both"/>
        <w:rPr>
          <w:rFonts w:cs="FrankRuehl"/>
          <w:sz w:val="26"/>
          <w:szCs w:val="26"/>
          <w:rtl/>
        </w:rPr>
      </w:pPr>
      <w:r w:rsidRPr="003F2328">
        <w:rPr>
          <w:rFonts w:cs="FrankRuehl" w:hint="cs"/>
          <w:sz w:val="26"/>
          <w:szCs w:val="26"/>
          <w:rtl/>
        </w:rPr>
        <w:t>פרופ' נתן זוסמן, ראש חטיבת המחקר, בנק ישראל</w:t>
      </w:r>
    </w:p>
    <w:p w:rsidR="006F2D57" w:rsidRPr="003F2328" w:rsidRDefault="006F2D57" w:rsidP="006F2D57">
      <w:pPr>
        <w:spacing w:line="240" w:lineRule="exact"/>
        <w:jc w:val="both"/>
        <w:rPr>
          <w:rFonts w:cs="FrankRuehl"/>
          <w:sz w:val="26"/>
          <w:szCs w:val="26"/>
          <w:rtl/>
        </w:rPr>
      </w:pPr>
    </w:p>
    <w:p w:rsidR="006F2D57" w:rsidRPr="003F2328" w:rsidRDefault="006F2D57" w:rsidP="006F2D57">
      <w:pPr>
        <w:spacing w:line="240" w:lineRule="exact"/>
        <w:jc w:val="both"/>
        <w:rPr>
          <w:rFonts w:cs="FrankRuehl"/>
          <w:sz w:val="26"/>
          <w:szCs w:val="26"/>
          <w:u w:val="single"/>
          <w:rtl/>
        </w:rPr>
      </w:pPr>
      <w:r w:rsidRPr="003F2328">
        <w:rPr>
          <w:rFonts w:cs="FrankRuehl" w:hint="cs"/>
          <w:sz w:val="26"/>
          <w:szCs w:val="26"/>
          <w:u w:val="single"/>
          <w:rtl/>
        </w:rPr>
        <w:t>נציגים:</w:t>
      </w:r>
    </w:p>
    <w:p w:rsidR="006F2D57" w:rsidRDefault="006F2D57" w:rsidP="006F2D57">
      <w:pPr>
        <w:spacing w:line="240" w:lineRule="exact"/>
        <w:jc w:val="both"/>
        <w:rPr>
          <w:rFonts w:cs="FrankRuehl"/>
          <w:sz w:val="26"/>
          <w:szCs w:val="26"/>
          <w:rtl/>
        </w:rPr>
      </w:pPr>
      <w:r>
        <w:rPr>
          <w:rFonts w:cs="FrankRuehl" w:hint="cs"/>
          <w:sz w:val="26"/>
          <w:szCs w:val="26"/>
          <w:rtl/>
        </w:rPr>
        <w:t>יואל בריס, משרד האוצר</w:t>
      </w:r>
    </w:p>
    <w:p w:rsidR="006F2D57" w:rsidRDefault="006F2D57" w:rsidP="006F2D57">
      <w:pPr>
        <w:spacing w:line="240" w:lineRule="exact"/>
        <w:jc w:val="both"/>
        <w:rPr>
          <w:rFonts w:cs="FrankRuehl"/>
          <w:sz w:val="26"/>
          <w:szCs w:val="26"/>
          <w:rtl/>
        </w:rPr>
      </w:pPr>
      <w:r>
        <w:rPr>
          <w:rFonts w:cs="FrankRuehl" w:hint="cs"/>
          <w:sz w:val="26"/>
          <w:szCs w:val="26"/>
          <w:rtl/>
        </w:rPr>
        <w:t>יואב גפני, משרד האוצר</w:t>
      </w:r>
    </w:p>
    <w:p w:rsidR="006F2D57" w:rsidRDefault="006F2D57" w:rsidP="006F2D57">
      <w:pPr>
        <w:spacing w:line="240" w:lineRule="exact"/>
        <w:jc w:val="both"/>
        <w:rPr>
          <w:rFonts w:cs="FrankRuehl"/>
          <w:sz w:val="26"/>
          <w:szCs w:val="26"/>
          <w:rtl/>
        </w:rPr>
      </w:pPr>
      <w:r>
        <w:rPr>
          <w:rFonts w:cs="FrankRuehl" w:hint="cs"/>
          <w:sz w:val="26"/>
          <w:szCs w:val="26"/>
          <w:rtl/>
        </w:rPr>
        <w:t>נדב שמש, משרד האוצר</w:t>
      </w:r>
    </w:p>
    <w:p w:rsidR="006F2D57" w:rsidRDefault="006F2D57" w:rsidP="006F2D57">
      <w:pPr>
        <w:spacing w:line="240" w:lineRule="exact"/>
        <w:jc w:val="both"/>
        <w:rPr>
          <w:rFonts w:cs="FrankRuehl"/>
          <w:sz w:val="26"/>
          <w:szCs w:val="26"/>
          <w:rtl/>
        </w:rPr>
      </w:pPr>
      <w:r w:rsidRPr="003F2328">
        <w:rPr>
          <w:rFonts w:cs="FrankRuehl" w:hint="cs"/>
          <w:sz w:val="26"/>
          <w:szCs w:val="26"/>
          <w:rtl/>
        </w:rPr>
        <w:t>יונתן בר סימן טוב, משרד האוצר</w:t>
      </w:r>
    </w:p>
    <w:p w:rsidR="006F2D57" w:rsidRDefault="006F2D57" w:rsidP="006F2D57">
      <w:pPr>
        <w:spacing w:line="240" w:lineRule="exact"/>
        <w:jc w:val="both"/>
        <w:rPr>
          <w:rFonts w:cs="FrankRuehl"/>
          <w:sz w:val="26"/>
          <w:szCs w:val="26"/>
          <w:rtl/>
        </w:rPr>
      </w:pPr>
      <w:r w:rsidRPr="003F2328">
        <w:rPr>
          <w:rFonts w:cs="FrankRuehl" w:hint="cs"/>
          <w:sz w:val="26"/>
          <w:szCs w:val="26"/>
          <w:rtl/>
        </w:rPr>
        <w:t>כפיר בטט, משרד האוצר</w:t>
      </w:r>
    </w:p>
    <w:p w:rsidR="006F2D57" w:rsidRPr="003F2328" w:rsidRDefault="006F2D57" w:rsidP="006F2D57">
      <w:pPr>
        <w:spacing w:line="240" w:lineRule="exact"/>
        <w:jc w:val="both"/>
        <w:rPr>
          <w:rFonts w:cs="FrankRuehl"/>
          <w:sz w:val="26"/>
          <w:szCs w:val="26"/>
          <w:rtl/>
        </w:rPr>
      </w:pPr>
      <w:r>
        <w:rPr>
          <w:rFonts w:cs="FrankRuehl" w:hint="cs"/>
          <w:sz w:val="26"/>
          <w:szCs w:val="26"/>
          <w:rtl/>
        </w:rPr>
        <w:t>ברוך לוברט, משרד האוצר</w:t>
      </w:r>
    </w:p>
    <w:p w:rsidR="003A153C" w:rsidRDefault="003A153C" w:rsidP="006F2D57">
      <w:pPr>
        <w:spacing w:line="240" w:lineRule="exact"/>
        <w:jc w:val="both"/>
        <w:rPr>
          <w:rFonts w:cs="FrankRuehl"/>
          <w:sz w:val="26"/>
          <w:szCs w:val="26"/>
          <w:rtl/>
        </w:rPr>
      </w:pPr>
      <w:r>
        <w:rPr>
          <w:rFonts w:cs="FrankRuehl" w:hint="cs"/>
          <w:sz w:val="26"/>
          <w:szCs w:val="26"/>
          <w:rtl/>
        </w:rPr>
        <w:t>יעל רגב, משרד האוצר</w:t>
      </w:r>
    </w:p>
    <w:p w:rsidR="00B10C27" w:rsidRDefault="00B10C27" w:rsidP="006F2D57">
      <w:pPr>
        <w:spacing w:line="240" w:lineRule="exact"/>
        <w:jc w:val="both"/>
        <w:rPr>
          <w:rFonts w:cs="FrankRuehl"/>
          <w:sz w:val="26"/>
          <w:szCs w:val="26"/>
          <w:rtl/>
        </w:rPr>
      </w:pPr>
      <w:r>
        <w:rPr>
          <w:rFonts w:cs="FrankRuehl" w:hint="cs"/>
          <w:sz w:val="26"/>
          <w:szCs w:val="26"/>
          <w:rtl/>
        </w:rPr>
        <w:t>סטיב לב, בנק ישראל</w:t>
      </w:r>
    </w:p>
    <w:p w:rsidR="006F2D57" w:rsidRPr="003F2328" w:rsidRDefault="006F2D57" w:rsidP="006F2D57">
      <w:pPr>
        <w:spacing w:line="240" w:lineRule="exact"/>
        <w:jc w:val="both"/>
        <w:rPr>
          <w:rFonts w:cs="FrankRuehl"/>
          <w:sz w:val="26"/>
          <w:szCs w:val="26"/>
          <w:rtl/>
        </w:rPr>
      </w:pPr>
      <w:r w:rsidRPr="003F2328">
        <w:rPr>
          <w:rFonts w:cs="FrankRuehl" w:hint="cs"/>
          <w:sz w:val="26"/>
          <w:szCs w:val="26"/>
          <w:rtl/>
        </w:rPr>
        <w:t>רויטל קיסר, בנק ישראל</w:t>
      </w:r>
    </w:p>
    <w:p w:rsidR="006F2D57" w:rsidRPr="003F2328" w:rsidRDefault="006F2D57" w:rsidP="006F2D57">
      <w:pPr>
        <w:spacing w:line="240" w:lineRule="exact"/>
        <w:jc w:val="both"/>
        <w:rPr>
          <w:rFonts w:cs="FrankRuehl"/>
          <w:sz w:val="26"/>
          <w:szCs w:val="26"/>
          <w:rtl/>
        </w:rPr>
      </w:pPr>
      <w:r w:rsidRPr="003F2328">
        <w:rPr>
          <w:rFonts w:cs="FrankRuehl" w:hint="cs"/>
          <w:sz w:val="26"/>
          <w:szCs w:val="26"/>
          <w:rtl/>
        </w:rPr>
        <w:t>מיקי קהן, בנק ישראל</w:t>
      </w:r>
    </w:p>
    <w:p w:rsidR="006F2D57" w:rsidRDefault="001E2F90" w:rsidP="006F2D57">
      <w:pPr>
        <w:spacing w:line="240" w:lineRule="exact"/>
        <w:jc w:val="both"/>
        <w:rPr>
          <w:rFonts w:cs="FrankRuehl"/>
          <w:sz w:val="26"/>
          <w:szCs w:val="26"/>
          <w:rtl/>
        </w:rPr>
      </w:pPr>
      <w:r>
        <w:rPr>
          <w:rFonts w:cs="FrankRuehl" w:hint="cs"/>
          <w:sz w:val="26"/>
          <w:szCs w:val="26"/>
          <w:rtl/>
        </w:rPr>
        <w:t xml:space="preserve">ד"ר </w:t>
      </w:r>
      <w:r w:rsidR="006F2D57">
        <w:rPr>
          <w:rFonts w:cs="FrankRuehl" w:hint="cs"/>
          <w:sz w:val="26"/>
          <w:szCs w:val="26"/>
          <w:rtl/>
        </w:rPr>
        <w:t>אסף אילת, הרשות להגבלים עסקיים</w:t>
      </w:r>
    </w:p>
    <w:p w:rsidR="006F2D57" w:rsidRDefault="001E2F90" w:rsidP="006F2D57">
      <w:pPr>
        <w:spacing w:line="240" w:lineRule="exact"/>
        <w:jc w:val="both"/>
        <w:rPr>
          <w:rFonts w:cs="FrankRuehl"/>
          <w:sz w:val="26"/>
          <w:szCs w:val="26"/>
          <w:rtl/>
        </w:rPr>
      </w:pPr>
      <w:r>
        <w:rPr>
          <w:rFonts w:cs="FrankRuehl" w:hint="cs"/>
          <w:sz w:val="26"/>
          <w:szCs w:val="26"/>
          <w:rtl/>
        </w:rPr>
        <w:t xml:space="preserve">ד"ר </w:t>
      </w:r>
      <w:bookmarkStart w:id="1" w:name="_GoBack"/>
      <w:bookmarkEnd w:id="1"/>
      <w:r w:rsidR="006F2D57">
        <w:rPr>
          <w:rFonts w:cs="FrankRuehl" w:hint="cs"/>
          <w:sz w:val="26"/>
          <w:szCs w:val="26"/>
          <w:rtl/>
        </w:rPr>
        <w:t>דנה הלר, הרשות להגבלים עסקיים</w:t>
      </w:r>
    </w:p>
    <w:p w:rsidR="006F2D57" w:rsidRDefault="006F2D57" w:rsidP="006F2D57">
      <w:pPr>
        <w:spacing w:line="240" w:lineRule="exact"/>
        <w:jc w:val="both"/>
        <w:rPr>
          <w:rFonts w:cs="FrankRuehl"/>
          <w:sz w:val="26"/>
          <w:szCs w:val="26"/>
          <w:rtl/>
        </w:rPr>
      </w:pPr>
      <w:r>
        <w:rPr>
          <w:rFonts w:cs="FrankRuehl" w:hint="cs"/>
          <w:sz w:val="26"/>
          <w:szCs w:val="26"/>
          <w:rtl/>
        </w:rPr>
        <w:t>אורי שרף, הרשות להגבלים עסקיים</w:t>
      </w:r>
    </w:p>
    <w:p w:rsidR="006F2D57" w:rsidRPr="003F2328" w:rsidRDefault="006F2D57" w:rsidP="006F2D57">
      <w:pPr>
        <w:spacing w:line="240" w:lineRule="exact"/>
        <w:jc w:val="both"/>
        <w:rPr>
          <w:rFonts w:cs="FrankRuehl"/>
          <w:sz w:val="26"/>
          <w:szCs w:val="26"/>
          <w:rtl/>
        </w:rPr>
      </w:pPr>
      <w:r w:rsidRPr="003F2328">
        <w:rPr>
          <w:rFonts w:cs="FrankRuehl" w:hint="cs"/>
          <w:sz w:val="26"/>
          <w:szCs w:val="26"/>
          <w:rtl/>
        </w:rPr>
        <w:t>אלעד מקדסי, הרשות להגבלים עסקיים</w:t>
      </w:r>
    </w:p>
    <w:p w:rsidR="006F2D57" w:rsidRPr="003F2328" w:rsidRDefault="006F2D57" w:rsidP="006F2D57">
      <w:pPr>
        <w:spacing w:line="240" w:lineRule="exact"/>
        <w:jc w:val="both"/>
        <w:rPr>
          <w:rFonts w:cs="FrankRuehl"/>
          <w:sz w:val="26"/>
          <w:szCs w:val="26"/>
          <w:rtl/>
        </w:rPr>
      </w:pPr>
      <w:r w:rsidRPr="003F2328">
        <w:rPr>
          <w:rFonts w:cs="FrankRuehl" w:hint="cs"/>
          <w:sz w:val="26"/>
          <w:szCs w:val="26"/>
          <w:rtl/>
        </w:rPr>
        <w:t>ליאור תבורי</w:t>
      </w:r>
    </w:p>
    <w:p w:rsidR="006F2D57" w:rsidRDefault="006F2D57" w:rsidP="006F2D57">
      <w:pPr>
        <w:jc w:val="both"/>
        <w:rPr>
          <w:rtl/>
        </w:rPr>
      </w:pPr>
    </w:p>
    <w:p w:rsidR="006F2D57" w:rsidRDefault="006F2D57" w:rsidP="006F2D57">
      <w:pPr>
        <w:jc w:val="both"/>
        <w:rPr>
          <w:rtl/>
        </w:rPr>
      </w:pPr>
    </w:p>
    <w:p w:rsidR="006F2D57" w:rsidRDefault="006F2D57" w:rsidP="006F2D57">
      <w:pPr>
        <w:jc w:val="both"/>
        <w:rPr>
          <w:rtl/>
        </w:rPr>
      </w:pPr>
    </w:p>
    <w:p w:rsidR="00CF319E" w:rsidRDefault="00CF319E" w:rsidP="006F2D57">
      <w:pPr>
        <w:jc w:val="both"/>
        <w:rPr>
          <w:rtl/>
        </w:rPr>
      </w:pPr>
    </w:p>
    <w:p w:rsidR="00CF319E" w:rsidRDefault="00CF319E" w:rsidP="006F2D57">
      <w:pPr>
        <w:jc w:val="both"/>
        <w:rPr>
          <w:rtl/>
        </w:rPr>
      </w:pPr>
    </w:p>
    <w:p w:rsidR="00CF319E" w:rsidRDefault="00CF319E" w:rsidP="006F2D57">
      <w:pPr>
        <w:jc w:val="both"/>
        <w:rPr>
          <w:rtl/>
        </w:rPr>
      </w:pPr>
    </w:p>
    <w:p w:rsidR="006F2D57" w:rsidRDefault="006F2D57" w:rsidP="006F2D57">
      <w:pPr>
        <w:jc w:val="both"/>
        <w:rPr>
          <w:rtl/>
        </w:rPr>
      </w:pPr>
    </w:p>
    <w:p w:rsidR="006F2D57" w:rsidRDefault="006F2D57" w:rsidP="006F2D57">
      <w:pPr>
        <w:spacing w:line="360" w:lineRule="auto"/>
        <w:jc w:val="both"/>
        <w:rPr>
          <w:rFonts w:cs="FrankRuehl"/>
          <w:b/>
          <w:bCs/>
          <w:sz w:val="26"/>
          <w:szCs w:val="26"/>
          <w:u w:val="single"/>
          <w:rtl/>
        </w:rPr>
      </w:pPr>
      <w:r>
        <w:rPr>
          <w:rFonts w:cs="FrankRuehl" w:hint="cs"/>
          <w:b/>
          <w:bCs/>
          <w:sz w:val="26"/>
          <w:szCs w:val="26"/>
          <w:u w:val="single"/>
          <w:rtl/>
        </w:rPr>
        <w:t xml:space="preserve">סיכום דיון </w:t>
      </w:r>
    </w:p>
    <w:p w:rsidR="006F2D57" w:rsidRDefault="006F2D57" w:rsidP="0029602C">
      <w:pPr>
        <w:pStyle w:val="a3"/>
        <w:numPr>
          <w:ilvl w:val="0"/>
          <w:numId w:val="1"/>
        </w:numPr>
        <w:spacing w:line="360" w:lineRule="auto"/>
        <w:jc w:val="both"/>
        <w:rPr>
          <w:rFonts w:cs="FrankRuehl"/>
          <w:sz w:val="26"/>
          <w:szCs w:val="26"/>
        </w:rPr>
      </w:pPr>
      <w:r w:rsidRPr="003F2328">
        <w:rPr>
          <w:rFonts w:cs="FrankRuehl" w:hint="cs"/>
          <w:sz w:val="26"/>
          <w:szCs w:val="26"/>
          <w:rtl/>
        </w:rPr>
        <w:t xml:space="preserve">יו"ר הוועדה, דרור שטרום, פתח והציג את נושא הדיון להיום, </w:t>
      </w:r>
      <w:r w:rsidR="0029602C">
        <w:rPr>
          <w:rFonts w:cs="FrankRuehl" w:hint="cs"/>
          <w:sz w:val="26"/>
          <w:szCs w:val="26"/>
          <w:rtl/>
        </w:rPr>
        <w:t>המשך דיון במסקנות שעלו מהשימועים.</w:t>
      </w:r>
    </w:p>
    <w:p w:rsidR="006F2D57" w:rsidRDefault="0029602C" w:rsidP="0029602C">
      <w:pPr>
        <w:pStyle w:val="a3"/>
        <w:numPr>
          <w:ilvl w:val="0"/>
          <w:numId w:val="1"/>
        </w:numPr>
        <w:spacing w:line="360" w:lineRule="auto"/>
        <w:jc w:val="both"/>
        <w:rPr>
          <w:rFonts w:cs="FrankRuehl"/>
          <w:sz w:val="26"/>
          <w:szCs w:val="26"/>
        </w:rPr>
      </w:pPr>
      <w:r>
        <w:rPr>
          <w:rFonts w:cs="FrankRuehl" w:hint="cs"/>
          <w:sz w:val="26"/>
          <w:szCs w:val="26"/>
          <w:rtl/>
        </w:rPr>
        <w:t>תחילה, דובר על הבעיות והפתרונות האפשריים בצד הביקוש למוצרים הפיננסים.</w:t>
      </w:r>
    </w:p>
    <w:p w:rsidR="0029602C" w:rsidRDefault="0029602C" w:rsidP="007C656A">
      <w:pPr>
        <w:pStyle w:val="a3"/>
        <w:numPr>
          <w:ilvl w:val="1"/>
          <w:numId w:val="1"/>
        </w:numPr>
        <w:spacing w:line="360" w:lineRule="auto"/>
        <w:jc w:val="both"/>
        <w:rPr>
          <w:rFonts w:cs="FrankRuehl"/>
          <w:sz w:val="26"/>
          <w:szCs w:val="26"/>
        </w:rPr>
      </w:pPr>
      <w:r>
        <w:rPr>
          <w:rFonts w:cs="FrankRuehl" w:hint="cs"/>
          <w:sz w:val="26"/>
          <w:szCs w:val="26"/>
          <w:rtl/>
        </w:rPr>
        <w:t>נאמר כי יש מספר חברות אשר מתמחות ביצירת ממשקים אשר נועדו להנגיש מידע ואפשרויות בחירה לציבור על מנת להקל עליו בבחירת השירותים הפיננסים השונים.</w:t>
      </w:r>
    </w:p>
    <w:p w:rsidR="0029602C" w:rsidRDefault="0029602C" w:rsidP="003A153C">
      <w:pPr>
        <w:pStyle w:val="a3"/>
        <w:numPr>
          <w:ilvl w:val="1"/>
          <w:numId w:val="1"/>
        </w:numPr>
        <w:spacing w:line="360" w:lineRule="auto"/>
        <w:jc w:val="both"/>
        <w:rPr>
          <w:rFonts w:cs="FrankRuehl"/>
          <w:sz w:val="26"/>
          <w:szCs w:val="26"/>
        </w:rPr>
      </w:pPr>
      <w:r>
        <w:rPr>
          <w:rFonts w:cs="FrankRuehl" w:hint="cs"/>
          <w:sz w:val="26"/>
          <w:szCs w:val="26"/>
          <w:rtl/>
        </w:rPr>
        <w:t xml:space="preserve">אתר </w:t>
      </w:r>
      <w:proofErr w:type="spellStart"/>
      <w:r>
        <w:rPr>
          <w:rFonts w:cs="FrankRuehl"/>
          <w:sz w:val="26"/>
          <w:szCs w:val="26"/>
        </w:rPr>
        <w:t>Wobi</w:t>
      </w:r>
      <w:proofErr w:type="spellEnd"/>
      <w:r>
        <w:rPr>
          <w:rFonts w:cs="FrankRuehl" w:hint="cs"/>
          <w:sz w:val="26"/>
          <w:szCs w:val="26"/>
          <w:rtl/>
        </w:rPr>
        <w:t xml:space="preserve">, המאפשר השוואה ובחירה במגוון שירותים פיננסים כביטוח וניהול חסכונות פנסיוניים, הוצג כדוגמא לשירות </w:t>
      </w:r>
      <w:r w:rsidR="003A153C">
        <w:rPr>
          <w:rFonts w:cs="FrankRuehl" w:hint="cs"/>
          <w:sz w:val="26"/>
          <w:szCs w:val="26"/>
          <w:rtl/>
        </w:rPr>
        <w:t xml:space="preserve">עסקי המתבסס על תשתית ציבורית שהוקמה (המסלקה הפנסיונית), אשר יש לאפשר יצירת </w:t>
      </w:r>
      <w:r>
        <w:rPr>
          <w:rFonts w:cs="FrankRuehl" w:hint="cs"/>
          <w:sz w:val="26"/>
          <w:szCs w:val="26"/>
          <w:rtl/>
        </w:rPr>
        <w:t>שירותים דומים לו גם לסקטור הבנקאות.</w:t>
      </w:r>
    </w:p>
    <w:p w:rsidR="007C656A" w:rsidRDefault="007C656A" w:rsidP="007C656A">
      <w:pPr>
        <w:pStyle w:val="a3"/>
        <w:numPr>
          <w:ilvl w:val="1"/>
          <w:numId w:val="1"/>
        </w:numPr>
        <w:spacing w:line="360" w:lineRule="auto"/>
        <w:jc w:val="both"/>
        <w:rPr>
          <w:rFonts w:cs="FrankRuehl"/>
          <w:sz w:val="26"/>
          <w:szCs w:val="26"/>
        </w:rPr>
      </w:pPr>
      <w:r>
        <w:rPr>
          <w:rFonts w:cs="FrankRuehl" w:hint="cs"/>
          <w:sz w:val="26"/>
          <w:szCs w:val="26"/>
          <w:rtl/>
        </w:rPr>
        <w:t>צוין כי יש מערכות המאפשרות לנתח את פרופיל השימוש של הלקוח במוצרים בנקאיים ולהתאים לו את החבילה המיטבית עבורו.</w:t>
      </w:r>
    </w:p>
    <w:p w:rsidR="007C656A" w:rsidRDefault="007C656A" w:rsidP="007C656A">
      <w:pPr>
        <w:pStyle w:val="a3"/>
        <w:numPr>
          <w:ilvl w:val="1"/>
          <w:numId w:val="1"/>
        </w:numPr>
        <w:spacing w:line="360" w:lineRule="auto"/>
        <w:jc w:val="both"/>
        <w:rPr>
          <w:rFonts w:cs="FrankRuehl"/>
          <w:sz w:val="26"/>
          <w:szCs w:val="26"/>
        </w:rPr>
      </w:pPr>
      <w:r>
        <w:rPr>
          <w:rFonts w:cs="FrankRuehl" w:hint="cs"/>
          <w:sz w:val="26"/>
          <w:szCs w:val="26"/>
          <w:rtl/>
        </w:rPr>
        <w:t>דובר על החשיבות בשימוש ב-</w:t>
      </w:r>
      <w:r>
        <w:rPr>
          <w:rFonts w:cs="FrankRuehl"/>
          <w:sz w:val="26"/>
          <w:szCs w:val="26"/>
        </w:rPr>
        <w:t>API</w:t>
      </w:r>
      <w:r>
        <w:rPr>
          <w:rFonts w:cs="FrankRuehl" w:hint="cs"/>
          <w:sz w:val="26"/>
          <w:szCs w:val="26"/>
          <w:rtl/>
        </w:rPr>
        <w:t xml:space="preserve"> ככלי </w:t>
      </w:r>
      <w:proofErr w:type="spellStart"/>
      <w:r>
        <w:rPr>
          <w:rFonts w:cs="FrankRuehl" w:hint="cs"/>
          <w:sz w:val="26"/>
          <w:szCs w:val="26"/>
          <w:rtl/>
        </w:rPr>
        <w:t>להנגשת</w:t>
      </w:r>
      <w:proofErr w:type="spellEnd"/>
      <w:r>
        <w:rPr>
          <w:rFonts w:cs="FrankRuehl" w:hint="cs"/>
          <w:sz w:val="26"/>
          <w:szCs w:val="26"/>
          <w:rtl/>
        </w:rPr>
        <w:t xml:space="preserve"> מידע</w:t>
      </w:r>
      <w:r w:rsidR="00B10C27">
        <w:rPr>
          <w:rFonts w:cs="FrankRuehl" w:hint="cs"/>
          <w:sz w:val="26"/>
          <w:szCs w:val="26"/>
          <w:rtl/>
        </w:rPr>
        <w:t xml:space="preserve"> והצורך בבחינת הרגולציה וההתאמות לישראל</w:t>
      </w:r>
      <w:r>
        <w:rPr>
          <w:rFonts w:cs="FrankRuehl" w:hint="cs"/>
          <w:sz w:val="26"/>
          <w:szCs w:val="26"/>
          <w:rtl/>
        </w:rPr>
        <w:t xml:space="preserve">. </w:t>
      </w:r>
    </w:p>
    <w:p w:rsidR="007C656A" w:rsidRDefault="007C656A" w:rsidP="0029602C">
      <w:pPr>
        <w:pStyle w:val="a3"/>
        <w:numPr>
          <w:ilvl w:val="0"/>
          <w:numId w:val="1"/>
        </w:numPr>
        <w:spacing w:line="360" w:lineRule="auto"/>
        <w:jc w:val="both"/>
        <w:rPr>
          <w:rFonts w:cs="FrankRuehl"/>
          <w:sz w:val="26"/>
          <w:szCs w:val="26"/>
        </w:rPr>
      </w:pPr>
      <w:r>
        <w:rPr>
          <w:rFonts w:cs="FrankRuehl" w:hint="cs"/>
          <w:sz w:val="26"/>
          <w:szCs w:val="26"/>
          <w:rtl/>
        </w:rPr>
        <w:t>לאחר הדיון על צד הביקוש עבר הדיון לעסוק ביכולת הכניסה של גופים מוסדיים לשוק האשראי.</w:t>
      </w:r>
    </w:p>
    <w:p w:rsidR="006F2D57" w:rsidRDefault="007C656A" w:rsidP="006F2D57">
      <w:pPr>
        <w:pStyle w:val="a3"/>
        <w:numPr>
          <w:ilvl w:val="1"/>
          <w:numId w:val="1"/>
        </w:numPr>
        <w:spacing w:line="360" w:lineRule="auto"/>
        <w:jc w:val="both"/>
        <w:rPr>
          <w:rFonts w:cs="FrankRuehl"/>
          <w:sz w:val="26"/>
          <w:szCs w:val="26"/>
        </w:rPr>
      </w:pPr>
      <w:r>
        <w:rPr>
          <w:rFonts w:cs="FrankRuehl" w:hint="cs"/>
          <w:sz w:val="26"/>
          <w:szCs w:val="26"/>
          <w:rtl/>
        </w:rPr>
        <w:t>הועלתה הצעה לדיון במסגרתה הגוף המוסדי יקים חברת בת אשר "תלווה" מכספי העמיתים, תוך הבטחת התשואה להם, ומתן אשראי הנושא בסיכון ללווים פוטנציאלים. כך להתגבר על המחסור בתמריץ כלכלי מצד הגופים המוסדיים.</w:t>
      </w:r>
      <w:r w:rsidR="003A153C">
        <w:rPr>
          <w:rFonts w:cs="FrankRuehl" w:hint="cs"/>
          <w:sz w:val="26"/>
          <w:szCs w:val="26"/>
          <w:rtl/>
        </w:rPr>
        <w:t xml:space="preserve"> אגף שוק ההון הבהיר כי אפשרות כזו יוצרת ניגוד עניינים מובנה בפעילות המוסדיים וכי לא ניתן להקים חברה כזו תחת הגוף המוסדי, הן משיקולים </w:t>
      </w:r>
      <w:proofErr w:type="spellStart"/>
      <w:r w:rsidR="003A153C">
        <w:rPr>
          <w:rFonts w:cs="FrankRuehl" w:hint="cs"/>
          <w:sz w:val="26"/>
          <w:szCs w:val="26"/>
          <w:rtl/>
        </w:rPr>
        <w:t>יציבותיים</w:t>
      </w:r>
      <w:proofErr w:type="spellEnd"/>
      <w:r w:rsidR="003A153C">
        <w:rPr>
          <w:rFonts w:cs="FrankRuehl" w:hint="cs"/>
          <w:sz w:val="26"/>
          <w:szCs w:val="26"/>
          <w:rtl/>
        </w:rPr>
        <w:t xml:space="preserve"> והן משיקולי ניגוד עניינים בין חברה זו לבין מטרת הגוף המוסדי להשיא את תשואת כספי העמיתים.</w:t>
      </w:r>
    </w:p>
    <w:p w:rsidR="007C656A" w:rsidRPr="007C656A" w:rsidRDefault="007C656A" w:rsidP="003A153C">
      <w:pPr>
        <w:pStyle w:val="a3"/>
        <w:numPr>
          <w:ilvl w:val="1"/>
          <w:numId w:val="1"/>
        </w:numPr>
        <w:spacing w:line="360" w:lineRule="auto"/>
        <w:jc w:val="both"/>
        <w:rPr>
          <w:rFonts w:cs="FrankRuehl"/>
          <w:sz w:val="26"/>
          <w:szCs w:val="26"/>
        </w:rPr>
      </w:pPr>
      <w:r>
        <w:rPr>
          <w:rFonts w:cs="FrankRuehl" w:hint="cs"/>
          <w:sz w:val="26"/>
          <w:szCs w:val="26"/>
          <w:rtl/>
        </w:rPr>
        <w:t>כבר</w:t>
      </w:r>
      <w:r w:rsidR="003A153C">
        <w:rPr>
          <w:rFonts w:cs="FrankRuehl" w:hint="cs"/>
          <w:sz w:val="26"/>
          <w:szCs w:val="26"/>
          <w:rtl/>
        </w:rPr>
        <w:t xml:space="preserve"> כיום</w:t>
      </w:r>
      <w:r>
        <w:rPr>
          <w:rFonts w:cs="FrankRuehl" w:hint="cs"/>
          <w:sz w:val="26"/>
          <w:szCs w:val="26"/>
          <w:rtl/>
        </w:rPr>
        <w:t xml:space="preserve"> </w:t>
      </w:r>
      <w:r w:rsidR="003A153C">
        <w:rPr>
          <w:rFonts w:cs="FrankRuehl" w:hint="cs"/>
          <w:sz w:val="26"/>
          <w:szCs w:val="26"/>
          <w:rtl/>
        </w:rPr>
        <w:t xml:space="preserve">רשאים גופים מוסדיים להשקיע בהלוואה לא סחירה של צד קשור, כאשר על הלוואה זו חלה מגבלה לפיה כספי עמיתים יכולים להיות מושקעים בשיעור של עד 20% מההלוואה ולפחות 70% מערך ההלוואה חייב להיות מגופים מוסדיים אחרים או בנקים, הוראה אשר </w:t>
      </w:r>
      <w:r>
        <w:rPr>
          <w:rFonts w:cs="FrankRuehl" w:hint="cs"/>
          <w:sz w:val="26"/>
          <w:szCs w:val="26"/>
          <w:rtl/>
        </w:rPr>
        <w:t xml:space="preserve">נועדה להבטיח מחיר הוגן לכספי העמיתים. </w:t>
      </w:r>
    </w:p>
    <w:p w:rsidR="007C656A" w:rsidRDefault="007C656A" w:rsidP="006F2D57">
      <w:pPr>
        <w:pStyle w:val="a3"/>
        <w:numPr>
          <w:ilvl w:val="1"/>
          <w:numId w:val="1"/>
        </w:numPr>
        <w:spacing w:line="360" w:lineRule="auto"/>
        <w:jc w:val="both"/>
        <w:rPr>
          <w:rFonts w:cs="FrankRuehl"/>
          <w:sz w:val="26"/>
          <w:szCs w:val="26"/>
        </w:rPr>
      </w:pPr>
      <w:r>
        <w:rPr>
          <w:rFonts w:cs="FrankRuehl" w:hint="cs"/>
          <w:sz w:val="26"/>
          <w:szCs w:val="26"/>
          <w:rtl/>
        </w:rPr>
        <w:t>מודל זה מעלה סוגיה של ניגוד עניינים אשר לפי ההצעה ניתן לפתור באמצעות מנגנון שיקבע את המחיר הראוי לאותה הלוואה</w:t>
      </w:r>
      <w:r w:rsidR="002D6381">
        <w:rPr>
          <w:rFonts w:cs="FrankRuehl" w:hint="cs"/>
          <w:sz w:val="26"/>
          <w:szCs w:val="26"/>
          <w:rtl/>
        </w:rPr>
        <w:t>.</w:t>
      </w:r>
      <w:r w:rsidR="003463A9">
        <w:rPr>
          <w:rFonts w:cs="FrankRuehl" w:hint="cs"/>
          <w:sz w:val="26"/>
          <w:szCs w:val="26"/>
          <w:rtl/>
        </w:rPr>
        <w:t xml:space="preserve"> </w:t>
      </w:r>
      <w:r w:rsidR="003A153C">
        <w:rPr>
          <w:rFonts w:cs="FrankRuehl" w:hint="cs"/>
          <w:sz w:val="26"/>
          <w:szCs w:val="26"/>
          <w:rtl/>
        </w:rPr>
        <w:t>עם זאת, לא ברור כיצד מנגנון כזה יעבוד, וודאי שמנגנון סינתטי לא יכול לחקות באופן מיטבי את מחיר השוק ההוגן, כפי שעושה המנגנון הקיים לפיו לפחות 70% מההלוואה חייב להינתן על ידי צדדים לא קשורים.</w:t>
      </w:r>
    </w:p>
    <w:p w:rsidR="006F2D57" w:rsidRPr="002D6381" w:rsidRDefault="006F2D57" w:rsidP="006F2D57">
      <w:pPr>
        <w:pStyle w:val="a3"/>
        <w:spacing w:line="360" w:lineRule="auto"/>
        <w:jc w:val="both"/>
        <w:rPr>
          <w:rFonts w:cs="FrankRuehl"/>
          <w:sz w:val="26"/>
          <w:szCs w:val="26"/>
        </w:rPr>
      </w:pPr>
    </w:p>
    <w:p w:rsidR="006F2D57" w:rsidRPr="002B3B23" w:rsidRDefault="006F2D57" w:rsidP="006F2D57">
      <w:pPr>
        <w:spacing w:line="360" w:lineRule="auto"/>
        <w:jc w:val="both"/>
        <w:rPr>
          <w:rFonts w:cs="FrankRuehl"/>
          <w:sz w:val="26"/>
          <w:szCs w:val="26"/>
          <w:rtl/>
        </w:rPr>
      </w:pPr>
    </w:p>
    <w:p w:rsidR="006F2D57" w:rsidRPr="002B3B23" w:rsidRDefault="006F2D57" w:rsidP="006F2D57">
      <w:pPr>
        <w:spacing w:line="360" w:lineRule="auto"/>
        <w:jc w:val="both"/>
        <w:rPr>
          <w:rFonts w:cs="FrankRuehl"/>
          <w:sz w:val="26"/>
          <w:szCs w:val="26"/>
          <w:rtl/>
        </w:rPr>
      </w:pPr>
    </w:p>
    <w:p w:rsidR="006F2D57" w:rsidRPr="006760F3" w:rsidRDefault="006F2D57" w:rsidP="006F2D57">
      <w:pPr>
        <w:spacing w:line="360" w:lineRule="auto"/>
        <w:ind w:left="1800"/>
        <w:jc w:val="both"/>
        <w:rPr>
          <w:rFonts w:cs="FrankRuehl"/>
          <w:sz w:val="26"/>
          <w:szCs w:val="26"/>
        </w:rPr>
      </w:pPr>
    </w:p>
    <w:p w:rsidR="006F2D57" w:rsidRPr="000946EE" w:rsidRDefault="006F2D57" w:rsidP="006F2D57">
      <w:pPr>
        <w:jc w:val="both"/>
      </w:pPr>
    </w:p>
    <w:p w:rsidR="00BC0D34" w:rsidRPr="006F2D57" w:rsidRDefault="00BC0D34"/>
    <w:sectPr w:rsidR="00BC0D34" w:rsidRPr="006F2D57" w:rsidSect="005A7B9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72E1C"/>
    <w:multiLevelType w:val="hybridMultilevel"/>
    <w:tmpl w:val="24146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185A37"/>
    <w:multiLevelType w:val="hybridMultilevel"/>
    <w:tmpl w:val="677EE74C"/>
    <w:lvl w:ilvl="0" w:tplc="64B0442E">
      <w:start w:val="1"/>
      <w:numFmt w:val="bullet"/>
      <w:lvlText w:val="-"/>
      <w:lvlJc w:val="left"/>
      <w:pPr>
        <w:ind w:left="720" w:hanging="360"/>
      </w:pPr>
      <w:rPr>
        <w:rFonts w:asciiTheme="minorHAnsi" w:eastAsiaTheme="minorHAnsi" w:hAnsiTheme="minorHAnsi" w:cs="FrankRuehl" w:hint="default"/>
        <w:b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D57"/>
    <w:rsid w:val="000775C8"/>
    <w:rsid w:val="001E2F90"/>
    <w:rsid w:val="0029602C"/>
    <w:rsid w:val="002D6381"/>
    <w:rsid w:val="003463A9"/>
    <w:rsid w:val="003A153C"/>
    <w:rsid w:val="004F7FFE"/>
    <w:rsid w:val="005A3A54"/>
    <w:rsid w:val="00633CBD"/>
    <w:rsid w:val="006F2D57"/>
    <w:rsid w:val="007C656A"/>
    <w:rsid w:val="00B10C27"/>
    <w:rsid w:val="00BC0D34"/>
    <w:rsid w:val="00CF31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D5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2D57"/>
    <w:pPr>
      <w:ind w:left="720"/>
      <w:contextualSpacing/>
    </w:pPr>
  </w:style>
  <w:style w:type="paragraph" w:styleId="a4">
    <w:name w:val="Balloon Text"/>
    <w:basedOn w:val="a"/>
    <w:link w:val="a5"/>
    <w:uiPriority w:val="99"/>
    <w:semiHidden/>
    <w:unhideWhenUsed/>
    <w:rsid w:val="002D6381"/>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2D6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D5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2D57"/>
    <w:pPr>
      <w:ind w:left="720"/>
      <w:contextualSpacing/>
    </w:pPr>
  </w:style>
  <w:style w:type="paragraph" w:styleId="a4">
    <w:name w:val="Balloon Text"/>
    <w:basedOn w:val="a"/>
    <w:link w:val="a5"/>
    <w:uiPriority w:val="99"/>
    <w:semiHidden/>
    <w:unhideWhenUsed/>
    <w:rsid w:val="002D6381"/>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2D63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GovXID xmlns="a46656d4-8850-49b3-aebd-68bd05f7f43d">11</GovXID>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dc__x05e0__x05d5__x05e9__x05d0_ xmlns="47aeb57d-f743-4542-a0d0-16c68b2994f6">סיכומי דיון</_x05e9__x05d9__x05d5__x05da__x0020__x05dc__x05e0__x05d5__x05e9__x05d0_>
    <b76e59bb9f5947a781773f53cc6e9460 xmlns="a46656d4-8850-49b3-aebd-68bd05f7f43d">
      <Terms xmlns="http://schemas.microsoft.com/office/infopath/2007/PartnerControls"/>
    </b76e59bb9f5947a781773f53cc6e9460>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D9D2433237DFF5428C9E5887A8C50414" ma:contentTypeVersion="2" ma:contentTypeDescription="צור מסמך חדש." ma:contentTypeScope="" ma:versionID="48860bf71c3e2a1bea0552dcaa211d11">
  <xsd:schema xmlns:xsd="http://www.w3.org/2001/XMLSchema" xmlns:xs="http://www.w3.org/2001/XMLSchema" xmlns:p="http://schemas.microsoft.com/office/2006/metadata/properties" xmlns:ns2="a46656d4-8850-49b3-aebd-68bd05f7f43d" xmlns:ns3="47aeb57d-f743-4542-a0d0-16c68b2994f6" targetNamespace="http://schemas.microsoft.com/office/2006/metadata/properties" ma:root="true" ma:fieldsID="e781744c035f65d92a82381bc150b978" ns2:_="" ns3:_="">
    <xsd:import namespace="a46656d4-8850-49b3-aebd-68bd05f7f43d"/>
    <xsd:import namespace="47aeb57d-f743-4542-a0d0-16c68b2994f6"/>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dc__x05e0__x05d5__x05e9__x05d0_" minOccurs="0"/>
                <xsd:element ref="ns2:Gov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element name="GovXID" ma:index="33" nillable="true" ma:displayName="מיון" ma:internalName="GovX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eb57d-f743-4542-a0d0-16c68b2994f6" elementFormDefault="qualified">
    <xsd:import namespace="http://schemas.microsoft.com/office/2006/documentManagement/types"/>
    <xsd:import namespace="http://schemas.microsoft.com/office/infopath/2007/PartnerControls"/>
    <xsd:element name="_x05e9__x05d9__x05d5__x05da__x0020__x05dc__x05e0__x05d5__x05e9__x05d0_" ma:index="32" nillable="true" ma:displayName="שיוך לנושא" ma:default="ניירות עמדה 2" ma:format="Dropdown" ma:internalName="_x05e9__x05d9__x05d5__x05da__x0020__x05dc__x05e0__x05d5__x05e9__x05d0_">
      <xsd:simpleType>
        <xsd:restriction base="dms:Choice">
          <xsd:enumeration value="כתב מינוי"/>
          <xsd:enumeration value="דוח הביניים"/>
          <xsd:enumeration value="פניה לקבלת עמדות"/>
          <xsd:enumeration value="סיכומי דיון"/>
          <xsd:enumeration value="ניירות עמדה"/>
          <xsd:enumeration value="ניירות עמדה 2"/>
          <xsd:enumeration value="מצגות"/>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E339D8-A072-4E0B-A45E-024A40EAB9B1}"/>
</file>

<file path=customXml/itemProps2.xml><?xml version="1.0" encoding="utf-8"?>
<ds:datastoreItem xmlns:ds="http://schemas.openxmlformats.org/officeDocument/2006/customXml" ds:itemID="{D1FF59E1-4227-41B7-BEF9-F260560F49C4}"/>
</file>

<file path=customXml/itemProps3.xml><?xml version="1.0" encoding="utf-8"?>
<ds:datastoreItem xmlns:ds="http://schemas.openxmlformats.org/officeDocument/2006/customXml" ds:itemID="{8146A1DB-AD91-42A2-B2F2-6194AC877855}"/>
</file>

<file path=docProps/app.xml><?xml version="1.0" encoding="utf-8"?>
<Properties xmlns="http://schemas.openxmlformats.org/officeDocument/2006/extended-properties" xmlns:vt="http://schemas.openxmlformats.org/officeDocument/2006/docPropsVTypes">
  <Template>Normal</Template>
  <TotalTime>3</TotalTime>
  <Pages>3</Pages>
  <Words>401</Words>
  <Characters>2007</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26.08.2015</dc:title>
  <dc:creator>אבי כהן</dc:creator>
  <cp:lastModifiedBy>אבי כהן</cp:lastModifiedBy>
  <cp:revision>6</cp:revision>
  <dcterms:created xsi:type="dcterms:W3CDTF">2015-10-19T12:20:00Z</dcterms:created>
  <dcterms:modified xsi:type="dcterms:W3CDTF">2015-12-30T08:28:00Z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0x010100D9D2433237DFF5428C9E5887A8C50414</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