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57" w:rsidRPr="003F2328" w:rsidRDefault="006F2D57" w:rsidP="006F2D57">
      <w:pPr>
        <w:jc w:val="both"/>
        <w:rPr>
          <w:rFonts w:cs="FrankRuehl"/>
          <w:rtl/>
        </w:rPr>
      </w:pPr>
      <w:bookmarkStart w:id="0" w:name="DocNum"/>
      <w:bookmarkEnd w:id="0"/>
    </w:p>
    <w:p w:rsidR="006F2D57" w:rsidRPr="003F2328" w:rsidRDefault="006F2D57" w:rsidP="006F2D57">
      <w:pPr>
        <w:spacing w:line="360" w:lineRule="auto"/>
        <w:jc w:val="both"/>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6F2D57" w:rsidRPr="003F2328" w:rsidRDefault="006F2D57" w:rsidP="006F2D57">
      <w:pPr>
        <w:spacing w:line="360" w:lineRule="auto"/>
        <w:jc w:val="both"/>
        <w:rPr>
          <w:rFonts w:cs="FrankRuehl"/>
          <w:b/>
          <w:bCs/>
          <w:sz w:val="28"/>
          <w:szCs w:val="28"/>
          <w:u w:val="single"/>
          <w:rtl/>
        </w:rPr>
      </w:pPr>
      <w:r>
        <w:rPr>
          <w:rFonts w:cs="FrankRuehl" w:hint="cs"/>
          <w:b/>
          <w:bCs/>
          <w:sz w:val="28"/>
          <w:szCs w:val="28"/>
          <w:u w:val="single"/>
          <w:rtl/>
        </w:rPr>
        <w:t>23/08/2015</w:t>
      </w:r>
    </w:p>
    <w:p w:rsidR="006F2D57" w:rsidRPr="003F2328" w:rsidRDefault="006F2D57" w:rsidP="006F2D57">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6F2D57" w:rsidRDefault="006F2D57" w:rsidP="006F2D57">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6F2D57" w:rsidRDefault="006F2D57" w:rsidP="006F2D57">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6F2D57" w:rsidRDefault="006F2D57" w:rsidP="006F2D57">
      <w:pPr>
        <w:spacing w:line="240" w:lineRule="exact"/>
        <w:jc w:val="both"/>
        <w:rPr>
          <w:rFonts w:cs="FrankRuehl"/>
          <w:sz w:val="26"/>
          <w:szCs w:val="26"/>
          <w:rtl/>
        </w:rPr>
      </w:pPr>
      <w:r w:rsidRPr="003F2328">
        <w:rPr>
          <w:rFonts w:cs="FrankRuehl" w:hint="cs"/>
          <w:sz w:val="26"/>
          <w:szCs w:val="26"/>
          <w:rtl/>
        </w:rPr>
        <w:t>פרופ' נתן זוסמן, ראש חטיבת המחקר, בנק ישראל</w:t>
      </w:r>
    </w:p>
    <w:p w:rsidR="006F2D57" w:rsidRPr="003F2328" w:rsidRDefault="006F2D57" w:rsidP="006F2D57">
      <w:pPr>
        <w:spacing w:line="240" w:lineRule="exact"/>
        <w:jc w:val="both"/>
        <w:rPr>
          <w:rFonts w:cs="FrankRuehl"/>
          <w:sz w:val="26"/>
          <w:szCs w:val="26"/>
          <w:rtl/>
        </w:rPr>
      </w:pPr>
    </w:p>
    <w:p w:rsidR="006F2D57" w:rsidRPr="003F2328" w:rsidRDefault="006F2D57" w:rsidP="006F2D57">
      <w:pPr>
        <w:spacing w:line="240" w:lineRule="exact"/>
        <w:jc w:val="both"/>
        <w:rPr>
          <w:rFonts w:cs="FrankRuehl"/>
          <w:sz w:val="26"/>
          <w:szCs w:val="26"/>
          <w:u w:val="single"/>
          <w:rtl/>
        </w:rPr>
      </w:pPr>
      <w:r w:rsidRPr="003F2328">
        <w:rPr>
          <w:rFonts w:cs="FrankRuehl" w:hint="cs"/>
          <w:sz w:val="26"/>
          <w:szCs w:val="26"/>
          <w:u w:val="single"/>
          <w:rtl/>
        </w:rPr>
        <w:t>נציגים:</w:t>
      </w:r>
    </w:p>
    <w:p w:rsidR="006F2D57" w:rsidRDefault="006F2D57" w:rsidP="006F2D57">
      <w:pPr>
        <w:spacing w:line="240" w:lineRule="exact"/>
        <w:jc w:val="both"/>
        <w:rPr>
          <w:rFonts w:cs="FrankRuehl"/>
          <w:sz w:val="26"/>
          <w:szCs w:val="26"/>
          <w:rtl/>
        </w:rPr>
      </w:pPr>
      <w:r>
        <w:rPr>
          <w:rFonts w:cs="FrankRuehl" w:hint="cs"/>
          <w:sz w:val="26"/>
          <w:szCs w:val="26"/>
          <w:rtl/>
        </w:rPr>
        <w:t>יואל בריס, משרד האוצר</w:t>
      </w:r>
    </w:p>
    <w:p w:rsidR="006F2D57" w:rsidRDefault="006F2D57" w:rsidP="006F2D57">
      <w:pPr>
        <w:spacing w:line="240" w:lineRule="exact"/>
        <w:jc w:val="both"/>
        <w:rPr>
          <w:rFonts w:cs="FrankRuehl"/>
          <w:sz w:val="26"/>
          <w:szCs w:val="26"/>
          <w:rtl/>
        </w:rPr>
      </w:pPr>
      <w:r>
        <w:rPr>
          <w:rFonts w:cs="FrankRuehl" w:hint="cs"/>
          <w:sz w:val="26"/>
          <w:szCs w:val="26"/>
          <w:rtl/>
        </w:rPr>
        <w:t>יואב גפני, משרד האוצר</w:t>
      </w:r>
    </w:p>
    <w:p w:rsidR="006F2D57" w:rsidRDefault="006F2D57" w:rsidP="006F2D57">
      <w:pPr>
        <w:spacing w:line="240" w:lineRule="exact"/>
        <w:jc w:val="both"/>
        <w:rPr>
          <w:rFonts w:cs="FrankRuehl"/>
          <w:sz w:val="26"/>
          <w:szCs w:val="26"/>
          <w:rtl/>
        </w:rPr>
      </w:pPr>
      <w:r>
        <w:rPr>
          <w:rFonts w:cs="FrankRuehl" w:hint="cs"/>
          <w:sz w:val="26"/>
          <w:szCs w:val="26"/>
          <w:rtl/>
        </w:rPr>
        <w:t>נדב שמש, משרד האוצר</w:t>
      </w:r>
    </w:p>
    <w:p w:rsidR="006F2D57" w:rsidRDefault="006F2D57" w:rsidP="006F2D57">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6F2D57" w:rsidRDefault="006F2D57" w:rsidP="006F2D57">
      <w:pPr>
        <w:spacing w:line="240" w:lineRule="exact"/>
        <w:jc w:val="both"/>
        <w:rPr>
          <w:rFonts w:cs="FrankRuehl"/>
          <w:sz w:val="26"/>
          <w:szCs w:val="26"/>
          <w:rtl/>
        </w:rPr>
      </w:pPr>
      <w:r w:rsidRPr="003F2328">
        <w:rPr>
          <w:rFonts w:cs="FrankRuehl" w:hint="cs"/>
          <w:sz w:val="26"/>
          <w:szCs w:val="26"/>
          <w:rtl/>
        </w:rPr>
        <w:t xml:space="preserve">כפיר </w:t>
      </w:r>
      <w:proofErr w:type="spellStart"/>
      <w:r w:rsidRPr="003F2328">
        <w:rPr>
          <w:rFonts w:cs="FrankRuehl" w:hint="cs"/>
          <w:sz w:val="26"/>
          <w:szCs w:val="26"/>
          <w:rtl/>
        </w:rPr>
        <w:t>בטט</w:t>
      </w:r>
      <w:proofErr w:type="spellEnd"/>
      <w:r w:rsidRPr="003F2328">
        <w:rPr>
          <w:rFonts w:cs="FrankRuehl" w:hint="cs"/>
          <w:sz w:val="26"/>
          <w:szCs w:val="26"/>
          <w:rtl/>
        </w:rPr>
        <w:t>, משרד האוצר</w:t>
      </w:r>
    </w:p>
    <w:p w:rsidR="006F2D57" w:rsidRPr="003F2328" w:rsidRDefault="006F2D57" w:rsidP="006F2D57">
      <w:pPr>
        <w:spacing w:line="240" w:lineRule="exact"/>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רויטל קיסר, בנק ישראל</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 xml:space="preserve">מיקי </w:t>
      </w:r>
      <w:proofErr w:type="spellStart"/>
      <w:r w:rsidRPr="003F2328">
        <w:rPr>
          <w:rFonts w:cs="FrankRuehl" w:hint="cs"/>
          <w:sz w:val="26"/>
          <w:szCs w:val="26"/>
          <w:rtl/>
        </w:rPr>
        <w:t>קהן</w:t>
      </w:r>
      <w:proofErr w:type="spellEnd"/>
      <w:r w:rsidRPr="003F2328">
        <w:rPr>
          <w:rFonts w:cs="FrankRuehl" w:hint="cs"/>
          <w:sz w:val="26"/>
          <w:szCs w:val="26"/>
          <w:rtl/>
        </w:rPr>
        <w:t>, בנק ישראל</w:t>
      </w:r>
    </w:p>
    <w:p w:rsidR="006F2D57" w:rsidRDefault="00FB7896" w:rsidP="006F2D57">
      <w:pPr>
        <w:spacing w:line="240" w:lineRule="exact"/>
        <w:jc w:val="both"/>
        <w:rPr>
          <w:rFonts w:cs="FrankRuehl"/>
          <w:sz w:val="26"/>
          <w:szCs w:val="26"/>
          <w:rtl/>
        </w:rPr>
      </w:pPr>
      <w:r>
        <w:rPr>
          <w:rFonts w:cs="FrankRuehl" w:hint="cs"/>
          <w:sz w:val="26"/>
          <w:szCs w:val="26"/>
          <w:rtl/>
        </w:rPr>
        <w:t xml:space="preserve">ד"ר </w:t>
      </w:r>
      <w:r w:rsidR="006F2D57">
        <w:rPr>
          <w:rFonts w:cs="FrankRuehl" w:hint="cs"/>
          <w:sz w:val="26"/>
          <w:szCs w:val="26"/>
          <w:rtl/>
        </w:rPr>
        <w:t>אסף אילת, הרשות להגבלים עסקיים</w:t>
      </w:r>
    </w:p>
    <w:p w:rsidR="006F2D57" w:rsidRDefault="00FB7896" w:rsidP="006F2D57">
      <w:pPr>
        <w:spacing w:line="240" w:lineRule="exact"/>
        <w:jc w:val="both"/>
        <w:rPr>
          <w:rFonts w:cs="FrankRuehl"/>
          <w:sz w:val="26"/>
          <w:szCs w:val="26"/>
          <w:rtl/>
        </w:rPr>
      </w:pPr>
      <w:r>
        <w:rPr>
          <w:rFonts w:cs="FrankRuehl" w:hint="cs"/>
          <w:sz w:val="26"/>
          <w:szCs w:val="26"/>
          <w:rtl/>
        </w:rPr>
        <w:t xml:space="preserve">ד"ר </w:t>
      </w:r>
      <w:bookmarkStart w:id="1" w:name="_GoBack"/>
      <w:bookmarkEnd w:id="1"/>
      <w:r w:rsidR="006F2D57">
        <w:rPr>
          <w:rFonts w:cs="FrankRuehl" w:hint="cs"/>
          <w:sz w:val="26"/>
          <w:szCs w:val="26"/>
          <w:rtl/>
        </w:rPr>
        <w:t>דנה הלר, הרשות להגבלים עסקיים</w:t>
      </w:r>
    </w:p>
    <w:p w:rsidR="006F2D57" w:rsidRDefault="006F2D57" w:rsidP="006F2D57">
      <w:pPr>
        <w:spacing w:line="240" w:lineRule="exact"/>
        <w:jc w:val="both"/>
        <w:rPr>
          <w:rFonts w:cs="FrankRuehl"/>
          <w:sz w:val="26"/>
          <w:szCs w:val="26"/>
          <w:rtl/>
        </w:rPr>
      </w:pPr>
      <w:r>
        <w:rPr>
          <w:rFonts w:cs="FrankRuehl" w:hint="cs"/>
          <w:sz w:val="26"/>
          <w:szCs w:val="26"/>
          <w:rtl/>
        </w:rPr>
        <w:t>אורי שרף, הרשות להגבלים עסקיים</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 xml:space="preserve">אלעד </w:t>
      </w:r>
      <w:proofErr w:type="spellStart"/>
      <w:r w:rsidRPr="003F2328">
        <w:rPr>
          <w:rFonts w:cs="FrankRuehl" w:hint="cs"/>
          <w:sz w:val="26"/>
          <w:szCs w:val="26"/>
          <w:rtl/>
        </w:rPr>
        <w:t>מקדסי</w:t>
      </w:r>
      <w:proofErr w:type="spellEnd"/>
      <w:r w:rsidRPr="003F2328">
        <w:rPr>
          <w:rFonts w:cs="FrankRuehl" w:hint="cs"/>
          <w:sz w:val="26"/>
          <w:szCs w:val="26"/>
          <w:rtl/>
        </w:rPr>
        <w:t>, הרשות להגבלים עסקיים</w:t>
      </w:r>
    </w:p>
    <w:p w:rsidR="006F2D57" w:rsidRPr="003F2328" w:rsidRDefault="006F2D57" w:rsidP="006F2D57">
      <w:pPr>
        <w:spacing w:line="240" w:lineRule="exact"/>
        <w:jc w:val="both"/>
        <w:rPr>
          <w:rFonts w:cs="FrankRuehl"/>
          <w:sz w:val="26"/>
          <w:szCs w:val="26"/>
          <w:rtl/>
        </w:rPr>
      </w:pPr>
      <w:r w:rsidRPr="003F2328">
        <w:rPr>
          <w:rFonts w:cs="FrankRuehl" w:hint="cs"/>
          <w:sz w:val="26"/>
          <w:szCs w:val="26"/>
          <w:rtl/>
        </w:rPr>
        <w:t xml:space="preserve">ליאור </w:t>
      </w:r>
      <w:proofErr w:type="spellStart"/>
      <w:r w:rsidRPr="003F2328">
        <w:rPr>
          <w:rFonts w:cs="FrankRuehl" w:hint="cs"/>
          <w:sz w:val="26"/>
          <w:szCs w:val="26"/>
          <w:rtl/>
        </w:rPr>
        <w:t>תבורי</w:t>
      </w:r>
      <w:proofErr w:type="spellEnd"/>
    </w:p>
    <w:p w:rsidR="006F2D57" w:rsidRDefault="006F2D57" w:rsidP="006F2D57">
      <w:pPr>
        <w:jc w:val="both"/>
        <w:rPr>
          <w:rtl/>
        </w:rPr>
      </w:pPr>
    </w:p>
    <w:p w:rsidR="006F2D57" w:rsidRDefault="006F2D57" w:rsidP="006F2D57">
      <w:pPr>
        <w:jc w:val="both"/>
        <w:rPr>
          <w:rtl/>
        </w:rPr>
      </w:pPr>
    </w:p>
    <w:p w:rsidR="006F2D57" w:rsidRDefault="006F2D57" w:rsidP="006F2D57">
      <w:pPr>
        <w:jc w:val="both"/>
        <w:rPr>
          <w:rtl/>
        </w:rPr>
      </w:pPr>
    </w:p>
    <w:p w:rsidR="00CF319E" w:rsidRDefault="00CF319E" w:rsidP="006F2D57">
      <w:pPr>
        <w:jc w:val="both"/>
        <w:rPr>
          <w:rtl/>
        </w:rPr>
      </w:pPr>
    </w:p>
    <w:p w:rsidR="00CF319E" w:rsidRDefault="00CF319E" w:rsidP="006F2D57">
      <w:pPr>
        <w:jc w:val="both"/>
        <w:rPr>
          <w:rtl/>
        </w:rPr>
      </w:pPr>
    </w:p>
    <w:p w:rsidR="00CF319E" w:rsidRDefault="00CF319E" w:rsidP="006F2D57">
      <w:pPr>
        <w:jc w:val="both"/>
        <w:rPr>
          <w:rtl/>
        </w:rPr>
      </w:pPr>
    </w:p>
    <w:p w:rsidR="006F2D57" w:rsidRDefault="006F2D57" w:rsidP="006F2D57">
      <w:pPr>
        <w:jc w:val="both"/>
        <w:rPr>
          <w:rtl/>
        </w:rPr>
      </w:pPr>
    </w:p>
    <w:p w:rsidR="006F2D57" w:rsidRDefault="006F2D57" w:rsidP="006F2D57">
      <w:pPr>
        <w:spacing w:line="360" w:lineRule="auto"/>
        <w:jc w:val="both"/>
        <w:rPr>
          <w:rFonts w:cs="FrankRuehl"/>
          <w:b/>
          <w:bCs/>
          <w:sz w:val="26"/>
          <w:szCs w:val="26"/>
          <w:u w:val="single"/>
          <w:rtl/>
        </w:rPr>
      </w:pPr>
      <w:r>
        <w:rPr>
          <w:rFonts w:cs="FrankRuehl" w:hint="cs"/>
          <w:b/>
          <w:bCs/>
          <w:sz w:val="26"/>
          <w:szCs w:val="26"/>
          <w:u w:val="single"/>
          <w:rtl/>
        </w:rPr>
        <w:lastRenderedPageBreak/>
        <w:t xml:space="preserve">סיכום דיון </w:t>
      </w:r>
    </w:p>
    <w:p w:rsidR="006F2D57" w:rsidRDefault="006F2D57" w:rsidP="006F2D57">
      <w:pPr>
        <w:pStyle w:val="a3"/>
        <w:numPr>
          <w:ilvl w:val="0"/>
          <w:numId w:val="1"/>
        </w:numPr>
        <w:spacing w:line="360" w:lineRule="auto"/>
        <w:jc w:val="both"/>
        <w:rPr>
          <w:rFonts w:cs="FrankRuehl"/>
          <w:sz w:val="26"/>
          <w:szCs w:val="26"/>
        </w:rPr>
      </w:pPr>
      <w:r w:rsidRPr="003F2328">
        <w:rPr>
          <w:rFonts w:cs="FrankRuehl" w:hint="cs"/>
          <w:sz w:val="26"/>
          <w:szCs w:val="26"/>
          <w:rtl/>
        </w:rPr>
        <w:t xml:space="preserve">יו"ר הוועדה, דרור שטרום, פתח והציג את נושא הדיון להיום, </w:t>
      </w:r>
      <w:r>
        <w:rPr>
          <w:rFonts w:cs="FrankRuehl" w:hint="cs"/>
          <w:sz w:val="26"/>
          <w:szCs w:val="26"/>
          <w:rtl/>
        </w:rPr>
        <w:t>חוק האיגוח והמשך הסקת מסקנות מהשימועים שנערכו במסגרת הוועדה.</w:t>
      </w:r>
    </w:p>
    <w:p w:rsidR="006F2D57" w:rsidRDefault="006F2D57" w:rsidP="006F2D57">
      <w:pPr>
        <w:pStyle w:val="a3"/>
        <w:numPr>
          <w:ilvl w:val="0"/>
          <w:numId w:val="1"/>
        </w:numPr>
        <w:spacing w:line="360" w:lineRule="auto"/>
        <w:jc w:val="both"/>
        <w:rPr>
          <w:rFonts w:cs="FrankRuehl"/>
          <w:sz w:val="26"/>
          <w:szCs w:val="26"/>
        </w:rPr>
      </w:pPr>
      <w:r>
        <w:rPr>
          <w:rFonts w:cs="FrankRuehl" w:hint="cs"/>
          <w:sz w:val="26"/>
          <w:szCs w:val="26"/>
          <w:rtl/>
        </w:rPr>
        <w:t xml:space="preserve">נציג בנק ישראל פתח והציג את מסקנות הוועדה </w:t>
      </w:r>
      <w:proofErr w:type="spellStart"/>
      <w:r>
        <w:rPr>
          <w:rFonts w:cs="FrankRuehl" w:hint="cs"/>
          <w:sz w:val="26"/>
          <w:szCs w:val="26"/>
          <w:rtl/>
        </w:rPr>
        <w:t>הבינמשרדית</w:t>
      </w:r>
      <w:proofErr w:type="spellEnd"/>
      <w:r>
        <w:rPr>
          <w:rFonts w:cs="FrankRuehl" w:hint="cs"/>
          <w:sz w:val="26"/>
          <w:szCs w:val="26"/>
          <w:rtl/>
        </w:rPr>
        <w:t xml:space="preserve"> לבחינת כלי האיגוח בישראל.</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הוצגה החשיבות של עסקאות איגוח לפעילות הכלכלית ולקידום התחרות:</w:t>
      </w:r>
    </w:p>
    <w:p w:rsidR="006F2D57" w:rsidRPr="006760F3" w:rsidRDefault="006F2D57" w:rsidP="006F2D57">
      <w:pPr>
        <w:pStyle w:val="a3"/>
        <w:numPr>
          <w:ilvl w:val="2"/>
          <w:numId w:val="1"/>
        </w:numPr>
        <w:spacing w:line="360" w:lineRule="auto"/>
        <w:jc w:val="both"/>
        <w:rPr>
          <w:rFonts w:cs="FrankRuehl"/>
          <w:sz w:val="26"/>
          <w:szCs w:val="26"/>
        </w:rPr>
      </w:pPr>
      <w:r w:rsidRPr="006760F3">
        <w:rPr>
          <w:rFonts w:cs="FrankRuehl"/>
          <w:sz w:val="26"/>
          <w:szCs w:val="26"/>
          <w:rtl/>
        </w:rPr>
        <w:t>פיתוח השוק החוץ בנקאי, והוזלת מקורות המימון</w:t>
      </w:r>
      <w:r w:rsidRPr="006760F3">
        <w:rPr>
          <w:rFonts w:cs="FrankRuehl"/>
          <w:sz w:val="26"/>
          <w:szCs w:val="26"/>
        </w:rPr>
        <w:t>;</w:t>
      </w:r>
    </w:p>
    <w:p w:rsidR="006F2D57" w:rsidRPr="006760F3" w:rsidRDefault="006F2D57" w:rsidP="006F2D57">
      <w:pPr>
        <w:pStyle w:val="a3"/>
        <w:numPr>
          <w:ilvl w:val="2"/>
          <w:numId w:val="1"/>
        </w:numPr>
        <w:spacing w:line="360" w:lineRule="auto"/>
        <w:jc w:val="both"/>
        <w:rPr>
          <w:rFonts w:cs="FrankRuehl"/>
          <w:sz w:val="26"/>
          <w:szCs w:val="26"/>
          <w:rtl/>
        </w:rPr>
      </w:pPr>
      <w:r w:rsidRPr="006760F3">
        <w:rPr>
          <w:rFonts w:cs="FrankRuehl"/>
          <w:sz w:val="26"/>
          <w:szCs w:val="26"/>
          <w:rtl/>
        </w:rPr>
        <w:t>כלי מגשר בין הכספים שבידי המוסדיים לכלכלה הריאלית</w:t>
      </w:r>
      <w:r w:rsidRPr="006760F3">
        <w:rPr>
          <w:rFonts w:cs="FrankRuehl"/>
          <w:sz w:val="26"/>
          <w:szCs w:val="26"/>
        </w:rPr>
        <w:t>;</w:t>
      </w:r>
    </w:p>
    <w:p w:rsidR="006F2D57" w:rsidRPr="006760F3" w:rsidRDefault="006F2D57" w:rsidP="006F2D57">
      <w:pPr>
        <w:pStyle w:val="a3"/>
        <w:numPr>
          <w:ilvl w:val="2"/>
          <w:numId w:val="1"/>
        </w:numPr>
        <w:spacing w:line="360" w:lineRule="auto"/>
        <w:jc w:val="both"/>
        <w:rPr>
          <w:rFonts w:cs="FrankRuehl"/>
          <w:sz w:val="26"/>
          <w:szCs w:val="26"/>
          <w:rtl/>
        </w:rPr>
      </w:pPr>
      <w:r w:rsidRPr="006760F3">
        <w:rPr>
          <w:rFonts w:cs="FrankRuehl"/>
          <w:sz w:val="26"/>
          <w:szCs w:val="26"/>
          <w:rtl/>
        </w:rPr>
        <w:t>הרחבת אפיקי ההשקעה של הגופים המוסדיים לרבות הפניית מקורות למשק הישראלי כתחליף להשקעה בחו"ל;</w:t>
      </w:r>
    </w:p>
    <w:p w:rsidR="006F2D57" w:rsidRPr="006760F3" w:rsidRDefault="006F2D57" w:rsidP="006F2D57">
      <w:pPr>
        <w:pStyle w:val="a3"/>
        <w:numPr>
          <w:ilvl w:val="2"/>
          <w:numId w:val="1"/>
        </w:numPr>
        <w:spacing w:line="360" w:lineRule="auto"/>
        <w:jc w:val="both"/>
        <w:rPr>
          <w:rFonts w:cs="FrankRuehl"/>
          <w:sz w:val="26"/>
          <w:szCs w:val="26"/>
          <w:rtl/>
        </w:rPr>
      </w:pPr>
      <w:r w:rsidRPr="006760F3">
        <w:rPr>
          <w:rFonts w:cs="FrankRuehl"/>
          <w:sz w:val="26"/>
          <w:szCs w:val="26"/>
          <w:rtl/>
        </w:rPr>
        <w:t>אפשרות לפינוי הון במערכת הבנקאית, במטרה שיוקצה, בין היתר, למימון של עסקים קטנים</w:t>
      </w:r>
      <w:r w:rsidRPr="006760F3">
        <w:rPr>
          <w:rFonts w:cs="FrankRuehl"/>
          <w:sz w:val="26"/>
          <w:szCs w:val="26"/>
        </w:rPr>
        <w:t>;</w:t>
      </w:r>
    </w:p>
    <w:p w:rsidR="006F2D57" w:rsidRPr="006760F3" w:rsidRDefault="006F2D57" w:rsidP="006F2D57">
      <w:pPr>
        <w:pStyle w:val="a3"/>
        <w:numPr>
          <w:ilvl w:val="2"/>
          <w:numId w:val="1"/>
        </w:numPr>
        <w:spacing w:line="360" w:lineRule="auto"/>
        <w:jc w:val="both"/>
        <w:rPr>
          <w:rFonts w:cs="FrankRuehl"/>
          <w:sz w:val="26"/>
          <w:szCs w:val="26"/>
          <w:rtl/>
        </w:rPr>
      </w:pPr>
      <w:r w:rsidRPr="006760F3">
        <w:rPr>
          <w:rFonts w:cs="FrankRuehl"/>
          <w:sz w:val="26"/>
          <w:szCs w:val="26"/>
          <w:rtl/>
        </w:rPr>
        <w:t>הוספת כלי להעברת סיכונים הנפוץ בשווקים מפותחים;</w:t>
      </w:r>
    </w:p>
    <w:p w:rsidR="006F2D57" w:rsidRDefault="006F2D57" w:rsidP="006F2D57">
      <w:pPr>
        <w:pStyle w:val="a3"/>
        <w:numPr>
          <w:ilvl w:val="2"/>
          <w:numId w:val="1"/>
        </w:numPr>
        <w:spacing w:line="360" w:lineRule="auto"/>
        <w:jc w:val="both"/>
        <w:rPr>
          <w:rFonts w:cs="FrankRuehl"/>
          <w:sz w:val="26"/>
          <w:szCs w:val="26"/>
        </w:rPr>
      </w:pPr>
      <w:r w:rsidRPr="006760F3">
        <w:rPr>
          <w:rFonts w:cs="FrankRuehl"/>
          <w:sz w:val="26"/>
          <w:szCs w:val="26"/>
          <w:rtl/>
        </w:rPr>
        <w:t>תמחור מדויק יותר של תשואה לחוב תוך ניתוק מלא של הסיכונים הכרוכים ביזם.</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הוצג המבנה המסורתי של עסקת איגוח (ראו מצגת)</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הוצג מה קורה בעולם מבחינת איגוח וגודל שוק האיגוח בארה"ב ובאירופה.</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 xml:space="preserve">הוצגו ההמלצות העיקריות של הצוות אשר במרכזן הגדרת תשתית חוקית, </w:t>
      </w:r>
      <w:proofErr w:type="spellStart"/>
      <w:r>
        <w:rPr>
          <w:rFonts w:cs="FrankRuehl" w:hint="cs"/>
          <w:sz w:val="26"/>
          <w:szCs w:val="26"/>
          <w:rtl/>
        </w:rPr>
        <w:t>מיסוית</w:t>
      </w:r>
      <w:proofErr w:type="spellEnd"/>
      <w:r>
        <w:rPr>
          <w:rFonts w:cs="FrankRuehl" w:hint="cs"/>
          <w:sz w:val="26"/>
          <w:szCs w:val="26"/>
          <w:rtl/>
        </w:rPr>
        <w:t>, רגולטורית וחשבונאית מתאימה לביצוע עסקאות איגוח מסורתי בלבד.</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 xml:space="preserve">נאמר כי האיגוח הוא כלי חשוב הנפוץ במשקים מפותחים ויסייע לשפר את הקצאת המקורות במשק. </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עלתה השאלה האם להקנות כלי זה לשימוש של כלל הבנקים או בנקים קטנים בלבד על מנת לשפר את יכולת התחרות שלהם.</w:t>
      </w:r>
    </w:p>
    <w:p w:rsidR="006F2D57" w:rsidRDefault="006F2D57" w:rsidP="006F2D57">
      <w:pPr>
        <w:pStyle w:val="a3"/>
        <w:numPr>
          <w:ilvl w:val="0"/>
          <w:numId w:val="1"/>
        </w:numPr>
        <w:spacing w:line="360" w:lineRule="auto"/>
        <w:jc w:val="both"/>
        <w:rPr>
          <w:rFonts w:cs="FrankRuehl"/>
          <w:sz w:val="26"/>
          <w:szCs w:val="26"/>
        </w:rPr>
      </w:pPr>
      <w:r>
        <w:rPr>
          <w:rFonts w:cs="FrankRuehl" w:hint="cs"/>
          <w:sz w:val="26"/>
          <w:szCs w:val="26"/>
          <w:rtl/>
        </w:rPr>
        <w:t>בשלב זה יו"ר הוועדה המשיך בסקירת השחקנים הפוטנציאלים לתחרות, כפי שעלו מעבודת הוועדה והשימועים שנערכו במסגרתה.</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תחילה נסקר הפוטנציאל התחרותי של הגדלת התחרות בתוך הסקטור הבנקאי.</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דובר על הרצון של הבנקים הקטנים ובינוניים במערכת להגדיל את נתח השוק בו הם מחזיקים.</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תוארו הכלים במסגרתם הם מעוניינים להגדיל את נתח השוק שלהם:</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 xml:space="preserve">משיכת לקוחות באמצעות "חשבונות שניים" </w:t>
      </w:r>
      <w:r>
        <w:rPr>
          <w:rFonts w:cs="FrankRuehl"/>
          <w:sz w:val="26"/>
          <w:szCs w:val="26"/>
          <w:rtl/>
        </w:rPr>
        <w:t>–</w:t>
      </w:r>
      <w:r>
        <w:rPr>
          <w:rFonts w:cs="FrankRuehl" w:hint="cs"/>
          <w:sz w:val="26"/>
          <w:szCs w:val="26"/>
          <w:rtl/>
        </w:rPr>
        <w:t xml:space="preserve"> כלומר פתיחת החשבון השני של הלקוח בבנק שלהם.</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שיתוף פעולה עם גופים מוסדיים בשביל קבלת הון למתן אשראי</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הפחתת חסמי המעבר מבנק לבנק ומתן אפשרות למעבר מלא באמצעות האינטרנט</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lastRenderedPageBreak/>
        <w:t>מתן אפשרות להשתתפות בכלים תשתיתיים יקרים כגון מערכות מחשוב</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 xml:space="preserve">הקלה ביחס ההון הנדרש </w:t>
      </w:r>
      <w:r>
        <w:rPr>
          <w:rFonts w:cs="FrankRuehl"/>
          <w:sz w:val="26"/>
          <w:szCs w:val="26"/>
          <w:rtl/>
        </w:rPr>
        <w:t>–</w:t>
      </w:r>
      <w:r>
        <w:rPr>
          <w:rFonts w:cs="FrankRuehl" w:hint="cs"/>
          <w:sz w:val="26"/>
          <w:szCs w:val="26"/>
          <w:rtl/>
        </w:rPr>
        <w:t xml:space="preserve"> מדרג רגולטורי</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נאמר כי ככל הנראה לא תתאפשר הקלה רגולטורית לבנקים קטנים. בנוסף, צוין כי מיקוד התחרות רק בתוך הסקטור הבנקאי כנראה לא תוזיל את המחיר לצרכן לנוכח העלויות העודפות של הבנקים בטווח הקצר והבינוני.</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בשלב זה נסקר הפוטנציאל התחרותי של הגופים המוסדיים.</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נאמר כי הפוטנציאל הקיים בגופים אלו הינו רב עקב כמות ההון הרבה שהם מחזיקים והתפתחות הנכסים העתידית של גופים אלו.</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עם זאת, כפי שכבר נאמר בוועדה, הכניסה של גופים אלו לשוק האשראי באופן ישיר מוטלת בספק עקב חסמים שונים.</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הוצגו הבקשות המרכזיות שעלו מהגופים המוסדיים בכדי להיכנס לתחרות בשוק האשראי:</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הסרת המגבלה הרגולטורית המתירה החזקה של 20% בלבד בגוף קשור</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הבהרת סוגיית הבטוחה המספקת לצורך מתן אשראי</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הבהרת סוגית הדירוג</w:t>
      </w:r>
    </w:p>
    <w:p w:rsidR="006F2D57" w:rsidRDefault="006F2D57" w:rsidP="006F2D57">
      <w:pPr>
        <w:pStyle w:val="a3"/>
        <w:numPr>
          <w:ilvl w:val="2"/>
          <w:numId w:val="1"/>
        </w:numPr>
        <w:spacing w:line="360" w:lineRule="auto"/>
        <w:jc w:val="both"/>
        <w:rPr>
          <w:rFonts w:cs="FrankRuehl"/>
          <w:sz w:val="26"/>
          <w:szCs w:val="26"/>
        </w:rPr>
      </w:pPr>
      <w:r>
        <w:rPr>
          <w:rFonts w:cs="FrankRuehl" w:hint="cs"/>
          <w:sz w:val="26"/>
          <w:szCs w:val="26"/>
          <w:rtl/>
        </w:rPr>
        <w:t xml:space="preserve">מתן אפשרות לממן חברות מימון חוץ בנקאי באמצעות הנפקת אגרות חוב ע"י חברת הביטוח לעמיתים שלו.   </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 xml:space="preserve">בנוסף עלתה האפשרות לעידוד מתן אשראי לעמיתים כנגד החסכונות של אותם לווים. נאמר כי יש להבחין בין חסכונות פנסיוניים לחסכונות לטווח בינוני וכי יש לעודד מתן אשראי באופן זה יחד עם מגבלות מסוימות </w:t>
      </w:r>
      <w:proofErr w:type="spellStart"/>
      <w:r>
        <w:rPr>
          <w:rFonts w:cs="FrankRuehl" w:hint="cs"/>
          <w:sz w:val="26"/>
          <w:szCs w:val="26"/>
          <w:rtl/>
        </w:rPr>
        <w:t>הנועדו</w:t>
      </w:r>
      <w:proofErr w:type="spellEnd"/>
      <w:r>
        <w:rPr>
          <w:rFonts w:cs="FrankRuehl" w:hint="cs"/>
          <w:sz w:val="26"/>
          <w:szCs w:val="26"/>
          <w:rtl/>
        </w:rPr>
        <w:t xml:space="preserve"> להגן על החיסכון הפנסיוני של הפרט.</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נאמר כי נושאים אלו ייבחנו לעומק ע"י אגף שוק ההון.</w:t>
      </w:r>
    </w:p>
    <w:p w:rsidR="006F2D57" w:rsidRDefault="006F2D57" w:rsidP="006F2D57">
      <w:pPr>
        <w:pStyle w:val="a3"/>
        <w:numPr>
          <w:ilvl w:val="1"/>
          <w:numId w:val="1"/>
        </w:numPr>
        <w:spacing w:line="360" w:lineRule="auto"/>
        <w:jc w:val="both"/>
        <w:rPr>
          <w:rFonts w:cs="FrankRuehl"/>
          <w:sz w:val="26"/>
          <w:szCs w:val="26"/>
        </w:rPr>
      </w:pPr>
      <w:r>
        <w:rPr>
          <w:rFonts w:cs="FrankRuehl" w:hint="cs"/>
          <w:sz w:val="26"/>
          <w:szCs w:val="26"/>
          <w:rtl/>
        </w:rPr>
        <w:t>בשלב זה יו"ר הוועדה נעל את הדיון ואמר כי הסקירה של השחקנים הפוטנציאלים והצעדים הנדרשים ליצירת התחרות תימשך בדיונים הבאים.</w:t>
      </w:r>
    </w:p>
    <w:p w:rsidR="006F2D57" w:rsidRDefault="006F2D57" w:rsidP="006F2D57">
      <w:pPr>
        <w:pStyle w:val="a3"/>
        <w:spacing w:line="360" w:lineRule="auto"/>
        <w:jc w:val="both"/>
        <w:rPr>
          <w:rFonts w:cs="FrankRuehl"/>
          <w:sz w:val="26"/>
          <w:szCs w:val="26"/>
        </w:rPr>
      </w:pPr>
    </w:p>
    <w:p w:rsidR="006F2D57" w:rsidRDefault="006F2D57" w:rsidP="006F2D57">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p>
    <w:p w:rsidR="006F2D57" w:rsidRDefault="000013C9" w:rsidP="006F2D57">
      <w:pPr>
        <w:pStyle w:val="a3"/>
        <w:spacing w:line="360" w:lineRule="auto"/>
        <w:jc w:val="both"/>
        <w:rPr>
          <w:rFonts w:cs="FrankRuehl"/>
          <w:sz w:val="26"/>
          <w:szCs w:val="26"/>
        </w:rPr>
      </w:pPr>
      <w:r>
        <w:rPr>
          <w:rFonts w:cs="FrankRuehl" w:hint="cs"/>
          <w:sz w:val="26"/>
          <w:szCs w:val="26"/>
          <w:rtl/>
        </w:rPr>
        <w:t xml:space="preserve"> </w:t>
      </w:r>
    </w:p>
    <w:p w:rsidR="006F2D57" w:rsidRPr="002B3B23" w:rsidRDefault="006F2D57" w:rsidP="006F2D57">
      <w:pPr>
        <w:spacing w:line="360" w:lineRule="auto"/>
        <w:jc w:val="both"/>
        <w:rPr>
          <w:rFonts w:cs="FrankRuehl"/>
          <w:sz w:val="26"/>
          <w:szCs w:val="26"/>
          <w:rtl/>
        </w:rPr>
      </w:pPr>
    </w:p>
    <w:p w:rsidR="006F2D57" w:rsidRPr="002B3B23" w:rsidRDefault="006F2D57" w:rsidP="006F2D57">
      <w:pPr>
        <w:spacing w:line="360" w:lineRule="auto"/>
        <w:jc w:val="both"/>
        <w:rPr>
          <w:rFonts w:cs="FrankRuehl"/>
          <w:sz w:val="26"/>
          <w:szCs w:val="26"/>
          <w:rtl/>
        </w:rPr>
      </w:pPr>
    </w:p>
    <w:p w:rsidR="006F2D57" w:rsidRPr="006760F3" w:rsidRDefault="006F2D57" w:rsidP="006F2D57">
      <w:pPr>
        <w:spacing w:line="360" w:lineRule="auto"/>
        <w:ind w:left="1800"/>
        <w:jc w:val="both"/>
        <w:rPr>
          <w:rFonts w:cs="FrankRuehl"/>
          <w:sz w:val="26"/>
          <w:szCs w:val="26"/>
        </w:rPr>
      </w:pPr>
    </w:p>
    <w:p w:rsidR="006F2D57" w:rsidRPr="000946EE" w:rsidRDefault="006F2D57" w:rsidP="006F2D57">
      <w:pPr>
        <w:jc w:val="both"/>
      </w:pPr>
    </w:p>
    <w:p w:rsidR="00BC0D34" w:rsidRPr="006F2D57" w:rsidRDefault="00BC0D34"/>
    <w:sectPr w:rsidR="00BC0D34" w:rsidRPr="006F2D57"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72E1C"/>
    <w:multiLevelType w:val="hybridMultilevel"/>
    <w:tmpl w:val="2414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57"/>
    <w:rsid w:val="000013C9"/>
    <w:rsid w:val="005A3A54"/>
    <w:rsid w:val="006F2D57"/>
    <w:rsid w:val="00BC0D34"/>
    <w:rsid w:val="00CF319E"/>
    <w:rsid w:val="00FB78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10</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67AB4-54CB-4D7B-92CF-FC708D1A450D}"/>
</file>

<file path=customXml/itemProps2.xml><?xml version="1.0" encoding="utf-8"?>
<ds:datastoreItem xmlns:ds="http://schemas.openxmlformats.org/officeDocument/2006/customXml" ds:itemID="{696CB586-0E31-4D0F-80D5-56C8CBFD1E4B}"/>
</file>

<file path=customXml/itemProps3.xml><?xml version="1.0" encoding="utf-8"?>
<ds:datastoreItem xmlns:ds="http://schemas.openxmlformats.org/officeDocument/2006/customXml" ds:itemID="{9F03B360-7D90-4F3D-8C99-E14F76C43C92}"/>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2885</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23.08.2015</dc:title>
  <dc:creator>אבי כהן</dc:creator>
  <cp:lastModifiedBy>אבי כהן</cp:lastModifiedBy>
  <cp:revision>4</cp:revision>
  <dcterms:created xsi:type="dcterms:W3CDTF">2015-09-01T07:12:00Z</dcterms:created>
  <dcterms:modified xsi:type="dcterms:W3CDTF">2015-12-30T08:18:00Z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