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2E" w:rsidRPr="003F2328" w:rsidRDefault="00066A2E" w:rsidP="00066A2E">
      <w:pPr>
        <w:ind w:left="6153"/>
        <w:rPr>
          <w:rFonts w:cs="FrankRuehl"/>
          <w:rtl/>
        </w:rPr>
      </w:pPr>
      <w:r>
        <w:rPr>
          <w:rFonts w:cs="FrankRuehl" w:hint="cs"/>
          <w:rtl/>
        </w:rPr>
        <w:t>ד'</w:t>
      </w:r>
      <w:r>
        <w:rPr>
          <w:rFonts w:cs="FrankRuehl"/>
          <w:rtl/>
        </w:rPr>
        <w:t xml:space="preserve"> ב</w:t>
      </w:r>
      <w:r>
        <w:rPr>
          <w:rFonts w:cs="FrankRuehl" w:hint="cs"/>
          <w:rtl/>
        </w:rPr>
        <w:t>תמוז</w:t>
      </w:r>
      <w:r w:rsidRPr="003F2328">
        <w:rPr>
          <w:rFonts w:cs="FrankRuehl"/>
          <w:rtl/>
        </w:rPr>
        <w:t xml:space="preserve"> </w:t>
      </w:r>
      <w:proofErr w:type="spellStart"/>
      <w:r w:rsidRPr="003F2328">
        <w:rPr>
          <w:rFonts w:cs="FrankRuehl"/>
          <w:rtl/>
        </w:rPr>
        <w:t>התשע"ה</w:t>
      </w:r>
      <w:proofErr w:type="spellEnd"/>
      <w:r w:rsidRPr="003F2328">
        <w:rPr>
          <w:rFonts w:cs="FrankRuehl"/>
          <w:rtl/>
        </w:rPr>
        <w:br/>
      </w:r>
      <w:r>
        <w:rPr>
          <w:rFonts w:cs="FrankRuehl" w:hint="cs"/>
          <w:rtl/>
        </w:rPr>
        <w:t>21</w:t>
      </w:r>
      <w:r w:rsidRPr="003F2328">
        <w:rPr>
          <w:rFonts w:cs="FrankRuehl"/>
          <w:rtl/>
        </w:rPr>
        <w:t xml:space="preserve"> ביוני 2015</w:t>
      </w:r>
      <w:bookmarkStart w:id="0" w:name="DocNum"/>
      <w:bookmarkEnd w:id="0"/>
    </w:p>
    <w:p w:rsidR="00066A2E" w:rsidRPr="003F2328" w:rsidRDefault="00066A2E" w:rsidP="00066A2E">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066A2E" w:rsidRPr="003F2328" w:rsidRDefault="00066A2E" w:rsidP="00066A2E">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ד"ר נדין בודו-טרכטנברג, המשנה לנגידת בנק ישראל, בנק ישראל</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מר אבי </w:t>
      </w:r>
      <w:proofErr w:type="spellStart"/>
      <w:r w:rsidRPr="003F2328">
        <w:rPr>
          <w:rFonts w:cs="FrankRuehl" w:hint="cs"/>
          <w:sz w:val="26"/>
          <w:szCs w:val="26"/>
          <w:rtl/>
        </w:rPr>
        <w:t>ליכט</w:t>
      </w:r>
      <w:proofErr w:type="spellEnd"/>
      <w:r w:rsidRPr="003F2328">
        <w:rPr>
          <w:rFonts w:cs="FrankRuehl" w:hint="cs"/>
          <w:sz w:val="26"/>
          <w:szCs w:val="26"/>
          <w:rtl/>
        </w:rPr>
        <w:t>, המשנה ליועץ המשפטי לממשלה (כלכלי-פיסקאלי), משרד המשפטים</w:t>
      </w:r>
    </w:p>
    <w:p w:rsidR="00066A2E" w:rsidRDefault="00066A2E" w:rsidP="00066A2E">
      <w:pPr>
        <w:spacing w:line="240" w:lineRule="exact"/>
        <w:jc w:val="both"/>
        <w:rPr>
          <w:rFonts w:cs="FrankRuehl"/>
          <w:sz w:val="26"/>
          <w:szCs w:val="26"/>
          <w:rtl/>
        </w:rPr>
      </w:pPr>
      <w:r w:rsidRPr="003F2328">
        <w:rPr>
          <w:rFonts w:cs="FrankRuehl" w:hint="cs"/>
          <w:sz w:val="26"/>
          <w:szCs w:val="26"/>
          <w:rtl/>
        </w:rPr>
        <w:t>פרופ' נתן זוסמן, ראש חטיבת המחקר, בנק ישראל</w:t>
      </w:r>
    </w:p>
    <w:p w:rsidR="001F5B24" w:rsidRPr="003F2328" w:rsidRDefault="001F5B24" w:rsidP="00066A2E">
      <w:pPr>
        <w:spacing w:line="240" w:lineRule="exact"/>
        <w:jc w:val="both"/>
        <w:rPr>
          <w:rFonts w:cs="FrankRuehl"/>
          <w:sz w:val="26"/>
          <w:szCs w:val="26"/>
          <w:rtl/>
        </w:rPr>
      </w:pPr>
      <w:r>
        <w:rPr>
          <w:rFonts w:cs="FrankRuehl" w:hint="cs"/>
          <w:sz w:val="26"/>
          <w:szCs w:val="26"/>
          <w:rtl/>
        </w:rPr>
        <w:t>גב' יעל מבורך, סגנית הממונה על התקציבים</w:t>
      </w:r>
    </w:p>
    <w:p w:rsidR="00066A2E" w:rsidRPr="003F2328" w:rsidRDefault="00066A2E" w:rsidP="00066A2E">
      <w:pPr>
        <w:spacing w:line="240" w:lineRule="exact"/>
        <w:jc w:val="both"/>
        <w:rPr>
          <w:rFonts w:cs="FrankRuehl"/>
          <w:sz w:val="26"/>
          <w:szCs w:val="26"/>
          <w:u w:val="single"/>
          <w:rtl/>
        </w:rPr>
      </w:pPr>
      <w:r w:rsidRPr="003F2328">
        <w:rPr>
          <w:rFonts w:cs="FrankRuehl" w:hint="cs"/>
          <w:sz w:val="26"/>
          <w:szCs w:val="26"/>
          <w:u w:val="single"/>
          <w:rtl/>
        </w:rPr>
        <w:t>נציגים: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066A2E" w:rsidRDefault="00066A2E" w:rsidP="00066A2E">
      <w:pPr>
        <w:spacing w:line="240" w:lineRule="exact"/>
        <w:jc w:val="both"/>
        <w:rPr>
          <w:rFonts w:cs="FrankRuehl"/>
          <w:sz w:val="26"/>
          <w:szCs w:val="26"/>
          <w:rtl/>
        </w:rPr>
      </w:pPr>
      <w:r w:rsidRPr="003F2328">
        <w:rPr>
          <w:rFonts w:cs="FrankRuehl" w:hint="cs"/>
          <w:sz w:val="26"/>
          <w:szCs w:val="26"/>
          <w:rtl/>
        </w:rPr>
        <w:t xml:space="preserve">כפיר </w:t>
      </w:r>
      <w:proofErr w:type="spellStart"/>
      <w:r w:rsidRPr="003F2328">
        <w:rPr>
          <w:rFonts w:cs="FrankRuehl" w:hint="cs"/>
          <w:sz w:val="26"/>
          <w:szCs w:val="26"/>
          <w:rtl/>
        </w:rPr>
        <w:t>בטט</w:t>
      </w:r>
      <w:proofErr w:type="spellEnd"/>
      <w:r w:rsidRPr="003F2328">
        <w:rPr>
          <w:rFonts w:cs="FrankRuehl" w:hint="cs"/>
          <w:sz w:val="26"/>
          <w:szCs w:val="26"/>
          <w:rtl/>
        </w:rPr>
        <w:t>, משרד האוצר</w:t>
      </w:r>
    </w:p>
    <w:p w:rsidR="00066A2E" w:rsidRPr="003F2328" w:rsidRDefault="00066A2E" w:rsidP="00066A2E">
      <w:pPr>
        <w:spacing w:line="240" w:lineRule="exact"/>
        <w:jc w:val="both"/>
        <w:rPr>
          <w:rFonts w:cs="FrankRuehl"/>
          <w:sz w:val="26"/>
          <w:szCs w:val="26"/>
          <w:rtl/>
        </w:rPr>
      </w:pPr>
      <w:r>
        <w:rPr>
          <w:rFonts w:cs="FrankRuehl" w:hint="cs"/>
          <w:sz w:val="26"/>
          <w:szCs w:val="26"/>
          <w:rtl/>
        </w:rPr>
        <w:t xml:space="preserve">ברוך </w:t>
      </w:r>
      <w:proofErr w:type="spellStart"/>
      <w:r>
        <w:rPr>
          <w:rFonts w:cs="FrankRuehl" w:hint="cs"/>
          <w:sz w:val="26"/>
          <w:szCs w:val="26"/>
          <w:rtl/>
        </w:rPr>
        <w:t>לוברט</w:t>
      </w:r>
      <w:proofErr w:type="spellEnd"/>
      <w:r>
        <w:rPr>
          <w:rFonts w:cs="FrankRuehl" w:hint="cs"/>
          <w:sz w:val="26"/>
          <w:szCs w:val="26"/>
          <w:rtl/>
        </w:rPr>
        <w:t>, משרד האוצר</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רויטל קיסר, בנק ישראל</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מיקי </w:t>
      </w:r>
      <w:proofErr w:type="spellStart"/>
      <w:r w:rsidRPr="003F2328">
        <w:rPr>
          <w:rFonts w:cs="FrankRuehl" w:hint="cs"/>
          <w:sz w:val="26"/>
          <w:szCs w:val="26"/>
          <w:rtl/>
        </w:rPr>
        <w:t>קהן</w:t>
      </w:r>
      <w:proofErr w:type="spellEnd"/>
      <w:r w:rsidRPr="003F2328">
        <w:rPr>
          <w:rFonts w:cs="FrankRuehl" w:hint="cs"/>
          <w:sz w:val="26"/>
          <w:szCs w:val="26"/>
          <w:rtl/>
        </w:rPr>
        <w:t>, בנק ישראל</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דביר </w:t>
      </w:r>
      <w:proofErr w:type="spellStart"/>
      <w:r w:rsidRPr="003F2328">
        <w:rPr>
          <w:rFonts w:cs="FrankRuehl" w:hint="cs"/>
          <w:sz w:val="26"/>
          <w:szCs w:val="26"/>
          <w:rtl/>
        </w:rPr>
        <w:t>ז'ורנו</w:t>
      </w:r>
      <w:proofErr w:type="spellEnd"/>
      <w:r w:rsidRPr="003F2328">
        <w:rPr>
          <w:rFonts w:cs="FrankRuehl" w:hint="cs"/>
          <w:sz w:val="26"/>
          <w:szCs w:val="26"/>
          <w:rtl/>
        </w:rPr>
        <w:t>, בנק ישראל</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סטיב לב, בנק ישראל</w:t>
      </w:r>
    </w:p>
    <w:p w:rsidR="00066A2E" w:rsidRDefault="00066A2E" w:rsidP="00066A2E">
      <w:pPr>
        <w:spacing w:line="240" w:lineRule="exact"/>
        <w:jc w:val="both"/>
        <w:rPr>
          <w:rFonts w:cs="FrankRuehl"/>
          <w:sz w:val="26"/>
          <w:szCs w:val="26"/>
          <w:rtl/>
        </w:rPr>
      </w:pPr>
      <w:r w:rsidRPr="003F2328">
        <w:rPr>
          <w:rFonts w:cs="FrankRuehl" w:hint="cs"/>
          <w:sz w:val="26"/>
          <w:szCs w:val="26"/>
          <w:rtl/>
        </w:rPr>
        <w:t xml:space="preserve">הראל </w:t>
      </w:r>
      <w:proofErr w:type="spellStart"/>
      <w:r w:rsidRPr="003F2328">
        <w:rPr>
          <w:rFonts w:cs="FrankRuehl" w:hint="cs"/>
          <w:sz w:val="26"/>
          <w:szCs w:val="26"/>
          <w:rtl/>
        </w:rPr>
        <w:t>שליסל</w:t>
      </w:r>
      <w:proofErr w:type="spellEnd"/>
      <w:r w:rsidRPr="003F2328">
        <w:rPr>
          <w:rFonts w:cs="FrankRuehl" w:hint="cs"/>
          <w:sz w:val="26"/>
          <w:szCs w:val="26"/>
          <w:rtl/>
        </w:rPr>
        <w:t>, בנק ישראל</w:t>
      </w:r>
    </w:p>
    <w:p w:rsidR="00066A2E" w:rsidRPr="003F2328" w:rsidRDefault="00066A2E" w:rsidP="00066A2E">
      <w:pPr>
        <w:spacing w:line="240" w:lineRule="exact"/>
        <w:jc w:val="both"/>
        <w:rPr>
          <w:rFonts w:cs="FrankRuehl"/>
          <w:sz w:val="26"/>
          <w:szCs w:val="26"/>
          <w:rtl/>
        </w:rPr>
      </w:pPr>
      <w:r>
        <w:rPr>
          <w:rFonts w:cs="FrankRuehl" w:hint="cs"/>
          <w:sz w:val="26"/>
          <w:szCs w:val="26"/>
          <w:rtl/>
        </w:rPr>
        <w:t>יוני מירון</w:t>
      </w:r>
      <w:r w:rsidR="001F5B24">
        <w:rPr>
          <w:rFonts w:cs="FrankRuehl" w:hint="cs"/>
          <w:sz w:val="26"/>
          <w:szCs w:val="26"/>
          <w:rtl/>
        </w:rPr>
        <w:t>, בנק ישראל</w:t>
      </w:r>
    </w:p>
    <w:p w:rsidR="00066A2E" w:rsidRDefault="003144DF" w:rsidP="00066A2E">
      <w:pPr>
        <w:spacing w:line="240" w:lineRule="exact"/>
        <w:jc w:val="both"/>
        <w:rPr>
          <w:rFonts w:cs="FrankRuehl"/>
          <w:sz w:val="26"/>
          <w:szCs w:val="26"/>
          <w:rtl/>
        </w:rPr>
      </w:pPr>
      <w:r>
        <w:rPr>
          <w:rFonts w:cs="FrankRuehl" w:hint="cs"/>
          <w:sz w:val="26"/>
          <w:szCs w:val="26"/>
          <w:rtl/>
        </w:rPr>
        <w:t xml:space="preserve">ד"ר </w:t>
      </w:r>
      <w:r w:rsidR="00066A2E">
        <w:rPr>
          <w:rFonts w:cs="FrankRuehl" w:hint="cs"/>
          <w:sz w:val="26"/>
          <w:szCs w:val="26"/>
          <w:rtl/>
        </w:rPr>
        <w:t>אסף אילת, הרשות להגבלים עסקיים</w:t>
      </w:r>
    </w:p>
    <w:p w:rsidR="00066A2E" w:rsidRDefault="00066A2E" w:rsidP="00066A2E">
      <w:pPr>
        <w:spacing w:line="240" w:lineRule="exact"/>
        <w:jc w:val="both"/>
        <w:rPr>
          <w:rFonts w:cs="FrankRuehl"/>
          <w:sz w:val="26"/>
          <w:szCs w:val="26"/>
          <w:rtl/>
        </w:rPr>
      </w:pPr>
      <w:r>
        <w:rPr>
          <w:rFonts w:cs="FrankRuehl" w:hint="cs"/>
          <w:sz w:val="26"/>
          <w:szCs w:val="26"/>
          <w:rtl/>
        </w:rPr>
        <w:t>אורי שרף, הרשות להגבלים עסקיים</w:t>
      </w:r>
    </w:p>
    <w:p w:rsidR="00066A2E" w:rsidRDefault="00066A2E" w:rsidP="00066A2E">
      <w:pPr>
        <w:spacing w:line="240" w:lineRule="exact"/>
        <w:jc w:val="both"/>
        <w:rPr>
          <w:rFonts w:cs="FrankRuehl"/>
          <w:sz w:val="26"/>
          <w:szCs w:val="26"/>
          <w:rtl/>
        </w:rPr>
      </w:pPr>
      <w:r>
        <w:rPr>
          <w:rFonts w:cs="FrankRuehl" w:hint="cs"/>
          <w:sz w:val="26"/>
          <w:szCs w:val="26"/>
          <w:rtl/>
        </w:rPr>
        <w:t xml:space="preserve">עומר </w:t>
      </w:r>
      <w:proofErr w:type="spellStart"/>
      <w:r>
        <w:rPr>
          <w:rFonts w:cs="FrankRuehl" w:hint="cs"/>
          <w:sz w:val="26"/>
          <w:szCs w:val="26"/>
          <w:rtl/>
        </w:rPr>
        <w:t>ברנדר</w:t>
      </w:r>
      <w:proofErr w:type="spellEnd"/>
      <w:r>
        <w:rPr>
          <w:rFonts w:cs="FrankRuehl" w:hint="cs"/>
          <w:sz w:val="26"/>
          <w:szCs w:val="26"/>
          <w:rtl/>
        </w:rPr>
        <w:t>, הרשות להגבלים עסקיים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נעם </w:t>
      </w:r>
      <w:proofErr w:type="spellStart"/>
      <w:r w:rsidRPr="003F2328">
        <w:rPr>
          <w:rFonts w:cs="FrankRuehl" w:hint="cs"/>
          <w:sz w:val="26"/>
          <w:szCs w:val="26"/>
          <w:rtl/>
        </w:rPr>
        <w:t>פרלסון</w:t>
      </w:r>
      <w:proofErr w:type="spellEnd"/>
      <w:r w:rsidRPr="003F2328">
        <w:rPr>
          <w:rFonts w:cs="FrankRuehl" w:hint="cs"/>
          <w:sz w:val="26"/>
          <w:szCs w:val="26"/>
          <w:rtl/>
        </w:rPr>
        <w:t>, הרשות להגבלים עסקיים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אלעד </w:t>
      </w:r>
      <w:proofErr w:type="spellStart"/>
      <w:r w:rsidRPr="003F2328">
        <w:rPr>
          <w:rFonts w:cs="FrankRuehl" w:hint="cs"/>
          <w:sz w:val="26"/>
          <w:szCs w:val="26"/>
          <w:rtl/>
        </w:rPr>
        <w:t>מקדסי</w:t>
      </w:r>
      <w:proofErr w:type="spellEnd"/>
      <w:r w:rsidRPr="003F2328">
        <w:rPr>
          <w:rFonts w:cs="FrankRuehl" w:hint="cs"/>
          <w:sz w:val="26"/>
          <w:szCs w:val="26"/>
          <w:rtl/>
        </w:rPr>
        <w:t>, הרשות להגבלים עסקיים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רוני </w:t>
      </w:r>
      <w:proofErr w:type="spellStart"/>
      <w:r w:rsidRPr="003F2328">
        <w:rPr>
          <w:rFonts w:cs="FrankRuehl" w:hint="cs"/>
          <w:sz w:val="26"/>
          <w:szCs w:val="26"/>
          <w:rtl/>
        </w:rPr>
        <w:t>טלמור</w:t>
      </w:r>
      <w:proofErr w:type="spellEnd"/>
      <w:r w:rsidRPr="003F2328">
        <w:rPr>
          <w:rFonts w:cs="FrankRuehl" w:hint="cs"/>
          <w:sz w:val="26"/>
          <w:szCs w:val="26"/>
          <w:rtl/>
        </w:rPr>
        <w:t>, משרד המשפטים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רוני </w:t>
      </w:r>
      <w:proofErr w:type="spellStart"/>
      <w:r w:rsidRPr="003F2328">
        <w:rPr>
          <w:rFonts w:cs="FrankRuehl" w:hint="cs"/>
          <w:sz w:val="26"/>
          <w:szCs w:val="26"/>
          <w:rtl/>
        </w:rPr>
        <w:t>נויבאר</w:t>
      </w:r>
      <w:proofErr w:type="spellEnd"/>
      <w:r w:rsidRPr="003F2328">
        <w:rPr>
          <w:rFonts w:cs="FrankRuehl" w:hint="cs"/>
          <w:sz w:val="26"/>
          <w:szCs w:val="26"/>
          <w:rtl/>
        </w:rPr>
        <w:t>, משרד המשפטים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אלישבע גרשוני, משרד המשפטים</w:t>
      </w:r>
    </w:p>
    <w:p w:rsidR="00066A2E" w:rsidRPr="003F2328" w:rsidRDefault="00066A2E" w:rsidP="00066A2E">
      <w:pPr>
        <w:spacing w:line="240" w:lineRule="exact"/>
        <w:jc w:val="both"/>
        <w:rPr>
          <w:rFonts w:cs="FrankRuehl"/>
          <w:sz w:val="26"/>
          <w:szCs w:val="26"/>
          <w:rtl/>
        </w:rPr>
      </w:pPr>
      <w:r w:rsidRPr="003F2328">
        <w:rPr>
          <w:rFonts w:cs="FrankRuehl" w:hint="cs"/>
          <w:sz w:val="26"/>
          <w:szCs w:val="26"/>
          <w:rtl/>
        </w:rPr>
        <w:t xml:space="preserve">ליאור </w:t>
      </w:r>
      <w:proofErr w:type="spellStart"/>
      <w:r w:rsidRPr="003F2328">
        <w:rPr>
          <w:rFonts w:cs="FrankRuehl" w:hint="cs"/>
          <w:sz w:val="26"/>
          <w:szCs w:val="26"/>
          <w:rtl/>
        </w:rPr>
        <w:t>תבורי</w:t>
      </w:r>
      <w:proofErr w:type="spellEnd"/>
    </w:p>
    <w:p w:rsidR="00066A2E" w:rsidRDefault="00066A2E" w:rsidP="00066A2E">
      <w:pPr>
        <w:spacing w:line="240" w:lineRule="exact"/>
        <w:jc w:val="both"/>
        <w:rPr>
          <w:rFonts w:cs="FrankRuehl"/>
          <w:sz w:val="26"/>
          <w:szCs w:val="26"/>
          <w:rtl/>
        </w:rPr>
      </w:pPr>
      <w:r w:rsidRPr="003F2328">
        <w:rPr>
          <w:rFonts w:cs="FrankRuehl" w:hint="cs"/>
          <w:sz w:val="26"/>
          <w:szCs w:val="26"/>
          <w:rtl/>
        </w:rPr>
        <w:t xml:space="preserve">נתן </w:t>
      </w:r>
      <w:proofErr w:type="spellStart"/>
      <w:r w:rsidRPr="003F2328">
        <w:rPr>
          <w:rFonts w:cs="FrankRuehl" w:hint="cs"/>
          <w:sz w:val="26"/>
          <w:szCs w:val="26"/>
          <w:rtl/>
        </w:rPr>
        <w:t>המדינגר</w:t>
      </w:r>
      <w:proofErr w:type="spellEnd"/>
    </w:p>
    <w:p w:rsidR="00066A2E" w:rsidRDefault="00066A2E" w:rsidP="00066A2E">
      <w:pPr>
        <w:spacing w:line="240" w:lineRule="exact"/>
        <w:jc w:val="both"/>
        <w:rPr>
          <w:rFonts w:cs="FrankRuehl"/>
          <w:sz w:val="26"/>
          <w:szCs w:val="26"/>
          <w:rtl/>
        </w:rPr>
      </w:pPr>
    </w:p>
    <w:p w:rsidR="00066A2E" w:rsidRDefault="00066A2E" w:rsidP="00EC74E9">
      <w:pPr>
        <w:spacing w:line="240" w:lineRule="exact"/>
        <w:jc w:val="both"/>
        <w:rPr>
          <w:rFonts w:cs="FrankRuehl"/>
          <w:b/>
          <w:bCs/>
          <w:sz w:val="26"/>
          <w:szCs w:val="26"/>
          <w:u w:val="single"/>
          <w:rtl/>
        </w:rPr>
      </w:pPr>
      <w:r>
        <w:rPr>
          <w:rFonts w:cs="FrankRuehl" w:hint="cs"/>
          <w:b/>
          <w:bCs/>
          <w:sz w:val="26"/>
          <w:szCs w:val="26"/>
          <w:u w:val="single"/>
          <w:rtl/>
        </w:rPr>
        <w:lastRenderedPageBreak/>
        <w:t xml:space="preserve">סיכום דיון </w:t>
      </w:r>
      <w:bookmarkStart w:id="1" w:name="_GoBack"/>
      <w:bookmarkEnd w:id="1"/>
    </w:p>
    <w:p w:rsidR="00066A2E" w:rsidRDefault="00066A2E" w:rsidP="00066A2E">
      <w:pPr>
        <w:pStyle w:val="a3"/>
        <w:numPr>
          <w:ilvl w:val="0"/>
          <w:numId w:val="1"/>
        </w:numPr>
        <w:spacing w:line="360" w:lineRule="auto"/>
        <w:jc w:val="both"/>
        <w:rPr>
          <w:rFonts w:cs="FrankRuehl"/>
          <w:sz w:val="26"/>
          <w:szCs w:val="26"/>
        </w:rPr>
      </w:pPr>
      <w:r w:rsidRPr="003F2328">
        <w:rPr>
          <w:rFonts w:cs="FrankRuehl" w:hint="cs"/>
          <w:sz w:val="26"/>
          <w:szCs w:val="26"/>
          <w:rtl/>
        </w:rPr>
        <w:t>יו"ר הוועדה, דרור שטרום,</w:t>
      </w:r>
      <w:r>
        <w:rPr>
          <w:rFonts w:cs="FrankRuehl" w:hint="cs"/>
          <w:sz w:val="26"/>
          <w:szCs w:val="26"/>
          <w:rtl/>
        </w:rPr>
        <w:t xml:space="preserve"> פתח והציג את נושאי הדיון להיום, ההיבטים השונים בנוגע לכניסה של גופים מוסדיים לשוק האשראי הקמעונאי והצגה של המלצות ועדת זקן וסטאטוס יישומן.</w:t>
      </w:r>
    </w:p>
    <w:p w:rsidR="00066A2E" w:rsidRDefault="00066A2E" w:rsidP="00066A2E">
      <w:pPr>
        <w:pStyle w:val="a3"/>
        <w:numPr>
          <w:ilvl w:val="0"/>
          <w:numId w:val="1"/>
        </w:numPr>
        <w:spacing w:line="360" w:lineRule="auto"/>
        <w:jc w:val="both"/>
        <w:rPr>
          <w:rFonts w:cs="FrankRuehl"/>
          <w:sz w:val="26"/>
          <w:szCs w:val="26"/>
        </w:rPr>
      </w:pPr>
      <w:r>
        <w:rPr>
          <w:rFonts w:cs="FrankRuehl" w:hint="cs"/>
          <w:sz w:val="26"/>
          <w:szCs w:val="26"/>
          <w:rtl/>
        </w:rPr>
        <w:t>הוצגו שתי מצגות. להלן עיקרי המצגות והשלמות חברי הועדה:</w:t>
      </w:r>
    </w:p>
    <w:p w:rsidR="009649CD" w:rsidRDefault="00066A2E" w:rsidP="00066A2E">
      <w:pPr>
        <w:pStyle w:val="a3"/>
        <w:numPr>
          <w:ilvl w:val="1"/>
          <w:numId w:val="1"/>
        </w:numPr>
        <w:spacing w:line="360" w:lineRule="auto"/>
        <w:jc w:val="both"/>
        <w:rPr>
          <w:rFonts w:cs="FrankRuehl"/>
          <w:sz w:val="26"/>
          <w:szCs w:val="26"/>
        </w:rPr>
      </w:pPr>
      <w:r>
        <w:rPr>
          <w:rFonts w:cs="FrankRuehl" w:hint="cs"/>
          <w:sz w:val="26"/>
          <w:szCs w:val="26"/>
          <w:rtl/>
        </w:rPr>
        <w:t xml:space="preserve">תחילה, הוצגו ההיבטים השונים בנוגע לכניסה של גופים מוסדיים לשוק </w:t>
      </w:r>
      <w:r w:rsidR="009649CD">
        <w:rPr>
          <w:rFonts w:cs="FrankRuehl" w:hint="cs"/>
          <w:sz w:val="26"/>
          <w:szCs w:val="26"/>
          <w:rtl/>
        </w:rPr>
        <w:t>האשראי הקמעונאי.</w:t>
      </w:r>
    </w:p>
    <w:p w:rsidR="009649CD" w:rsidRDefault="009649CD" w:rsidP="009649CD">
      <w:pPr>
        <w:pStyle w:val="a3"/>
        <w:numPr>
          <w:ilvl w:val="1"/>
          <w:numId w:val="1"/>
        </w:numPr>
        <w:spacing w:line="360" w:lineRule="auto"/>
        <w:jc w:val="both"/>
        <w:rPr>
          <w:rFonts w:cs="FrankRuehl"/>
          <w:sz w:val="26"/>
          <w:szCs w:val="26"/>
        </w:rPr>
      </w:pPr>
      <w:r>
        <w:rPr>
          <w:rFonts w:cs="FrankRuehl" w:hint="cs"/>
          <w:sz w:val="26"/>
          <w:szCs w:val="26"/>
          <w:rtl/>
        </w:rPr>
        <w:t>הוצגו חסמי הכניסה היום לכניסת הגופים המוסדיים לשוק:</w:t>
      </w:r>
      <w:r w:rsidR="00066A2E">
        <w:rPr>
          <w:rFonts w:cs="FrankRuehl" w:hint="cs"/>
          <w:sz w:val="26"/>
          <w:szCs w:val="26"/>
          <w:rtl/>
        </w:rPr>
        <w:t xml:space="preserve"> </w:t>
      </w:r>
    </w:p>
    <w:p w:rsidR="009649CD" w:rsidRPr="001F5B24" w:rsidRDefault="009649CD" w:rsidP="001F5B24">
      <w:pPr>
        <w:pStyle w:val="a3"/>
        <w:numPr>
          <w:ilvl w:val="1"/>
          <w:numId w:val="2"/>
        </w:numPr>
        <w:spacing w:line="360" w:lineRule="auto"/>
        <w:jc w:val="both"/>
        <w:rPr>
          <w:rFonts w:cs="FrankRuehl"/>
          <w:sz w:val="26"/>
          <w:szCs w:val="26"/>
        </w:rPr>
      </w:pPr>
      <w:r w:rsidRPr="009649CD">
        <w:rPr>
          <w:rFonts w:cs="FrankRuehl" w:hint="cs"/>
          <w:sz w:val="26"/>
          <w:szCs w:val="26"/>
          <w:rtl/>
        </w:rPr>
        <w:t xml:space="preserve">מחסור בגורמים בעלי מומחיות בתחום </w:t>
      </w:r>
      <w:r w:rsidR="0001470D">
        <w:rPr>
          <w:rFonts w:cs="FrankRuehl" w:hint="cs"/>
          <w:sz w:val="26"/>
          <w:szCs w:val="26"/>
          <w:rtl/>
        </w:rPr>
        <w:t>-</w:t>
      </w:r>
      <w:r w:rsidR="0001470D" w:rsidRPr="009649CD">
        <w:rPr>
          <w:rFonts w:cs="FrankRuehl" w:hint="cs"/>
          <w:sz w:val="26"/>
          <w:szCs w:val="26"/>
          <w:rtl/>
        </w:rPr>
        <w:t xml:space="preserve"> </w:t>
      </w:r>
      <w:r w:rsidRPr="009649CD">
        <w:rPr>
          <w:rFonts w:cs="FrankRuehl" w:hint="cs"/>
          <w:sz w:val="26"/>
          <w:szCs w:val="26"/>
          <w:rtl/>
        </w:rPr>
        <w:t xml:space="preserve">הוסבר כי </w:t>
      </w:r>
      <w:r>
        <w:rPr>
          <w:rFonts w:cs="FrankRuehl" w:hint="cs"/>
          <w:sz w:val="26"/>
          <w:szCs w:val="26"/>
          <w:rtl/>
        </w:rPr>
        <w:t xml:space="preserve">לגופים המוסדיים אין  התמחות </w:t>
      </w:r>
      <w:r w:rsidR="0001470D">
        <w:rPr>
          <w:rFonts w:cs="FrankRuehl" w:hint="cs"/>
          <w:sz w:val="26"/>
          <w:szCs w:val="26"/>
          <w:rtl/>
        </w:rPr>
        <w:t xml:space="preserve">מספקת </w:t>
      </w:r>
      <w:r>
        <w:rPr>
          <w:rFonts w:cs="FrankRuehl" w:hint="cs"/>
          <w:sz w:val="26"/>
          <w:szCs w:val="26"/>
          <w:rtl/>
        </w:rPr>
        <w:t>בתחומים של חיתום, גבייה ושיווק של הלוואות קטנות למשקי בית פרטיים.</w:t>
      </w:r>
    </w:p>
    <w:p w:rsidR="0001470D" w:rsidRDefault="0001470D" w:rsidP="009649CD">
      <w:pPr>
        <w:pStyle w:val="a3"/>
        <w:numPr>
          <w:ilvl w:val="1"/>
          <w:numId w:val="2"/>
        </w:numPr>
        <w:spacing w:line="360" w:lineRule="auto"/>
        <w:jc w:val="both"/>
        <w:rPr>
          <w:rFonts w:cs="FrankRuehl"/>
          <w:sz w:val="26"/>
          <w:szCs w:val="26"/>
        </w:rPr>
      </w:pPr>
      <w:r>
        <w:rPr>
          <w:rFonts w:cs="FrankRuehl" w:hint="cs"/>
          <w:sz w:val="26"/>
          <w:szCs w:val="26"/>
          <w:rtl/>
        </w:rPr>
        <w:t>מחסור במידע על סיכון הלווים, כלומר מחסור בנתוני אשראי על הסקטור הקמעונאי.</w:t>
      </w:r>
    </w:p>
    <w:p w:rsidR="009649CD" w:rsidRPr="001F5B24" w:rsidRDefault="009649CD" w:rsidP="00E62CB0">
      <w:pPr>
        <w:pStyle w:val="a3"/>
        <w:numPr>
          <w:ilvl w:val="1"/>
          <w:numId w:val="2"/>
        </w:numPr>
        <w:spacing w:line="360" w:lineRule="auto"/>
        <w:jc w:val="both"/>
        <w:rPr>
          <w:rFonts w:cs="FrankRuehl"/>
          <w:sz w:val="26"/>
          <w:szCs w:val="26"/>
        </w:rPr>
      </w:pPr>
      <w:r>
        <w:rPr>
          <w:rFonts w:cs="FrankRuehl" w:hint="cs"/>
          <w:sz w:val="26"/>
          <w:szCs w:val="26"/>
          <w:rtl/>
        </w:rPr>
        <w:t xml:space="preserve">עלויות תפעול גבוהות </w:t>
      </w:r>
      <w:r w:rsidR="0001470D">
        <w:rPr>
          <w:rFonts w:cs="FrankRuehl" w:hint="cs"/>
          <w:sz w:val="26"/>
          <w:szCs w:val="26"/>
          <w:rtl/>
        </w:rPr>
        <w:t xml:space="preserve">- </w:t>
      </w:r>
      <w:r>
        <w:rPr>
          <w:rFonts w:cs="FrankRuehl" w:hint="cs"/>
          <w:sz w:val="26"/>
          <w:szCs w:val="26"/>
          <w:rtl/>
        </w:rPr>
        <w:t xml:space="preserve">הקמת מערכי תפעול למתן אשראי קמעונאי הינן יקרות. יתרה מכך, במידה ומתן האשראי נעשה באמצעות כספי העמיתים (שם הכסף הגדול) הרווחים מגולגלים לעמית ולא לחברה, הנושאת בעלות. אי לכך התמריץ של הגופים המוסדיים להקים מערך תפעול שכזה נראית כנמוכה. עם זאת, </w:t>
      </w:r>
      <w:r w:rsidR="00E62CB0">
        <w:rPr>
          <w:rFonts w:cs="FrankRuehl" w:hint="cs"/>
          <w:sz w:val="26"/>
          <w:szCs w:val="26"/>
          <w:rtl/>
        </w:rPr>
        <w:t xml:space="preserve">, הגופים המוסדיים כן מקימים מערכים המתמחים בתחומי השקעות אחרים בהם עיקר התשואה מגיעה לעמיתים, בעוד עלות הקמת המערך חלה על הגוף המוסדי עצמו. כך לדוגמא, </w:t>
      </w:r>
      <w:r>
        <w:rPr>
          <w:rFonts w:cs="FrankRuehl" w:hint="cs"/>
          <w:sz w:val="26"/>
          <w:szCs w:val="26"/>
          <w:rtl/>
        </w:rPr>
        <w:t>חברת הראל אשר פיתחה מחלקות המתמחות בהשקעת נדל"ן, על אף מבנה תמריצים דומה.</w:t>
      </w:r>
    </w:p>
    <w:p w:rsidR="00846C5F" w:rsidRDefault="00846C5F" w:rsidP="00E62CB0">
      <w:pPr>
        <w:pStyle w:val="a3"/>
        <w:numPr>
          <w:ilvl w:val="1"/>
          <w:numId w:val="3"/>
        </w:numPr>
        <w:spacing w:line="360" w:lineRule="auto"/>
        <w:jc w:val="both"/>
        <w:rPr>
          <w:rFonts w:cs="FrankRuehl"/>
          <w:sz w:val="26"/>
          <w:szCs w:val="26"/>
        </w:rPr>
      </w:pPr>
      <w:r>
        <w:rPr>
          <w:rFonts w:cs="FrankRuehl" w:hint="cs"/>
          <w:sz w:val="26"/>
          <w:szCs w:val="26"/>
          <w:rtl/>
        </w:rPr>
        <w:t>נשאלה השאלה מדוע לא מאפשרים לגופים המוסדיים להטיל חלק מעלויות הקמת מערך התפעול על העמיתים</w:t>
      </w:r>
      <w:r w:rsidR="0001470D">
        <w:rPr>
          <w:rFonts w:cs="FrankRuehl" w:hint="cs"/>
          <w:sz w:val="26"/>
          <w:szCs w:val="26"/>
          <w:rtl/>
        </w:rPr>
        <w:t xml:space="preserve">. צוין כי </w:t>
      </w:r>
      <w:r w:rsidR="001F5B24">
        <w:rPr>
          <w:rFonts w:cs="FrankRuehl" w:hint="cs"/>
          <w:sz w:val="26"/>
          <w:szCs w:val="26"/>
          <w:rtl/>
        </w:rPr>
        <w:t>כאשר</w:t>
      </w:r>
      <w:r w:rsidR="0001470D">
        <w:rPr>
          <w:rFonts w:cs="FrankRuehl" w:hint="cs"/>
          <w:sz w:val="26"/>
          <w:szCs w:val="26"/>
          <w:rtl/>
        </w:rPr>
        <w:t xml:space="preserve"> גוף שלישי מבצע את הפעילות אז </w:t>
      </w:r>
      <w:r w:rsidR="001F5B24">
        <w:rPr>
          <w:rFonts w:cs="FrankRuehl" w:hint="cs"/>
          <w:sz w:val="26"/>
          <w:szCs w:val="26"/>
          <w:rtl/>
        </w:rPr>
        <w:t>עלות הפעילות מגולמת בתשואה שמקבלים העמיתים</w:t>
      </w:r>
      <w:r w:rsidR="0001470D">
        <w:rPr>
          <w:rFonts w:cs="FrankRuehl" w:hint="cs"/>
          <w:sz w:val="26"/>
          <w:szCs w:val="26"/>
          <w:rtl/>
        </w:rPr>
        <w:t>.</w:t>
      </w:r>
      <w:r>
        <w:rPr>
          <w:rFonts w:cs="FrankRuehl" w:hint="cs"/>
          <w:sz w:val="26"/>
          <w:szCs w:val="26"/>
          <w:rtl/>
        </w:rPr>
        <w:t xml:space="preserve"> הודגש כי יש לכך השלכות </w:t>
      </w:r>
      <w:r w:rsidR="0001470D">
        <w:rPr>
          <w:rFonts w:cs="FrankRuehl" w:hint="cs"/>
          <w:sz w:val="26"/>
          <w:szCs w:val="26"/>
          <w:rtl/>
        </w:rPr>
        <w:t xml:space="preserve">מבחינת </w:t>
      </w:r>
      <w:r>
        <w:rPr>
          <w:rFonts w:cs="FrankRuehl" w:hint="cs"/>
          <w:sz w:val="26"/>
          <w:szCs w:val="26"/>
          <w:rtl/>
        </w:rPr>
        <w:t>סיכון מוסרי מצד הגופים המוסדיים.</w:t>
      </w:r>
    </w:p>
    <w:p w:rsidR="00846C5F" w:rsidRPr="0001470D" w:rsidRDefault="00846C5F" w:rsidP="0001470D">
      <w:pPr>
        <w:pStyle w:val="a3"/>
        <w:numPr>
          <w:ilvl w:val="1"/>
          <w:numId w:val="3"/>
        </w:numPr>
        <w:spacing w:line="360" w:lineRule="auto"/>
        <w:jc w:val="both"/>
        <w:rPr>
          <w:rFonts w:cs="FrankRuehl"/>
          <w:sz w:val="26"/>
          <w:szCs w:val="26"/>
        </w:rPr>
      </w:pPr>
      <w:r w:rsidRPr="0001470D">
        <w:rPr>
          <w:rFonts w:cs="FrankRuehl" w:hint="cs"/>
          <w:sz w:val="26"/>
          <w:szCs w:val="26"/>
          <w:rtl/>
        </w:rPr>
        <w:t xml:space="preserve">עם זאת, צוין </w:t>
      </w:r>
      <w:r w:rsidR="0001470D" w:rsidRPr="0001470D">
        <w:rPr>
          <w:rFonts w:cs="FrankRuehl" w:hint="cs"/>
          <w:sz w:val="26"/>
          <w:szCs w:val="26"/>
          <w:rtl/>
        </w:rPr>
        <w:t xml:space="preserve">כי לאחר הורדת חסמי הכניסה (כגון סוגית נתוני האשראי) </w:t>
      </w:r>
      <w:r w:rsidRPr="0001470D">
        <w:rPr>
          <w:rFonts w:cs="FrankRuehl" w:hint="cs"/>
          <w:sz w:val="26"/>
          <w:szCs w:val="26"/>
          <w:rtl/>
        </w:rPr>
        <w:t xml:space="preserve"> יש לשקול </w:t>
      </w:r>
      <w:r w:rsidR="0001470D">
        <w:rPr>
          <w:rFonts w:cs="FrankRuehl" w:hint="cs"/>
          <w:sz w:val="26"/>
          <w:szCs w:val="26"/>
          <w:rtl/>
        </w:rPr>
        <w:t xml:space="preserve">מחדש </w:t>
      </w:r>
      <w:r w:rsidRPr="0001470D">
        <w:rPr>
          <w:rFonts w:cs="FrankRuehl" w:hint="cs"/>
          <w:sz w:val="26"/>
          <w:szCs w:val="26"/>
          <w:rtl/>
        </w:rPr>
        <w:t>כיצד</w:t>
      </w:r>
      <w:r w:rsidR="001F5B24">
        <w:rPr>
          <w:rFonts w:cs="FrankRuehl" w:hint="cs"/>
          <w:sz w:val="26"/>
          <w:szCs w:val="26"/>
          <w:rtl/>
        </w:rPr>
        <w:t xml:space="preserve"> יתאפשר</w:t>
      </w:r>
      <w:r w:rsidRPr="0001470D">
        <w:rPr>
          <w:rFonts w:cs="FrankRuehl" w:hint="cs"/>
          <w:sz w:val="26"/>
          <w:szCs w:val="26"/>
          <w:rtl/>
        </w:rPr>
        <w:t xml:space="preserve"> </w:t>
      </w:r>
      <w:r w:rsidR="001F5B24">
        <w:rPr>
          <w:rFonts w:cs="FrankRuehl" w:hint="cs"/>
          <w:sz w:val="26"/>
          <w:szCs w:val="26"/>
          <w:rtl/>
        </w:rPr>
        <w:t>ל</w:t>
      </w:r>
      <w:r w:rsidRPr="0001470D">
        <w:rPr>
          <w:rFonts w:cs="FrankRuehl" w:hint="cs"/>
          <w:sz w:val="26"/>
          <w:szCs w:val="26"/>
          <w:rtl/>
        </w:rPr>
        <w:t xml:space="preserve">גופים המוסדיים </w:t>
      </w:r>
      <w:r w:rsidR="001F5B24">
        <w:rPr>
          <w:rFonts w:cs="FrankRuehl" w:hint="cs"/>
          <w:sz w:val="26"/>
          <w:szCs w:val="26"/>
          <w:rtl/>
        </w:rPr>
        <w:t>להקים</w:t>
      </w:r>
      <w:r w:rsidR="0001470D">
        <w:rPr>
          <w:rFonts w:cs="FrankRuehl" w:hint="cs"/>
          <w:sz w:val="26"/>
          <w:szCs w:val="26"/>
          <w:rtl/>
        </w:rPr>
        <w:t xml:space="preserve"> </w:t>
      </w:r>
      <w:r w:rsidRPr="0001470D">
        <w:rPr>
          <w:rFonts w:cs="FrankRuehl" w:hint="cs"/>
          <w:sz w:val="26"/>
          <w:szCs w:val="26"/>
          <w:rtl/>
        </w:rPr>
        <w:t>מער</w:t>
      </w:r>
      <w:r w:rsidR="0001470D">
        <w:rPr>
          <w:rFonts w:cs="FrankRuehl" w:hint="cs"/>
          <w:sz w:val="26"/>
          <w:szCs w:val="26"/>
          <w:rtl/>
        </w:rPr>
        <w:t>כי</w:t>
      </w:r>
      <w:r w:rsidRPr="0001470D">
        <w:rPr>
          <w:rFonts w:cs="FrankRuehl" w:hint="cs"/>
          <w:sz w:val="26"/>
          <w:szCs w:val="26"/>
          <w:rtl/>
        </w:rPr>
        <w:t xml:space="preserve"> תפעול ש</w:t>
      </w:r>
      <w:r w:rsidR="001F5B24">
        <w:rPr>
          <w:rFonts w:cs="FrankRuehl" w:hint="cs"/>
          <w:sz w:val="26"/>
          <w:szCs w:val="26"/>
          <w:rtl/>
        </w:rPr>
        <w:t>כ</w:t>
      </w:r>
      <w:r w:rsidR="0001470D">
        <w:rPr>
          <w:rFonts w:cs="FrankRuehl" w:hint="cs"/>
          <w:sz w:val="26"/>
          <w:szCs w:val="26"/>
          <w:rtl/>
        </w:rPr>
        <w:t>אלו</w:t>
      </w:r>
    </w:p>
    <w:p w:rsidR="00846C5F" w:rsidRPr="0001470D" w:rsidRDefault="008B0BAC" w:rsidP="0001470D">
      <w:pPr>
        <w:pStyle w:val="a3"/>
        <w:numPr>
          <w:ilvl w:val="1"/>
          <w:numId w:val="3"/>
        </w:numPr>
        <w:spacing w:line="360" w:lineRule="auto"/>
        <w:jc w:val="both"/>
        <w:rPr>
          <w:rFonts w:cs="FrankRuehl"/>
          <w:sz w:val="26"/>
          <w:szCs w:val="26"/>
        </w:rPr>
      </w:pPr>
      <w:r w:rsidRPr="0001470D">
        <w:rPr>
          <w:rFonts w:cs="FrankRuehl" w:hint="cs"/>
          <w:sz w:val="26"/>
          <w:szCs w:val="26"/>
          <w:rtl/>
        </w:rPr>
        <w:t>הוצג המצב הקיים מבחינת הלוואות גופים מוסדיים לאשראי הקמעונאי</w:t>
      </w:r>
      <w:r w:rsidR="00846C5F" w:rsidRPr="0001470D">
        <w:rPr>
          <w:rFonts w:cs="FrankRuehl" w:hint="cs"/>
          <w:sz w:val="26"/>
          <w:szCs w:val="26"/>
          <w:rtl/>
        </w:rPr>
        <w:t>. צוין כי ההיקפים הינם מצומצמים, במיוחד ביחס לכמות הנכסים של גופים אלו</w:t>
      </w:r>
      <w:r w:rsidR="0001470D" w:rsidRPr="0001470D">
        <w:rPr>
          <w:rFonts w:cs="FrankRuehl"/>
          <w:sz w:val="26"/>
          <w:szCs w:val="26"/>
          <w:rtl/>
        </w:rPr>
        <w:t xml:space="preserve">. </w:t>
      </w:r>
      <w:r w:rsidR="00846C5F" w:rsidRPr="0001470D">
        <w:rPr>
          <w:rFonts w:cs="FrankRuehl" w:hint="cs"/>
          <w:sz w:val="26"/>
          <w:szCs w:val="26"/>
          <w:rtl/>
        </w:rPr>
        <w:t xml:space="preserve">ההלוואות </w:t>
      </w:r>
      <w:r w:rsidR="00B62278" w:rsidRPr="0001470D">
        <w:rPr>
          <w:rFonts w:cs="FrankRuehl" w:hint="cs"/>
          <w:sz w:val="26"/>
          <w:szCs w:val="26"/>
          <w:rtl/>
        </w:rPr>
        <w:t>שכן ניתנות הינן</w:t>
      </w:r>
      <w:r w:rsidR="00B62278" w:rsidRPr="0001470D">
        <w:rPr>
          <w:rFonts w:cs="FrankRuehl"/>
          <w:sz w:val="26"/>
          <w:szCs w:val="26"/>
          <w:rtl/>
        </w:rPr>
        <w:t xml:space="preserve"> </w:t>
      </w:r>
      <w:r w:rsidR="00B62278" w:rsidRPr="0001470D">
        <w:rPr>
          <w:rFonts w:cs="FrankRuehl" w:hint="cs"/>
          <w:sz w:val="26"/>
          <w:szCs w:val="26"/>
          <w:rtl/>
        </w:rPr>
        <w:t>הלוואות</w:t>
      </w:r>
      <w:r w:rsidR="00B62278" w:rsidRPr="0001470D">
        <w:rPr>
          <w:rFonts w:cs="FrankRuehl"/>
          <w:sz w:val="26"/>
          <w:szCs w:val="26"/>
          <w:rtl/>
        </w:rPr>
        <w:t xml:space="preserve"> </w:t>
      </w:r>
      <w:r w:rsidR="00B62278" w:rsidRPr="0001470D">
        <w:rPr>
          <w:rFonts w:cs="FrankRuehl" w:hint="cs"/>
          <w:sz w:val="26"/>
          <w:szCs w:val="26"/>
          <w:rtl/>
        </w:rPr>
        <w:t>לעמיתים</w:t>
      </w:r>
      <w:r w:rsidR="00B62278" w:rsidRPr="0001470D">
        <w:rPr>
          <w:rFonts w:cs="FrankRuehl"/>
          <w:sz w:val="26"/>
          <w:szCs w:val="26"/>
          <w:rtl/>
        </w:rPr>
        <w:t xml:space="preserve"> </w:t>
      </w:r>
      <w:r w:rsidR="00B62278" w:rsidRPr="0001470D">
        <w:rPr>
          <w:rFonts w:cs="FrankRuehl" w:hint="cs"/>
          <w:sz w:val="26"/>
          <w:szCs w:val="26"/>
          <w:rtl/>
        </w:rPr>
        <w:t>כנגד</w:t>
      </w:r>
      <w:r w:rsidR="00B62278" w:rsidRPr="0001470D">
        <w:rPr>
          <w:rFonts w:cs="FrankRuehl"/>
          <w:sz w:val="26"/>
          <w:szCs w:val="26"/>
          <w:rtl/>
        </w:rPr>
        <w:t xml:space="preserve"> </w:t>
      </w:r>
      <w:r w:rsidR="00B62278" w:rsidRPr="0001470D">
        <w:rPr>
          <w:rFonts w:cs="FrankRuehl" w:hint="cs"/>
          <w:sz w:val="26"/>
          <w:szCs w:val="26"/>
          <w:rtl/>
        </w:rPr>
        <w:t>נכסים</w:t>
      </w:r>
      <w:r w:rsidR="00B62278" w:rsidRPr="0001470D">
        <w:rPr>
          <w:rFonts w:cs="FrankRuehl"/>
          <w:sz w:val="26"/>
          <w:szCs w:val="26"/>
          <w:rtl/>
        </w:rPr>
        <w:t xml:space="preserve"> </w:t>
      </w:r>
      <w:r w:rsidR="00B62278" w:rsidRPr="0001470D">
        <w:rPr>
          <w:rFonts w:cs="FrankRuehl" w:hint="cs"/>
          <w:sz w:val="26"/>
          <w:szCs w:val="26"/>
          <w:rtl/>
        </w:rPr>
        <w:t>מנוהלים</w:t>
      </w:r>
      <w:r w:rsidR="00B62278" w:rsidRPr="0001470D">
        <w:rPr>
          <w:rFonts w:cs="FrankRuehl"/>
          <w:sz w:val="26"/>
          <w:szCs w:val="26"/>
          <w:rtl/>
        </w:rPr>
        <w:t xml:space="preserve"> </w:t>
      </w:r>
      <w:r w:rsidR="00B62278" w:rsidRPr="0001470D">
        <w:rPr>
          <w:rFonts w:cs="FrankRuehl" w:hint="cs"/>
          <w:sz w:val="26"/>
          <w:szCs w:val="26"/>
          <w:rtl/>
        </w:rPr>
        <w:t>באותו</w:t>
      </w:r>
      <w:r w:rsidR="00B62278" w:rsidRPr="0001470D">
        <w:rPr>
          <w:rFonts w:cs="FrankRuehl"/>
          <w:sz w:val="26"/>
          <w:szCs w:val="26"/>
          <w:rtl/>
        </w:rPr>
        <w:t xml:space="preserve"> </w:t>
      </w:r>
      <w:r w:rsidR="00B62278" w:rsidRPr="0001470D">
        <w:rPr>
          <w:rFonts w:cs="FrankRuehl" w:hint="cs"/>
          <w:sz w:val="26"/>
          <w:szCs w:val="26"/>
          <w:rtl/>
        </w:rPr>
        <w:t>הגוף</w:t>
      </w:r>
      <w:r w:rsidR="00846C5F" w:rsidRPr="0001470D">
        <w:rPr>
          <w:rFonts w:cs="FrankRuehl"/>
          <w:sz w:val="26"/>
          <w:szCs w:val="26"/>
          <w:rtl/>
        </w:rPr>
        <w:t xml:space="preserve"> </w:t>
      </w:r>
      <w:r w:rsidR="00B62278" w:rsidRPr="0001470D">
        <w:rPr>
          <w:rFonts w:cs="FrankRuehl"/>
          <w:sz w:val="26"/>
          <w:szCs w:val="26"/>
          <w:rtl/>
        </w:rPr>
        <w:t>(</w:t>
      </w:r>
      <w:r w:rsidR="00B62278" w:rsidRPr="0001470D">
        <w:rPr>
          <w:rFonts w:cs="FrankRuehl" w:hint="cs"/>
          <w:sz w:val="26"/>
          <w:szCs w:val="26"/>
          <w:rtl/>
        </w:rPr>
        <w:t>בעיקר</w:t>
      </w:r>
      <w:r w:rsidR="00B62278" w:rsidRPr="0001470D">
        <w:rPr>
          <w:rFonts w:cs="FrankRuehl"/>
          <w:sz w:val="26"/>
          <w:szCs w:val="26"/>
          <w:rtl/>
        </w:rPr>
        <w:t xml:space="preserve"> </w:t>
      </w:r>
      <w:r w:rsidR="00B62278" w:rsidRPr="0001470D">
        <w:rPr>
          <w:rFonts w:cs="FrankRuehl" w:hint="cs"/>
          <w:sz w:val="26"/>
          <w:szCs w:val="26"/>
          <w:rtl/>
        </w:rPr>
        <w:t>למטרות</w:t>
      </w:r>
      <w:r w:rsidR="00B62278" w:rsidRPr="0001470D">
        <w:rPr>
          <w:rFonts w:cs="FrankRuehl"/>
          <w:sz w:val="26"/>
          <w:szCs w:val="26"/>
          <w:rtl/>
        </w:rPr>
        <w:t xml:space="preserve"> </w:t>
      </w:r>
      <w:r w:rsidR="00B62278" w:rsidRPr="0001470D">
        <w:rPr>
          <w:rFonts w:cs="FrankRuehl" w:hint="cs"/>
          <w:sz w:val="26"/>
          <w:szCs w:val="26"/>
          <w:rtl/>
        </w:rPr>
        <w:t>שימור</w:t>
      </w:r>
      <w:r w:rsidR="00B62278" w:rsidRPr="0001470D">
        <w:rPr>
          <w:rFonts w:cs="FrankRuehl"/>
          <w:sz w:val="26"/>
          <w:szCs w:val="26"/>
          <w:rtl/>
        </w:rPr>
        <w:t>)</w:t>
      </w:r>
      <w:r w:rsidR="00846C5F" w:rsidRPr="0001470D">
        <w:rPr>
          <w:rFonts w:cs="FrankRuehl"/>
          <w:sz w:val="26"/>
          <w:szCs w:val="26"/>
          <w:rtl/>
        </w:rPr>
        <w:t xml:space="preserve"> </w:t>
      </w:r>
      <w:r w:rsidR="00846C5F" w:rsidRPr="0001470D">
        <w:rPr>
          <w:rFonts w:cs="FrankRuehl" w:hint="cs"/>
          <w:sz w:val="26"/>
          <w:szCs w:val="26"/>
          <w:rtl/>
        </w:rPr>
        <w:t>לסוכנים</w:t>
      </w:r>
      <w:r w:rsidR="00846C5F" w:rsidRPr="0001470D">
        <w:rPr>
          <w:rFonts w:cs="FrankRuehl"/>
          <w:sz w:val="26"/>
          <w:szCs w:val="26"/>
          <w:rtl/>
        </w:rPr>
        <w:t xml:space="preserve"> </w:t>
      </w:r>
      <w:r w:rsidR="00846C5F" w:rsidRPr="0001470D">
        <w:rPr>
          <w:rFonts w:cs="FrankRuehl" w:hint="cs"/>
          <w:sz w:val="26"/>
          <w:szCs w:val="26"/>
          <w:rtl/>
        </w:rPr>
        <w:t>שעובדים</w:t>
      </w:r>
      <w:r w:rsidR="00846C5F" w:rsidRPr="0001470D">
        <w:rPr>
          <w:rFonts w:cs="FrankRuehl"/>
          <w:sz w:val="26"/>
          <w:szCs w:val="26"/>
          <w:rtl/>
        </w:rPr>
        <w:t xml:space="preserve"> </w:t>
      </w:r>
      <w:r w:rsidR="00846C5F" w:rsidRPr="0001470D">
        <w:rPr>
          <w:rFonts w:cs="FrankRuehl" w:hint="cs"/>
          <w:sz w:val="26"/>
          <w:szCs w:val="26"/>
          <w:rtl/>
        </w:rPr>
        <w:t>עם</w:t>
      </w:r>
      <w:r w:rsidR="00846C5F" w:rsidRPr="0001470D">
        <w:rPr>
          <w:rFonts w:cs="FrankRuehl"/>
          <w:sz w:val="26"/>
          <w:szCs w:val="26"/>
          <w:rtl/>
        </w:rPr>
        <w:t xml:space="preserve"> </w:t>
      </w:r>
      <w:r w:rsidR="00846C5F" w:rsidRPr="0001470D">
        <w:rPr>
          <w:rFonts w:cs="FrankRuehl" w:hint="cs"/>
          <w:sz w:val="26"/>
          <w:szCs w:val="26"/>
          <w:rtl/>
        </w:rPr>
        <w:t>הגוף</w:t>
      </w:r>
      <w:r w:rsidR="00846C5F" w:rsidRPr="0001470D">
        <w:rPr>
          <w:rFonts w:cs="FrankRuehl"/>
          <w:sz w:val="26"/>
          <w:szCs w:val="26"/>
          <w:rtl/>
        </w:rPr>
        <w:t xml:space="preserve"> </w:t>
      </w:r>
      <w:r w:rsidR="00846C5F" w:rsidRPr="0001470D">
        <w:rPr>
          <w:rFonts w:cs="FrankRuehl" w:hint="cs"/>
          <w:sz w:val="26"/>
          <w:szCs w:val="26"/>
          <w:rtl/>
        </w:rPr>
        <w:t>המוסדי</w:t>
      </w:r>
      <w:r w:rsidR="00846C5F" w:rsidRPr="0001470D">
        <w:rPr>
          <w:rFonts w:cs="FrankRuehl"/>
          <w:sz w:val="26"/>
          <w:szCs w:val="26"/>
          <w:rtl/>
        </w:rPr>
        <w:t xml:space="preserve"> </w:t>
      </w:r>
      <w:r w:rsidR="00B62278" w:rsidRPr="0001470D">
        <w:rPr>
          <w:rFonts w:cs="FrankRuehl"/>
          <w:sz w:val="26"/>
          <w:szCs w:val="26"/>
          <w:rtl/>
        </w:rPr>
        <w:t>(</w:t>
      </w:r>
      <w:r w:rsidR="00846C5F" w:rsidRPr="0001470D">
        <w:rPr>
          <w:rFonts w:cs="FrankRuehl" w:hint="cs"/>
          <w:sz w:val="26"/>
          <w:szCs w:val="26"/>
          <w:rtl/>
        </w:rPr>
        <w:t>בעיקר</w:t>
      </w:r>
      <w:r w:rsidR="00846C5F" w:rsidRPr="0001470D">
        <w:rPr>
          <w:rFonts w:cs="FrankRuehl"/>
          <w:sz w:val="26"/>
          <w:szCs w:val="26"/>
          <w:rtl/>
        </w:rPr>
        <w:t xml:space="preserve"> </w:t>
      </w:r>
      <w:r w:rsidR="00846C5F" w:rsidRPr="0001470D">
        <w:rPr>
          <w:rFonts w:cs="FrankRuehl" w:hint="cs"/>
          <w:sz w:val="26"/>
          <w:szCs w:val="26"/>
          <w:rtl/>
        </w:rPr>
        <w:t>כמקדמות</w:t>
      </w:r>
      <w:r w:rsidR="00B62278" w:rsidRPr="0001470D">
        <w:rPr>
          <w:rFonts w:cs="FrankRuehl"/>
          <w:sz w:val="26"/>
          <w:szCs w:val="26"/>
          <w:rtl/>
        </w:rPr>
        <w:t>)</w:t>
      </w:r>
      <w:r w:rsidR="00846C5F" w:rsidRPr="0001470D">
        <w:rPr>
          <w:rFonts w:cs="FrankRuehl"/>
          <w:sz w:val="26"/>
          <w:szCs w:val="26"/>
          <w:rtl/>
        </w:rPr>
        <w:t xml:space="preserve"> </w:t>
      </w:r>
      <w:r w:rsidR="00846C5F" w:rsidRPr="0001470D">
        <w:rPr>
          <w:rFonts w:cs="FrankRuehl" w:hint="cs"/>
          <w:sz w:val="26"/>
          <w:szCs w:val="26"/>
          <w:rtl/>
        </w:rPr>
        <w:t>ולמשכנתאות</w:t>
      </w:r>
      <w:r w:rsidR="00846C5F" w:rsidRPr="0001470D">
        <w:rPr>
          <w:rFonts w:cs="FrankRuehl"/>
          <w:sz w:val="26"/>
          <w:szCs w:val="26"/>
          <w:rtl/>
        </w:rPr>
        <w:t xml:space="preserve"> (</w:t>
      </w:r>
      <w:r w:rsidR="00846C5F" w:rsidRPr="0001470D">
        <w:rPr>
          <w:rFonts w:cs="FrankRuehl" w:hint="cs"/>
          <w:sz w:val="26"/>
          <w:szCs w:val="26"/>
          <w:rtl/>
        </w:rPr>
        <w:t>ניסיון</w:t>
      </w:r>
      <w:r w:rsidR="00846C5F" w:rsidRPr="0001470D">
        <w:rPr>
          <w:rFonts w:cs="FrankRuehl"/>
          <w:sz w:val="26"/>
          <w:szCs w:val="26"/>
          <w:rtl/>
        </w:rPr>
        <w:t xml:space="preserve"> </w:t>
      </w:r>
      <w:r w:rsidR="00846C5F" w:rsidRPr="0001470D">
        <w:rPr>
          <w:rFonts w:cs="FrankRuehl" w:hint="cs"/>
          <w:sz w:val="26"/>
          <w:szCs w:val="26"/>
          <w:rtl/>
        </w:rPr>
        <w:t>שכשל</w:t>
      </w:r>
      <w:r w:rsidR="00846C5F" w:rsidRPr="0001470D">
        <w:rPr>
          <w:rFonts w:cs="FrankRuehl"/>
          <w:sz w:val="26"/>
          <w:szCs w:val="26"/>
          <w:rtl/>
        </w:rPr>
        <w:t>)</w:t>
      </w:r>
      <w:r w:rsidR="0001470D">
        <w:rPr>
          <w:rFonts w:cs="FrankRuehl" w:hint="cs"/>
          <w:sz w:val="26"/>
          <w:szCs w:val="26"/>
          <w:rtl/>
        </w:rPr>
        <w:t>.</w:t>
      </w:r>
    </w:p>
    <w:p w:rsidR="00B62278" w:rsidRDefault="00B62278" w:rsidP="009649CD">
      <w:pPr>
        <w:pStyle w:val="a3"/>
        <w:numPr>
          <w:ilvl w:val="1"/>
          <w:numId w:val="3"/>
        </w:numPr>
        <w:spacing w:line="360" w:lineRule="auto"/>
        <w:jc w:val="both"/>
        <w:rPr>
          <w:rFonts w:cs="FrankRuehl"/>
          <w:sz w:val="26"/>
          <w:szCs w:val="26"/>
        </w:rPr>
      </w:pPr>
      <w:r>
        <w:rPr>
          <w:rFonts w:cs="FrankRuehl" w:hint="cs"/>
          <w:sz w:val="26"/>
          <w:szCs w:val="26"/>
          <w:rtl/>
        </w:rPr>
        <w:t>הוצג כיצד יש לראות את התפתחות פעילות הגופים המוסדיים בשוק האשראי הקמעונאי:</w:t>
      </w:r>
    </w:p>
    <w:p w:rsidR="00B62278" w:rsidRDefault="00B62278" w:rsidP="0001470D">
      <w:pPr>
        <w:pStyle w:val="a3"/>
        <w:numPr>
          <w:ilvl w:val="1"/>
          <w:numId w:val="4"/>
        </w:numPr>
        <w:spacing w:line="360" w:lineRule="auto"/>
        <w:jc w:val="both"/>
        <w:rPr>
          <w:rFonts w:cs="FrankRuehl"/>
          <w:sz w:val="26"/>
          <w:szCs w:val="26"/>
        </w:rPr>
      </w:pPr>
      <w:r>
        <w:rPr>
          <w:rFonts w:cs="FrankRuehl" w:hint="cs"/>
          <w:sz w:val="26"/>
          <w:szCs w:val="26"/>
          <w:rtl/>
        </w:rPr>
        <w:t xml:space="preserve">בשלב ראשון התפתחות הדרגתית </w:t>
      </w:r>
      <w:r w:rsidR="0001470D">
        <w:rPr>
          <w:rFonts w:cs="FrankRuehl" w:hint="cs"/>
          <w:sz w:val="26"/>
          <w:szCs w:val="26"/>
          <w:rtl/>
        </w:rPr>
        <w:t>ועקיפה דרך נותני אשראי</w:t>
      </w:r>
      <w:r>
        <w:rPr>
          <w:rFonts w:cs="FrankRuehl" w:hint="cs"/>
          <w:sz w:val="26"/>
          <w:szCs w:val="26"/>
          <w:rtl/>
        </w:rPr>
        <w:t xml:space="preserve"> </w:t>
      </w:r>
      <w:r>
        <w:rPr>
          <w:rFonts w:cs="FrankRuehl"/>
          <w:sz w:val="26"/>
          <w:szCs w:val="26"/>
          <w:rtl/>
        </w:rPr>
        <w:t>–</w:t>
      </w:r>
      <w:r>
        <w:rPr>
          <w:rFonts w:cs="FrankRuehl" w:hint="cs"/>
          <w:sz w:val="26"/>
          <w:szCs w:val="26"/>
          <w:rtl/>
        </w:rPr>
        <w:t xml:space="preserve"> כניסה מדורגת באמצעות השקעה/מימון </w:t>
      </w:r>
      <w:r w:rsidR="0001470D">
        <w:rPr>
          <w:rFonts w:cs="FrankRuehl" w:hint="cs"/>
          <w:sz w:val="26"/>
          <w:szCs w:val="26"/>
          <w:rtl/>
        </w:rPr>
        <w:t>ב</w:t>
      </w:r>
      <w:r>
        <w:rPr>
          <w:rFonts w:cs="FrankRuehl" w:hint="cs"/>
          <w:sz w:val="26"/>
          <w:szCs w:val="26"/>
          <w:rtl/>
        </w:rPr>
        <w:t>גופים חוץ בנקאיים נותני אשראי</w:t>
      </w:r>
      <w:r w:rsidR="003144DF">
        <w:rPr>
          <w:rFonts w:cs="FrankRuehl" w:hint="cs"/>
          <w:sz w:val="26"/>
          <w:szCs w:val="26"/>
          <w:rtl/>
        </w:rPr>
        <w:t>, חברות כרטיסי אשראי</w:t>
      </w:r>
      <w:r>
        <w:rPr>
          <w:rFonts w:cs="FrankRuehl" w:hint="cs"/>
          <w:sz w:val="26"/>
          <w:szCs w:val="26"/>
          <w:rtl/>
        </w:rPr>
        <w:t xml:space="preserve"> </w:t>
      </w:r>
      <w:r>
        <w:rPr>
          <w:rFonts w:cs="FrankRuehl" w:hint="cs"/>
          <w:sz w:val="26"/>
          <w:szCs w:val="26"/>
          <w:rtl/>
        </w:rPr>
        <w:lastRenderedPageBreak/>
        <w:t xml:space="preserve">ומיזמי </w:t>
      </w:r>
      <w:r>
        <w:rPr>
          <w:rFonts w:cs="FrankRuehl"/>
          <w:sz w:val="26"/>
          <w:szCs w:val="26"/>
        </w:rPr>
        <w:t>P</w:t>
      </w:r>
      <w:r>
        <w:rPr>
          <w:rFonts w:cs="FrankRuehl" w:hint="cs"/>
          <w:sz w:val="26"/>
          <w:szCs w:val="26"/>
          <w:rtl/>
        </w:rPr>
        <w:t>2</w:t>
      </w:r>
      <w:r>
        <w:rPr>
          <w:rFonts w:cs="FrankRuehl"/>
          <w:sz w:val="26"/>
          <w:szCs w:val="26"/>
        </w:rPr>
        <w:t>P</w:t>
      </w:r>
      <w:r w:rsidR="000830C7">
        <w:rPr>
          <w:rFonts w:cs="FrankRuehl" w:hint="cs"/>
          <w:sz w:val="26"/>
          <w:szCs w:val="26"/>
          <w:rtl/>
        </w:rPr>
        <w:t>, מימון משותף עם מומחים אחרים בתחום האשראי הקמעונאי ורכישת איגוח של הלוואות קמעונאיות.</w:t>
      </w:r>
    </w:p>
    <w:p w:rsidR="00B62278" w:rsidRDefault="000830C7" w:rsidP="00B62278">
      <w:pPr>
        <w:pStyle w:val="a3"/>
        <w:numPr>
          <w:ilvl w:val="1"/>
          <w:numId w:val="4"/>
        </w:numPr>
        <w:spacing w:line="360" w:lineRule="auto"/>
        <w:jc w:val="both"/>
        <w:rPr>
          <w:rFonts w:cs="FrankRuehl"/>
          <w:sz w:val="26"/>
          <w:szCs w:val="26"/>
        </w:rPr>
      </w:pPr>
      <w:r>
        <w:rPr>
          <w:rFonts w:cs="FrankRuehl" w:hint="cs"/>
          <w:sz w:val="26"/>
          <w:szCs w:val="26"/>
          <w:rtl/>
        </w:rPr>
        <w:t>בשלב השני, ולאחר שיתפ</w:t>
      </w:r>
      <w:r w:rsidR="001F5B24">
        <w:rPr>
          <w:rFonts w:cs="FrankRuehl" w:hint="cs"/>
          <w:sz w:val="26"/>
          <w:szCs w:val="26"/>
          <w:rtl/>
        </w:rPr>
        <w:t>ת</w:t>
      </w:r>
      <w:r>
        <w:rPr>
          <w:rFonts w:cs="FrankRuehl" w:hint="cs"/>
          <w:sz w:val="26"/>
          <w:szCs w:val="26"/>
          <w:rtl/>
        </w:rPr>
        <w:t>ח מערך נתוני אשראי, תיתכן האפשרות להגברת הפעילות של הגופים המוסדיים במתן אשראי באופן ישיר.</w:t>
      </w:r>
    </w:p>
    <w:p w:rsidR="00EC7CDE" w:rsidRDefault="0001470D" w:rsidP="0001470D">
      <w:pPr>
        <w:pStyle w:val="a3"/>
        <w:numPr>
          <w:ilvl w:val="1"/>
          <w:numId w:val="4"/>
        </w:numPr>
        <w:spacing w:line="360" w:lineRule="auto"/>
        <w:jc w:val="both"/>
        <w:rPr>
          <w:rFonts w:cs="FrankRuehl"/>
          <w:sz w:val="26"/>
          <w:szCs w:val="26"/>
        </w:rPr>
      </w:pPr>
      <w:r>
        <w:rPr>
          <w:rFonts w:cs="FrankRuehl" w:hint="cs"/>
          <w:sz w:val="26"/>
          <w:szCs w:val="26"/>
          <w:rtl/>
        </w:rPr>
        <w:t xml:space="preserve">צוין כי </w:t>
      </w:r>
      <w:r w:rsidR="00EC7CDE">
        <w:rPr>
          <w:rFonts w:cs="FrankRuehl" w:hint="cs"/>
          <w:sz w:val="26"/>
          <w:szCs w:val="26"/>
          <w:rtl/>
        </w:rPr>
        <w:t xml:space="preserve">חברות נותנות אשראי חוץ בנקאיות אינן צריכות </w:t>
      </w:r>
      <w:r>
        <w:rPr>
          <w:rFonts w:cs="FrankRuehl" w:hint="cs"/>
          <w:sz w:val="26"/>
          <w:szCs w:val="26"/>
          <w:rtl/>
        </w:rPr>
        <w:t xml:space="preserve">רישיון. וכי רישיון או </w:t>
      </w:r>
      <w:r w:rsidR="00EC7CDE">
        <w:rPr>
          <w:rFonts w:cs="FrankRuehl" w:hint="cs"/>
          <w:sz w:val="26"/>
          <w:szCs w:val="26"/>
          <w:rtl/>
        </w:rPr>
        <w:t xml:space="preserve">רגולציה </w:t>
      </w:r>
      <w:r>
        <w:rPr>
          <w:rFonts w:cs="FrankRuehl" w:hint="cs"/>
          <w:sz w:val="26"/>
          <w:szCs w:val="26"/>
          <w:rtl/>
        </w:rPr>
        <w:t>לא נדרשת ע"מ שגופים מוסדיים יתנו אשראי לגופים אלו.</w:t>
      </w:r>
    </w:p>
    <w:p w:rsidR="004D289A" w:rsidRDefault="004D289A" w:rsidP="004D289A">
      <w:pPr>
        <w:pStyle w:val="a3"/>
        <w:numPr>
          <w:ilvl w:val="1"/>
          <w:numId w:val="5"/>
        </w:numPr>
        <w:spacing w:line="360" w:lineRule="auto"/>
        <w:jc w:val="both"/>
        <w:rPr>
          <w:rFonts w:cs="FrankRuehl"/>
          <w:sz w:val="26"/>
          <w:szCs w:val="26"/>
        </w:rPr>
      </w:pPr>
      <w:r>
        <w:rPr>
          <w:rFonts w:cs="FrankRuehl" w:hint="cs"/>
          <w:sz w:val="26"/>
          <w:szCs w:val="26"/>
          <w:rtl/>
        </w:rPr>
        <w:t>הוצגה דוגמא לאופן בו הגופים המוסדיים פועלים בשוק האשראי הקמעונאי, באמצעות קרן להלוואת בערבות מדינה בשיעור גבוה (65%-80%). יצוין כי גם בקרן זו, תפעול מתן ההלוואות נעשה ע"י הבנק</w:t>
      </w:r>
      <w:r w:rsidR="0059737D">
        <w:rPr>
          <w:rFonts w:cs="FrankRuehl" w:hint="cs"/>
          <w:sz w:val="26"/>
          <w:szCs w:val="26"/>
          <w:rtl/>
        </w:rPr>
        <w:t>.</w:t>
      </w:r>
    </w:p>
    <w:p w:rsidR="004D289A" w:rsidRDefault="004D289A" w:rsidP="004D289A">
      <w:pPr>
        <w:pStyle w:val="a3"/>
        <w:numPr>
          <w:ilvl w:val="1"/>
          <w:numId w:val="5"/>
        </w:numPr>
        <w:spacing w:line="360" w:lineRule="auto"/>
        <w:jc w:val="both"/>
        <w:rPr>
          <w:rFonts w:cs="FrankRuehl"/>
          <w:sz w:val="26"/>
          <w:szCs w:val="26"/>
        </w:rPr>
      </w:pPr>
      <w:r>
        <w:rPr>
          <w:rFonts w:cs="FrankRuehl" w:hint="cs"/>
          <w:sz w:val="26"/>
          <w:szCs w:val="26"/>
          <w:rtl/>
        </w:rPr>
        <w:t>לסיום, הוצגו חסמים רגולטורים שאותרו וצוין כי ישנם צוותים אשר עובדים כיום על מתן פתרון לחסמים אלו:</w:t>
      </w:r>
    </w:p>
    <w:p w:rsidR="004D289A" w:rsidRDefault="004D289A" w:rsidP="0059737D">
      <w:pPr>
        <w:pStyle w:val="a3"/>
        <w:numPr>
          <w:ilvl w:val="1"/>
          <w:numId w:val="6"/>
        </w:numPr>
        <w:spacing w:line="360" w:lineRule="auto"/>
        <w:jc w:val="both"/>
        <w:rPr>
          <w:rFonts w:cs="FrankRuehl"/>
          <w:sz w:val="26"/>
          <w:szCs w:val="26"/>
        </w:rPr>
      </w:pPr>
      <w:r>
        <w:rPr>
          <w:rFonts w:cs="FrankRuehl" w:hint="cs"/>
          <w:sz w:val="26"/>
          <w:szCs w:val="26"/>
          <w:rtl/>
        </w:rPr>
        <w:t xml:space="preserve">הגדרת הבטוחה המספקת בהלוואות לפרטיים </w:t>
      </w:r>
      <w:r w:rsidR="0059737D">
        <w:rPr>
          <w:rFonts w:cs="FrankRuehl" w:hint="cs"/>
          <w:sz w:val="26"/>
          <w:szCs w:val="26"/>
          <w:rtl/>
        </w:rPr>
        <w:t xml:space="preserve">- </w:t>
      </w:r>
      <w:r>
        <w:rPr>
          <w:rFonts w:cs="FrankRuehl" w:hint="cs"/>
          <w:sz w:val="26"/>
          <w:szCs w:val="26"/>
          <w:rtl/>
        </w:rPr>
        <w:t>כיום, כל הלוואה בלתי מדורגת חייבת ב"בטוחה מספקת", הגדרה עמומה שאינה מפרטת מהי בדיוק אותה בטוחה. צוין כי יישקל להסיר התניה זו בהלוואה למשקי בית.</w:t>
      </w:r>
    </w:p>
    <w:p w:rsidR="004D289A" w:rsidRDefault="004D289A" w:rsidP="004D289A">
      <w:pPr>
        <w:pStyle w:val="a3"/>
        <w:numPr>
          <w:ilvl w:val="1"/>
          <w:numId w:val="6"/>
        </w:numPr>
        <w:spacing w:line="360" w:lineRule="auto"/>
        <w:jc w:val="both"/>
        <w:rPr>
          <w:rFonts w:cs="FrankRuehl"/>
          <w:sz w:val="26"/>
          <w:szCs w:val="26"/>
        </w:rPr>
      </w:pPr>
      <w:r>
        <w:rPr>
          <w:rFonts w:cs="FrankRuehl" w:hint="cs"/>
          <w:sz w:val="26"/>
          <w:szCs w:val="26"/>
          <w:rtl/>
        </w:rPr>
        <w:t>הצורך בדירוג הלוואה פרטית</w:t>
      </w:r>
      <w:r w:rsidR="0059737D">
        <w:rPr>
          <w:rFonts w:cs="FrankRuehl" w:hint="cs"/>
          <w:sz w:val="26"/>
          <w:szCs w:val="26"/>
          <w:rtl/>
        </w:rPr>
        <w:t xml:space="preserve"> </w:t>
      </w:r>
      <w:r w:rsidR="0059737D">
        <w:rPr>
          <w:rFonts w:cs="FrankRuehl"/>
          <w:sz w:val="26"/>
          <w:szCs w:val="26"/>
          <w:rtl/>
        </w:rPr>
        <w:t>–</w:t>
      </w:r>
      <w:r w:rsidR="0059737D">
        <w:rPr>
          <w:rFonts w:cs="FrankRuehl" w:hint="cs"/>
          <w:sz w:val="26"/>
          <w:szCs w:val="26"/>
          <w:rtl/>
        </w:rPr>
        <w:t xml:space="preserve"> צוין כי אין היגיון לדרוש דירוג לכל הלוואה בשוק הקמעוני (הלוואות המאופיינות בסכומים קטנים).</w:t>
      </w:r>
      <w:r>
        <w:rPr>
          <w:rFonts w:cs="FrankRuehl" w:hint="cs"/>
          <w:sz w:val="26"/>
          <w:szCs w:val="26"/>
          <w:rtl/>
        </w:rPr>
        <w:t xml:space="preserve"> </w:t>
      </w:r>
    </w:p>
    <w:p w:rsidR="00330D40" w:rsidRDefault="004D289A" w:rsidP="004D289A">
      <w:pPr>
        <w:pStyle w:val="a3"/>
        <w:numPr>
          <w:ilvl w:val="1"/>
          <w:numId w:val="6"/>
        </w:numPr>
        <w:spacing w:line="360" w:lineRule="auto"/>
        <w:jc w:val="both"/>
        <w:rPr>
          <w:rFonts w:cs="FrankRuehl"/>
          <w:sz w:val="26"/>
          <w:szCs w:val="26"/>
        </w:rPr>
      </w:pPr>
      <w:r>
        <w:rPr>
          <w:rFonts w:cs="FrankRuehl" w:hint="cs"/>
          <w:sz w:val="26"/>
          <w:szCs w:val="26"/>
          <w:rtl/>
        </w:rPr>
        <w:t>פתרון בעיית השערוך</w:t>
      </w:r>
      <w:r w:rsidR="0054436E">
        <w:rPr>
          <w:rFonts w:cs="FrankRuehl" w:hint="cs"/>
          <w:sz w:val="26"/>
          <w:szCs w:val="26"/>
          <w:rtl/>
        </w:rPr>
        <w:t xml:space="preserve"> </w:t>
      </w:r>
      <w:r w:rsidR="0054436E">
        <w:rPr>
          <w:rFonts w:cs="FrankRuehl"/>
          <w:sz w:val="26"/>
          <w:szCs w:val="26"/>
          <w:rtl/>
        </w:rPr>
        <w:t>–</w:t>
      </w:r>
      <w:r w:rsidR="0054436E">
        <w:rPr>
          <w:rFonts w:cs="FrankRuehl" w:hint="cs"/>
          <w:sz w:val="26"/>
          <w:szCs w:val="26"/>
          <w:rtl/>
        </w:rPr>
        <w:t xml:space="preserve"> כיום הגופים המוסדיים מחויבים בשערוך מתמשך של תיק הנכסים שלהם. כאשר השערוך נעשה לנכסים סחירים אין כלל בעיה, השערוך נקבע על פי שוק ההון, וכאשר השערוך נעשה להלוואות גדולות הדבר פשוט יותר ליישום. שערוך לתיק המורכב מהרבה הלוואות קטנות לסקטור הקמעונאי הינו מסובך וקשה יותר ליישום ועשוי להוות חסם למתן אשראי לסקטור הקמעונאי בפני הגופים המוסדיים</w:t>
      </w:r>
      <w:r w:rsidR="00244FFC">
        <w:rPr>
          <w:rFonts w:cs="FrankRuehl" w:hint="cs"/>
          <w:sz w:val="26"/>
          <w:szCs w:val="26"/>
          <w:rtl/>
        </w:rPr>
        <w:t>.</w:t>
      </w:r>
      <w:r w:rsidR="0059737D">
        <w:rPr>
          <w:rFonts w:cs="FrankRuehl" w:hint="cs"/>
          <w:sz w:val="26"/>
          <w:szCs w:val="26"/>
          <w:rtl/>
        </w:rPr>
        <w:t xml:space="preserve"> </w:t>
      </w:r>
    </w:p>
    <w:p w:rsidR="00330D40" w:rsidRDefault="00330D40" w:rsidP="00330D40">
      <w:pPr>
        <w:pStyle w:val="a3"/>
        <w:numPr>
          <w:ilvl w:val="1"/>
          <w:numId w:val="7"/>
        </w:numPr>
        <w:spacing w:line="360" w:lineRule="auto"/>
        <w:jc w:val="both"/>
        <w:rPr>
          <w:rFonts w:cs="FrankRuehl"/>
          <w:sz w:val="26"/>
          <w:szCs w:val="26"/>
        </w:rPr>
      </w:pPr>
      <w:r>
        <w:rPr>
          <w:rFonts w:cs="FrankRuehl" w:hint="cs"/>
          <w:sz w:val="26"/>
          <w:szCs w:val="26"/>
          <w:rtl/>
        </w:rPr>
        <w:t>לאחר ההצגה</w:t>
      </w:r>
      <w:r w:rsidR="0054436E">
        <w:rPr>
          <w:rFonts w:cs="FrankRuehl" w:hint="cs"/>
          <w:sz w:val="26"/>
          <w:szCs w:val="26"/>
          <w:rtl/>
        </w:rPr>
        <w:t xml:space="preserve"> </w:t>
      </w:r>
      <w:r>
        <w:rPr>
          <w:rFonts w:cs="FrankRuehl" w:hint="cs"/>
          <w:sz w:val="26"/>
          <w:szCs w:val="26"/>
          <w:rtl/>
        </w:rPr>
        <w:t>של ההיבטים השונים הנוגעים לכניסת גופים מוסדיים לשוק האשראי הקמעונאי הוצג</w:t>
      </w:r>
      <w:r w:rsidR="00B15070">
        <w:rPr>
          <w:rFonts w:cs="FrankRuehl" w:hint="cs"/>
          <w:sz w:val="26"/>
          <w:szCs w:val="26"/>
          <w:rtl/>
        </w:rPr>
        <w:t>ו המלצות הצוות לבחינת הגברת התחרותיות בענף הבנקאות</w:t>
      </w:r>
      <w:r>
        <w:rPr>
          <w:rFonts w:cs="FrankRuehl" w:hint="cs"/>
          <w:sz w:val="26"/>
          <w:szCs w:val="26"/>
          <w:rtl/>
        </w:rPr>
        <w:t xml:space="preserve"> וסטאטוס היישום שלהן.</w:t>
      </w:r>
    </w:p>
    <w:p w:rsidR="00B15070" w:rsidRDefault="00330D40" w:rsidP="00330D40">
      <w:pPr>
        <w:pStyle w:val="a3"/>
        <w:numPr>
          <w:ilvl w:val="1"/>
          <w:numId w:val="7"/>
        </w:numPr>
        <w:spacing w:line="360" w:lineRule="auto"/>
        <w:jc w:val="both"/>
        <w:rPr>
          <w:rFonts w:cs="FrankRuehl"/>
          <w:sz w:val="26"/>
          <w:szCs w:val="26"/>
        </w:rPr>
      </w:pPr>
      <w:r>
        <w:rPr>
          <w:rFonts w:cs="FrankRuehl" w:hint="cs"/>
          <w:sz w:val="26"/>
          <w:szCs w:val="26"/>
          <w:rtl/>
        </w:rPr>
        <w:t xml:space="preserve">הוצגו מטרות </w:t>
      </w:r>
      <w:r w:rsidR="00B15070">
        <w:rPr>
          <w:rFonts w:cs="FrankRuehl" w:hint="cs"/>
          <w:sz w:val="26"/>
          <w:szCs w:val="26"/>
          <w:rtl/>
        </w:rPr>
        <w:t>הצוות: העצמת כוחם של הלקוחות אל מול הבנקים, פישוט המוצר ושיפור ושכלול תחום שירות נתוני האשראי.</w:t>
      </w:r>
    </w:p>
    <w:p w:rsidR="00EC7CDE" w:rsidRDefault="00B15070" w:rsidP="00330D40">
      <w:pPr>
        <w:pStyle w:val="a3"/>
        <w:numPr>
          <w:ilvl w:val="1"/>
          <w:numId w:val="7"/>
        </w:numPr>
        <w:spacing w:line="360" w:lineRule="auto"/>
        <w:jc w:val="both"/>
        <w:rPr>
          <w:rFonts w:cs="FrankRuehl"/>
          <w:sz w:val="26"/>
          <w:szCs w:val="26"/>
        </w:rPr>
      </w:pPr>
      <w:r>
        <w:rPr>
          <w:rFonts w:cs="FrankRuehl" w:hint="cs"/>
          <w:sz w:val="26"/>
          <w:szCs w:val="26"/>
          <w:rtl/>
        </w:rPr>
        <w:t>הוצגו המלצות הצוות וסטאטוס ההתקדמות שלהן בשלושה מישורי פעילות להגברת התחרות: הגדלת מספר השחקנים בתוך המערכת ומחוצה לה, הגברת התחרות בין השחקנים הקיימים וצעדים משלימים</w:t>
      </w:r>
      <w:r w:rsidR="00EC7CDE">
        <w:rPr>
          <w:rFonts w:cs="FrankRuehl" w:hint="cs"/>
          <w:sz w:val="26"/>
          <w:szCs w:val="26"/>
          <w:rtl/>
        </w:rPr>
        <w:t>.</w:t>
      </w:r>
    </w:p>
    <w:p w:rsidR="007431A0" w:rsidRDefault="007431A0" w:rsidP="00330D40">
      <w:pPr>
        <w:pStyle w:val="a3"/>
        <w:numPr>
          <w:ilvl w:val="1"/>
          <w:numId w:val="7"/>
        </w:numPr>
        <w:spacing w:line="360" w:lineRule="auto"/>
        <w:jc w:val="both"/>
        <w:rPr>
          <w:rFonts w:cs="FrankRuehl"/>
          <w:sz w:val="26"/>
          <w:szCs w:val="26"/>
        </w:rPr>
      </w:pPr>
      <w:r>
        <w:rPr>
          <w:rFonts w:cs="FrankRuehl" w:hint="cs"/>
          <w:sz w:val="26"/>
          <w:szCs w:val="26"/>
          <w:rtl/>
        </w:rPr>
        <w:t>נאמר כי מבחינת שינויים מבניים אין צפי לשינויים משמעותיים בתחום זה. קרי, אין צפי לכניסה של בנק חדש, בנק אינטרנטי ואף אגודות אשראי בעת הזו.</w:t>
      </w:r>
    </w:p>
    <w:p w:rsidR="008354CA" w:rsidRDefault="008354CA" w:rsidP="008354CA">
      <w:pPr>
        <w:pStyle w:val="a3"/>
        <w:numPr>
          <w:ilvl w:val="0"/>
          <w:numId w:val="7"/>
        </w:numPr>
        <w:spacing w:line="360" w:lineRule="auto"/>
        <w:jc w:val="both"/>
        <w:rPr>
          <w:rFonts w:cs="FrankRuehl"/>
          <w:sz w:val="26"/>
          <w:szCs w:val="26"/>
        </w:rPr>
      </w:pPr>
      <w:r>
        <w:rPr>
          <w:rFonts w:cs="FrankRuehl" w:hint="cs"/>
          <w:sz w:val="26"/>
          <w:szCs w:val="26"/>
          <w:rtl/>
        </w:rPr>
        <w:t>יו"ר הוועדה, דרור שטרום, הודה למשתתפים ונעל את הישיבה.</w:t>
      </w:r>
      <w:r w:rsidR="007307D6">
        <w:rPr>
          <w:rFonts w:cs="FrankRuehl" w:hint="cs"/>
          <w:sz w:val="26"/>
          <w:szCs w:val="26"/>
          <w:rtl/>
        </w:rPr>
        <w:t xml:space="preserve"> </w:t>
      </w:r>
    </w:p>
    <w:p w:rsidR="008354CA" w:rsidRPr="008354CA" w:rsidRDefault="008354CA" w:rsidP="008354CA">
      <w:pPr>
        <w:spacing w:line="360" w:lineRule="auto"/>
        <w:ind w:left="360"/>
        <w:jc w:val="both"/>
        <w:rPr>
          <w:rFonts w:cs="FrankRuehl"/>
          <w:sz w:val="26"/>
          <w:szCs w:val="26"/>
        </w:rPr>
      </w:pPr>
    </w:p>
    <w:p w:rsidR="00B15070" w:rsidRPr="00B15070" w:rsidRDefault="00B15070" w:rsidP="00B15070">
      <w:pPr>
        <w:spacing w:line="360" w:lineRule="auto"/>
        <w:jc w:val="both"/>
        <w:rPr>
          <w:rFonts w:cs="FrankRuehl"/>
          <w:sz w:val="26"/>
          <w:szCs w:val="26"/>
        </w:rPr>
      </w:pPr>
    </w:p>
    <w:p w:rsidR="00066A2E" w:rsidRPr="000830C7" w:rsidRDefault="00066A2E" w:rsidP="00066A2E">
      <w:pPr>
        <w:spacing w:line="240" w:lineRule="exact"/>
        <w:jc w:val="both"/>
        <w:rPr>
          <w:rFonts w:cs="FrankRuehl"/>
          <w:sz w:val="26"/>
          <w:szCs w:val="26"/>
          <w:rtl/>
        </w:rPr>
      </w:pPr>
    </w:p>
    <w:p w:rsidR="007F4A5B" w:rsidRDefault="00EC74E9">
      <w:pPr>
        <w:rPr>
          <w:rtl/>
        </w:rPr>
      </w:pPr>
    </w:p>
    <w:p w:rsidR="00066A2E" w:rsidRDefault="00066A2E"/>
    <w:sectPr w:rsidR="00066A2E"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942"/>
    <w:multiLevelType w:val="hybridMultilevel"/>
    <w:tmpl w:val="1E7A9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B3C8B"/>
    <w:multiLevelType w:val="hybridMultilevel"/>
    <w:tmpl w:val="DF10E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8799B"/>
    <w:multiLevelType w:val="hybridMultilevel"/>
    <w:tmpl w:val="0C1CF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40DA3"/>
    <w:multiLevelType w:val="hybridMultilevel"/>
    <w:tmpl w:val="C6CC1674"/>
    <w:lvl w:ilvl="0" w:tplc="04090001">
      <w:start w:val="1"/>
      <w:numFmt w:val="bullet"/>
      <w:lvlText w:val=""/>
      <w:lvlJc w:val="left"/>
      <w:pPr>
        <w:ind w:left="720" w:hanging="360"/>
      </w:pPr>
      <w:rPr>
        <w:rFonts w:ascii="Symbol" w:hAnsi="Symbol" w:hint="default"/>
      </w:rPr>
    </w:lvl>
    <w:lvl w:ilvl="1" w:tplc="DBE6B794">
      <w:numFmt w:val="bullet"/>
      <w:lvlText w:val="-"/>
      <w:lvlJc w:val="left"/>
      <w:pPr>
        <w:ind w:left="1440" w:hanging="360"/>
      </w:pPr>
      <w:rPr>
        <w:rFonts w:asciiTheme="minorHAnsi" w:eastAsiaTheme="minorHAnsi" w:hAnsiTheme="minorHAnsi" w:cs="FrankRuehl"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1E215A"/>
    <w:multiLevelType w:val="hybridMultilevel"/>
    <w:tmpl w:val="567C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EB312A"/>
    <w:multiLevelType w:val="hybridMultilevel"/>
    <w:tmpl w:val="84CC1DBA"/>
    <w:lvl w:ilvl="0" w:tplc="04090001">
      <w:start w:val="1"/>
      <w:numFmt w:val="bullet"/>
      <w:lvlText w:val=""/>
      <w:lvlJc w:val="left"/>
      <w:pPr>
        <w:ind w:left="720" w:hanging="360"/>
      </w:pPr>
      <w:rPr>
        <w:rFonts w:ascii="Symbol" w:hAnsi="Symbol" w:hint="default"/>
      </w:rPr>
    </w:lvl>
    <w:lvl w:ilvl="1" w:tplc="DBE6B794">
      <w:numFmt w:val="bullet"/>
      <w:lvlText w:val="-"/>
      <w:lvlJc w:val="left"/>
      <w:pPr>
        <w:ind w:left="1440" w:hanging="360"/>
      </w:pPr>
      <w:rPr>
        <w:rFonts w:asciiTheme="minorHAnsi" w:eastAsiaTheme="minorHAnsi" w:hAnsiTheme="minorHAnsi" w:cs="FrankRuehl"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14733"/>
    <w:multiLevelType w:val="hybridMultilevel"/>
    <w:tmpl w:val="441663E8"/>
    <w:lvl w:ilvl="0" w:tplc="04090001">
      <w:start w:val="1"/>
      <w:numFmt w:val="bullet"/>
      <w:lvlText w:val=""/>
      <w:lvlJc w:val="left"/>
      <w:pPr>
        <w:ind w:left="720" w:hanging="360"/>
      </w:pPr>
      <w:rPr>
        <w:rFonts w:ascii="Symbol" w:hAnsi="Symbol" w:hint="default"/>
      </w:rPr>
    </w:lvl>
    <w:lvl w:ilvl="1" w:tplc="DBE6B794">
      <w:numFmt w:val="bullet"/>
      <w:lvlText w:val="-"/>
      <w:lvlJc w:val="left"/>
      <w:pPr>
        <w:ind w:left="1440" w:hanging="360"/>
      </w:pPr>
      <w:rPr>
        <w:rFonts w:asciiTheme="minorHAnsi" w:eastAsiaTheme="minorHAnsi" w:hAnsiTheme="minorHAnsi" w:cs="FrankRuehl"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2E"/>
    <w:rsid w:val="0001470D"/>
    <w:rsid w:val="00066A2E"/>
    <w:rsid w:val="000830C7"/>
    <w:rsid w:val="001F5B24"/>
    <w:rsid w:val="00244FFC"/>
    <w:rsid w:val="002B440D"/>
    <w:rsid w:val="003144DF"/>
    <w:rsid w:val="00330D40"/>
    <w:rsid w:val="004D289A"/>
    <w:rsid w:val="0054436E"/>
    <w:rsid w:val="0059737D"/>
    <w:rsid w:val="005A7B94"/>
    <w:rsid w:val="007307D6"/>
    <w:rsid w:val="007431A0"/>
    <w:rsid w:val="008354CA"/>
    <w:rsid w:val="00846C5F"/>
    <w:rsid w:val="008B0BAC"/>
    <w:rsid w:val="00905581"/>
    <w:rsid w:val="009649CD"/>
    <w:rsid w:val="00B15070"/>
    <w:rsid w:val="00B62278"/>
    <w:rsid w:val="00CE2E05"/>
    <w:rsid w:val="00E62CB0"/>
    <w:rsid w:val="00EC74E9"/>
    <w:rsid w:val="00EC7C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A2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A2E"/>
    <w:pPr>
      <w:ind w:left="720"/>
      <w:contextualSpacing/>
    </w:pPr>
  </w:style>
  <w:style w:type="paragraph" w:styleId="a4">
    <w:name w:val="Balloon Text"/>
    <w:basedOn w:val="a"/>
    <w:link w:val="a5"/>
    <w:uiPriority w:val="99"/>
    <w:semiHidden/>
    <w:unhideWhenUsed/>
    <w:rsid w:val="0001470D"/>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14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A2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A2E"/>
    <w:pPr>
      <w:ind w:left="720"/>
      <w:contextualSpacing/>
    </w:pPr>
  </w:style>
  <w:style w:type="paragraph" w:styleId="a4">
    <w:name w:val="Balloon Text"/>
    <w:basedOn w:val="a"/>
    <w:link w:val="a5"/>
    <w:uiPriority w:val="99"/>
    <w:semiHidden/>
    <w:unhideWhenUsed/>
    <w:rsid w:val="0001470D"/>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14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3</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48AF6-8385-42AE-ADC9-0AFC00AE5DBB}"/>
</file>

<file path=customXml/itemProps2.xml><?xml version="1.0" encoding="utf-8"?>
<ds:datastoreItem xmlns:ds="http://schemas.openxmlformats.org/officeDocument/2006/customXml" ds:itemID="{E49568A2-2B31-401C-AE2E-0821298D60DF}"/>
</file>

<file path=customXml/itemProps3.xml><?xml version="1.0" encoding="utf-8"?>
<ds:datastoreItem xmlns:ds="http://schemas.openxmlformats.org/officeDocument/2006/customXml" ds:itemID="{5EDE5292-304A-4139-BA89-CCB83069553A}"/>
</file>

<file path=docProps/app.xml><?xml version="1.0" encoding="utf-8"?>
<Properties xmlns="http://schemas.openxmlformats.org/officeDocument/2006/extended-properties" xmlns:vt="http://schemas.openxmlformats.org/officeDocument/2006/docPropsVTypes">
  <Template>Normal</Template>
  <TotalTime>140</TotalTime>
  <Pages>4</Pages>
  <Words>789</Words>
  <Characters>3946</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21.06.2015</dc:title>
  <dc:creator>מעבדה טכני</dc:creator>
  <cp:lastModifiedBy>אבי כהן</cp:lastModifiedBy>
  <cp:revision>10</cp:revision>
  <dcterms:created xsi:type="dcterms:W3CDTF">2015-06-22T13:55:00Z</dcterms:created>
  <dcterms:modified xsi:type="dcterms:W3CDTF">2016-01-05T17:58:00Z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