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74" w:rsidRPr="00C0712C" w:rsidRDefault="00D74C74" w:rsidP="00D74C74">
      <w:pPr>
        <w:spacing w:line="360" w:lineRule="auto"/>
        <w:jc w:val="both"/>
        <w:rPr>
          <w:rFonts w:cs="FrankRuehl"/>
          <w:b/>
          <w:bCs/>
          <w:sz w:val="26"/>
          <w:szCs w:val="26"/>
          <w:u w:val="single"/>
          <w:rtl/>
        </w:rPr>
      </w:pPr>
      <w:r w:rsidRPr="00C0712C">
        <w:rPr>
          <w:rFonts w:cs="FrankRuehl" w:hint="cs"/>
          <w:b/>
          <w:bCs/>
          <w:sz w:val="26"/>
          <w:szCs w:val="26"/>
          <w:u w:val="single"/>
          <w:rtl/>
        </w:rPr>
        <w:t xml:space="preserve">הוועדה להגברת התחרות בשירותים בנקאיים ופיננסים נפוצים </w:t>
      </w:r>
    </w:p>
    <w:p w:rsidR="00D74C74" w:rsidRPr="00C0712C" w:rsidRDefault="00D74C74" w:rsidP="00D74C74">
      <w:pPr>
        <w:spacing w:line="360" w:lineRule="auto"/>
        <w:jc w:val="both"/>
        <w:rPr>
          <w:rFonts w:cs="FrankRuehl"/>
          <w:b/>
          <w:bCs/>
          <w:sz w:val="26"/>
          <w:szCs w:val="26"/>
          <w:u w:val="single"/>
          <w:rtl/>
        </w:rPr>
      </w:pPr>
    </w:p>
    <w:p w:rsidR="00D74C74" w:rsidRPr="00C0712C" w:rsidRDefault="00D74C74" w:rsidP="008D533F">
      <w:pPr>
        <w:spacing w:line="360" w:lineRule="auto"/>
        <w:jc w:val="both"/>
        <w:rPr>
          <w:rFonts w:cs="FrankRuehl"/>
          <w:b/>
          <w:bCs/>
          <w:sz w:val="26"/>
          <w:szCs w:val="26"/>
          <w:u w:val="single"/>
          <w:rtl/>
        </w:rPr>
      </w:pPr>
      <w:r w:rsidRPr="00C0712C">
        <w:rPr>
          <w:rFonts w:cs="FrankRuehl" w:hint="cs"/>
          <w:b/>
          <w:bCs/>
          <w:sz w:val="26"/>
          <w:szCs w:val="26"/>
          <w:u w:val="single"/>
          <w:rtl/>
        </w:rPr>
        <w:t>2015\</w:t>
      </w:r>
      <w:r>
        <w:rPr>
          <w:rFonts w:cs="FrankRuehl" w:hint="cs"/>
          <w:b/>
          <w:bCs/>
          <w:sz w:val="26"/>
          <w:szCs w:val="26"/>
          <w:u w:val="single"/>
          <w:rtl/>
        </w:rPr>
        <w:t>10</w:t>
      </w:r>
      <w:r w:rsidRPr="00C0712C">
        <w:rPr>
          <w:rFonts w:cs="FrankRuehl" w:hint="cs"/>
          <w:b/>
          <w:bCs/>
          <w:sz w:val="26"/>
          <w:szCs w:val="26"/>
          <w:u w:val="single"/>
          <w:rtl/>
        </w:rPr>
        <w:t>\</w:t>
      </w:r>
      <w:r>
        <w:rPr>
          <w:rFonts w:cs="FrankRuehl" w:hint="cs"/>
          <w:b/>
          <w:bCs/>
          <w:sz w:val="26"/>
          <w:szCs w:val="26"/>
          <w:u w:val="single"/>
          <w:rtl/>
        </w:rPr>
        <w:t>1</w:t>
      </w:r>
      <w:r w:rsidR="008D533F">
        <w:rPr>
          <w:rFonts w:cs="FrankRuehl" w:hint="cs"/>
          <w:b/>
          <w:bCs/>
          <w:sz w:val="26"/>
          <w:szCs w:val="26"/>
          <w:u w:val="single"/>
          <w:rtl/>
        </w:rPr>
        <w:t>9</w:t>
      </w:r>
      <w:r w:rsidRPr="00C0712C">
        <w:rPr>
          <w:rFonts w:cs="FrankRuehl" w:hint="cs"/>
          <w:b/>
          <w:bCs/>
          <w:sz w:val="26"/>
          <w:szCs w:val="26"/>
          <w:u w:val="single"/>
          <w:rtl/>
        </w:rPr>
        <w:t>:</w:t>
      </w:r>
    </w:p>
    <w:p w:rsidR="00D74C74" w:rsidRPr="00C0712C" w:rsidRDefault="00D74C74" w:rsidP="00D74C74">
      <w:pPr>
        <w:spacing w:line="360" w:lineRule="auto"/>
        <w:jc w:val="both"/>
        <w:rPr>
          <w:rFonts w:cs="FrankRuehl"/>
          <w:sz w:val="26"/>
          <w:szCs w:val="26"/>
          <w:u w:val="single"/>
          <w:rtl/>
        </w:rPr>
      </w:pPr>
      <w:r w:rsidRPr="00C0712C">
        <w:rPr>
          <w:rFonts w:cs="FrankRuehl" w:hint="cs"/>
          <w:sz w:val="26"/>
          <w:szCs w:val="26"/>
          <w:u w:val="single"/>
          <w:rtl/>
        </w:rPr>
        <w:t>חברי הוועדה המשתתפים:</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D74C74" w:rsidRPr="00C0712C" w:rsidRDefault="00D74C74" w:rsidP="00D74C74">
      <w:pPr>
        <w:spacing w:line="360" w:lineRule="auto"/>
        <w:jc w:val="both"/>
        <w:rPr>
          <w:rFonts w:cs="FrankRuehl"/>
          <w:sz w:val="26"/>
          <w:szCs w:val="26"/>
          <w:rtl/>
        </w:rPr>
      </w:pPr>
      <w:proofErr w:type="spellStart"/>
      <w:r w:rsidRPr="00C0712C">
        <w:rPr>
          <w:rFonts w:cs="FrankRuehl" w:hint="cs"/>
          <w:sz w:val="26"/>
          <w:szCs w:val="26"/>
          <w:rtl/>
        </w:rPr>
        <w:t>פרופ</w:t>
      </w:r>
      <w:proofErr w:type="spellEnd"/>
      <w:r w:rsidRPr="00C0712C">
        <w:rPr>
          <w:rFonts w:cs="FrankRuehl" w:hint="cs"/>
          <w:sz w:val="26"/>
          <w:szCs w:val="26"/>
          <w:rtl/>
        </w:rPr>
        <w:t>', אבי בן בסט, האוניברסיטה העברית והמכללה למנהל</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ד"ר נדין בודו-טרכטנברג, המשנה לנגידת בנק ישראל, בנק ישראל</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פרופ' נתן זוסמן, ראש חטיבת המחקר, בנק ישראל</w:t>
      </w:r>
    </w:p>
    <w:p w:rsidR="00D74C74" w:rsidRDefault="00D74C74" w:rsidP="00D74C74">
      <w:pPr>
        <w:spacing w:line="360" w:lineRule="auto"/>
        <w:jc w:val="both"/>
        <w:rPr>
          <w:rFonts w:cs="FrankRuehl"/>
          <w:sz w:val="26"/>
          <w:szCs w:val="26"/>
          <w:rtl/>
        </w:rPr>
      </w:pPr>
      <w:r w:rsidRPr="00C0712C">
        <w:rPr>
          <w:rFonts w:cs="FrankRuehl" w:hint="cs"/>
          <w:sz w:val="26"/>
          <w:szCs w:val="26"/>
          <w:rtl/>
        </w:rPr>
        <w:t>גב' יעל מבורך, סגנית הממונה על התקציבים</w:t>
      </w:r>
    </w:p>
    <w:p w:rsidR="00D74C74" w:rsidRPr="00C0712C" w:rsidRDefault="00D74C74" w:rsidP="00D74C74">
      <w:pPr>
        <w:spacing w:line="360" w:lineRule="auto"/>
        <w:jc w:val="both"/>
        <w:rPr>
          <w:rFonts w:cs="FrankRuehl"/>
          <w:sz w:val="26"/>
          <w:szCs w:val="26"/>
          <w:rtl/>
        </w:rPr>
      </w:pPr>
      <w:r>
        <w:rPr>
          <w:rFonts w:cs="FrankRuehl" w:hint="cs"/>
          <w:sz w:val="26"/>
          <w:szCs w:val="26"/>
          <w:rtl/>
        </w:rPr>
        <w:t xml:space="preserve">עו"ד ארץ </w:t>
      </w:r>
      <w:proofErr w:type="spellStart"/>
      <w:r>
        <w:rPr>
          <w:rFonts w:cs="FrankRuehl" w:hint="cs"/>
          <w:sz w:val="26"/>
          <w:szCs w:val="26"/>
          <w:rtl/>
        </w:rPr>
        <w:t>קמינץ</w:t>
      </w:r>
      <w:proofErr w:type="spellEnd"/>
      <w:r>
        <w:rPr>
          <w:rFonts w:cs="FrankRuehl" w:hint="cs"/>
          <w:sz w:val="26"/>
          <w:szCs w:val="26"/>
          <w:rtl/>
        </w:rPr>
        <w:t>, משנה ליועמ"ש, משרד המשפטים</w:t>
      </w:r>
    </w:p>
    <w:p w:rsidR="00D74C74" w:rsidRPr="00C0712C" w:rsidRDefault="002E54B3" w:rsidP="002E54B3">
      <w:pPr>
        <w:spacing w:line="360" w:lineRule="auto"/>
        <w:jc w:val="both"/>
        <w:rPr>
          <w:rFonts w:cs="FrankRuehl"/>
          <w:sz w:val="26"/>
          <w:szCs w:val="26"/>
          <w:rtl/>
        </w:rPr>
      </w:pPr>
      <w:r>
        <w:rPr>
          <w:rFonts w:cs="FrankRuehl" w:hint="cs"/>
          <w:sz w:val="26"/>
          <w:szCs w:val="26"/>
          <w:rtl/>
        </w:rPr>
        <w:t xml:space="preserve">ד"ר </w:t>
      </w:r>
      <w:r w:rsidRPr="00C0712C">
        <w:rPr>
          <w:rFonts w:cs="FrankRuehl" w:hint="cs"/>
          <w:sz w:val="26"/>
          <w:szCs w:val="26"/>
          <w:rtl/>
        </w:rPr>
        <w:t>אסף אילת, הרשות להגבלים עסקיים</w:t>
      </w:r>
      <w:bookmarkStart w:id="0" w:name="_GoBack"/>
      <w:bookmarkEnd w:id="0"/>
    </w:p>
    <w:p w:rsidR="00D74C74" w:rsidRPr="00C0712C" w:rsidRDefault="00D74C74" w:rsidP="00D74C74">
      <w:pPr>
        <w:spacing w:line="360" w:lineRule="auto"/>
        <w:jc w:val="both"/>
        <w:rPr>
          <w:rFonts w:cs="FrankRuehl"/>
          <w:sz w:val="26"/>
          <w:szCs w:val="26"/>
          <w:u w:val="single"/>
          <w:rtl/>
        </w:rPr>
      </w:pPr>
      <w:r w:rsidRPr="00C0712C">
        <w:rPr>
          <w:rFonts w:cs="FrankRuehl" w:hint="cs"/>
          <w:sz w:val="26"/>
          <w:szCs w:val="26"/>
          <w:u w:val="single"/>
          <w:rtl/>
        </w:rPr>
        <w:t>נציגים:</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יואל בריס, משרד האוצר</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יואב גפני, משרד האוצר</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יונתן בר סימן טוב, משרד האוצר</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 xml:space="preserve">כפיר </w:t>
      </w:r>
      <w:proofErr w:type="spellStart"/>
      <w:r w:rsidRPr="00C0712C">
        <w:rPr>
          <w:rFonts w:cs="FrankRuehl" w:hint="cs"/>
          <w:sz w:val="26"/>
          <w:szCs w:val="26"/>
          <w:rtl/>
        </w:rPr>
        <w:t>בטט</w:t>
      </w:r>
      <w:proofErr w:type="spellEnd"/>
      <w:r w:rsidRPr="00C0712C">
        <w:rPr>
          <w:rFonts w:cs="FrankRuehl" w:hint="cs"/>
          <w:sz w:val="26"/>
          <w:szCs w:val="26"/>
          <w:rtl/>
        </w:rPr>
        <w:t>, משרד האוצר</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 xml:space="preserve">ברוך </w:t>
      </w:r>
      <w:proofErr w:type="spellStart"/>
      <w:r w:rsidRPr="00C0712C">
        <w:rPr>
          <w:rFonts w:cs="FrankRuehl" w:hint="cs"/>
          <w:sz w:val="26"/>
          <w:szCs w:val="26"/>
          <w:rtl/>
        </w:rPr>
        <w:t>לוברט</w:t>
      </w:r>
      <w:proofErr w:type="spellEnd"/>
      <w:r w:rsidRPr="00C0712C">
        <w:rPr>
          <w:rFonts w:cs="FrankRuehl" w:hint="cs"/>
          <w:sz w:val="26"/>
          <w:szCs w:val="26"/>
          <w:rtl/>
        </w:rPr>
        <w:t>, משרד האוצר</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רויטל קיסר, בנק ישראל</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 xml:space="preserve">מיקי </w:t>
      </w:r>
      <w:proofErr w:type="spellStart"/>
      <w:r w:rsidRPr="00C0712C">
        <w:rPr>
          <w:rFonts w:cs="FrankRuehl" w:hint="cs"/>
          <w:sz w:val="26"/>
          <w:szCs w:val="26"/>
          <w:rtl/>
        </w:rPr>
        <w:t>קהן</w:t>
      </w:r>
      <w:proofErr w:type="spellEnd"/>
      <w:r w:rsidRPr="00C0712C">
        <w:rPr>
          <w:rFonts w:cs="FrankRuehl" w:hint="cs"/>
          <w:sz w:val="26"/>
          <w:szCs w:val="26"/>
          <w:rtl/>
        </w:rPr>
        <w:t>, בנק ישראל</w:t>
      </w:r>
    </w:p>
    <w:p w:rsidR="00D74C74" w:rsidRPr="00C0712C" w:rsidRDefault="00E72990" w:rsidP="00D74C74">
      <w:pPr>
        <w:spacing w:line="360" w:lineRule="auto"/>
        <w:jc w:val="both"/>
        <w:rPr>
          <w:rFonts w:cs="FrankRuehl"/>
          <w:sz w:val="26"/>
          <w:szCs w:val="26"/>
          <w:rtl/>
        </w:rPr>
      </w:pPr>
      <w:r>
        <w:rPr>
          <w:rFonts w:cs="FrankRuehl" w:hint="cs"/>
          <w:sz w:val="26"/>
          <w:szCs w:val="26"/>
          <w:rtl/>
        </w:rPr>
        <w:t xml:space="preserve">ד"ר </w:t>
      </w:r>
      <w:r w:rsidR="00D74C74" w:rsidRPr="00C0712C">
        <w:rPr>
          <w:rFonts w:cs="FrankRuehl" w:hint="cs"/>
          <w:sz w:val="26"/>
          <w:szCs w:val="26"/>
          <w:rtl/>
        </w:rPr>
        <w:t>דנה הלר, הרשות להגבלים עסקיים</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אורי שרף, הרשות להגבלים עסקיים</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 xml:space="preserve">אלעד </w:t>
      </w:r>
      <w:proofErr w:type="spellStart"/>
      <w:r w:rsidRPr="00C0712C">
        <w:rPr>
          <w:rFonts w:cs="FrankRuehl" w:hint="cs"/>
          <w:sz w:val="26"/>
          <w:szCs w:val="26"/>
          <w:rtl/>
        </w:rPr>
        <w:t>מקדסי</w:t>
      </w:r>
      <w:proofErr w:type="spellEnd"/>
      <w:r w:rsidRPr="00C0712C">
        <w:rPr>
          <w:rFonts w:cs="FrankRuehl" w:hint="cs"/>
          <w:sz w:val="26"/>
          <w:szCs w:val="26"/>
          <w:rtl/>
        </w:rPr>
        <w:t>, הרשות להגבלים עסקיים</w:t>
      </w:r>
    </w:p>
    <w:p w:rsidR="00D74C74" w:rsidRPr="00C0712C" w:rsidRDefault="00D74C74" w:rsidP="00D74C74">
      <w:pPr>
        <w:spacing w:line="360" w:lineRule="auto"/>
        <w:jc w:val="both"/>
        <w:rPr>
          <w:rFonts w:cs="FrankRuehl"/>
          <w:sz w:val="26"/>
          <w:szCs w:val="26"/>
          <w:rtl/>
        </w:rPr>
      </w:pPr>
      <w:r w:rsidRPr="00C0712C">
        <w:rPr>
          <w:rFonts w:cs="FrankRuehl" w:hint="cs"/>
          <w:sz w:val="26"/>
          <w:szCs w:val="26"/>
          <w:rtl/>
        </w:rPr>
        <w:t>יעל רגב, משרד האוצר</w:t>
      </w:r>
    </w:p>
    <w:p w:rsidR="00D74C74" w:rsidRDefault="00D74C74" w:rsidP="00D74C74">
      <w:pPr>
        <w:spacing w:line="360" w:lineRule="auto"/>
        <w:jc w:val="both"/>
        <w:rPr>
          <w:rFonts w:cs="FrankRuehl"/>
          <w:sz w:val="26"/>
          <w:szCs w:val="26"/>
          <w:rtl/>
        </w:rPr>
      </w:pPr>
      <w:r w:rsidRPr="00C0712C">
        <w:rPr>
          <w:rFonts w:cs="FrankRuehl" w:hint="cs"/>
          <w:sz w:val="26"/>
          <w:szCs w:val="26"/>
          <w:rtl/>
        </w:rPr>
        <w:t xml:space="preserve">ליאור </w:t>
      </w:r>
      <w:proofErr w:type="spellStart"/>
      <w:r w:rsidRPr="00C0712C">
        <w:rPr>
          <w:rFonts w:cs="FrankRuehl" w:hint="cs"/>
          <w:sz w:val="26"/>
          <w:szCs w:val="26"/>
          <w:rtl/>
        </w:rPr>
        <w:t>תבורי</w:t>
      </w:r>
      <w:proofErr w:type="spellEnd"/>
    </w:p>
    <w:p w:rsidR="00D74C74" w:rsidRDefault="00D74C74" w:rsidP="00D74C74">
      <w:pPr>
        <w:spacing w:line="360" w:lineRule="auto"/>
        <w:jc w:val="both"/>
        <w:rPr>
          <w:rFonts w:cs="FrankRuehl"/>
          <w:sz w:val="26"/>
          <w:szCs w:val="26"/>
          <w:rtl/>
        </w:rPr>
      </w:pPr>
      <w:r>
        <w:rPr>
          <w:rFonts w:cs="FrankRuehl" w:hint="cs"/>
          <w:sz w:val="26"/>
          <w:szCs w:val="26"/>
          <w:rtl/>
        </w:rPr>
        <w:lastRenderedPageBreak/>
        <w:t xml:space="preserve">רוני </w:t>
      </w:r>
      <w:proofErr w:type="spellStart"/>
      <w:r>
        <w:rPr>
          <w:rFonts w:cs="FrankRuehl" w:hint="cs"/>
          <w:sz w:val="26"/>
          <w:szCs w:val="26"/>
          <w:rtl/>
        </w:rPr>
        <w:t>טלמור</w:t>
      </w:r>
      <w:proofErr w:type="spellEnd"/>
      <w:r>
        <w:rPr>
          <w:rFonts w:cs="FrankRuehl" w:hint="cs"/>
          <w:sz w:val="26"/>
          <w:szCs w:val="26"/>
          <w:rtl/>
        </w:rPr>
        <w:t>, משרד המשפטים</w:t>
      </w:r>
    </w:p>
    <w:p w:rsidR="00D74C74" w:rsidRPr="00C0712C" w:rsidRDefault="00D74C74" w:rsidP="00D74C74">
      <w:pPr>
        <w:spacing w:line="360" w:lineRule="auto"/>
        <w:jc w:val="both"/>
        <w:rPr>
          <w:rFonts w:cs="FrankRuehl"/>
          <w:sz w:val="26"/>
          <w:szCs w:val="26"/>
          <w:rtl/>
        </w:rPr>
      </w:pPr>
      <w:r>
        <w:rPr>
          <w:rFonts w:cs="FrankRuehl" w:hint="cs"/>
          <w:sz w:val="26"/>
          <w:szCs w:val="26"/>
          <w:rtl/>
        </w:rPr>
        <w:t xml:space="preserve">רוני </w:t>
      </w:r>
      <w:proofErr w:type="spellStart"/>
      <w:r>
        <w:rPr>
          <w:rFonts w:cs="FrankRuehl" w:hint="cs"/>
          <w:sz w:val="26"/>
          <w:szCs w:val="26"/>
          <w:rtl/>
        </w:rPr>
        <w:t>נויבאר</w:t>
      </w:r>
      <w:proofErr w:type="spellEnd"/>
      <w:r>
        <w:rPr>
          <w:rFonts w:cs="FrankRuehl" w:hint="cs"/>
          <w:sz w:val="26"/>
          <w:szCs w:val="26"/>
          <w:rtl/>
        </w:rPr>
        <w:t>, משרד המשפטים</w:t>
      </w:r>
    </w:p>
    <w:p w:rsidR="00D74C74" w:rsidRDefault="00D74C74" w:rsidP="00D74C74">
      <w:pPr>
        <w:spacing w:line="360" w:lineRule="auto"/>
        <w:jc w:val="both"/>
        <w:rPr>
          <w:rFonts w:cs="FrankRuehl"/>
          <w:sz w:val="26"/>
          <w:szCs w:val="26"/>
          <w:u w:val="single"/>
          <w:rtl/>
        </w:rPr>
      </w:pPr>
      <w:r w:rsidRPr="00C0712C">
        <w:rPr>
          <w:rFonts w:cs="FrankRuehl" w:hint="cs"/>
          <w:sz w:val="26"/>
          <w:szCs w:val="26"/>
          <w:u w:val="single"/>
          <w:rtl/>
        </w:rPr>
        <w:t>סיכום דיון</w:t>
      </w:r>
    </w:p>
    <w:p w:rsidR="00D74C74" w:rsidRDefault="00D74C74" w:rsidP="00D74C74">
      <w:pPr>
        <w:pStyle w:val="a3"/>
        <w:numPr>
          <w:ilvl w:val="0"/>
          <w:numId w:val="1"/>
        </w:numPr>
        <w:spacing w:line="360" w:lineRule="auto"/>
        <w:jc w:val="both"/>
        <w:rPr>
          <w:rFonts w:cs="FrankRuehl"/>
          <w:sz w:val="26"/>
          <w:szCs w:val="26"/>
        </w:rPr>
      </w:pPr>
      <w:r w:rsidRPr="009A1DE0">
        <w:rPr>
          <w:rFonts w:cs="FrankRuehl" w:hint="cs"/>
          <w:sz w:val="26"/>
          <w:szCs w:val="26"/>
          <w:rtl/>
        </w:rPr>
        <w:t>יו"ר הוועדה, דרור שטר</w:t>
      </w:r>
      <w:r>
        <w:rPr>
          <w:rFonts w:cs="FrankRuehl" w:hint="cs"/>
          <w:sz w:val="26"/>
          <w:szCs w:val="26"/>
          <w:rtl/>
        </w:rPr>
        <w:t>ום פתח את הדיון שהינו המשך דיון בשאלות העיקריות שנותרו להכרעת חברי הוועדה.</w:t>
      </w:r>
    </w:p>
    <w:p w:rsidR="00D74C74" w:rsidRDefault="00D74C74" w:rsidP="00D74C74">
      <w:pPr>
        <w:pStyle w:val="a3"/>
        <w:numPr>
          <w:ilvl w:val="0"/>
          <w:numId w:val="1"/>
        </w:numPr>
        <w:spacing w:line="360" w:lineRule="auto"/>
        <w:jc w:val="both"/>
        <w:rPr>
          <w:rFonts w:cs="FrankRuehl"/>
          <w:sz w:val="26"/>
          <w:szCs w:val="26"/>
        </w:rPr>
      </w:pPr>
      <w:r>
        <w:rPr>
          <w:rFonts w:cs="FrankRuehl" w:hint="cs"/>
          <w:sz w:val="26"/>
          <w:szCs w:val="26"/>
          <w:rtl/>
        </w:rPr>
        <w:t xml:space="preserve">תחילה הדיון עסק בממשקי </w:t>
      </w:r>
      <w:r>
        <w:rPr>
          <w:rFonts w:cs="FrankRuehl"/>
          <w:sz w:val="26"/>
          <w:szCs w:val="26"/>
        </w:rPr>
        <w:t>API</w:t>
      </w:r>
      <w:r>
        <w:rPr>
          <w:rFonts w:cs="FrankRuehl" w:hint="cs"/>
          <w:sz w:val="26"/>
          <w:szCs w:val="26"/>
          <w:rtl/>
        </w:rPr>
        <w:t xml:space="preserve"> לצורך הגברת יכולת ההשוואה של הצרכן בנוגע למוצרים פיננסים שונים.</w:t>
      </w:r>
    </w:p>
    <w:p w:rsidR="00D74C74" w:rsidRDefault="004D121E" w:rsidP="00D74C74">
      <w:pPr>
        <w:pStyle w:val="a3"/>
        <w:numPr>
          <w:ilvl w:val="1"/>
          <w:numId w:val="1"/>
        </w:numPr>
        <w:spacing w:line="360" w:lineRule="auto"/>
        <w:jc w:val="both"/>
        <w:rPr>
          <w:rFonts w:cs="FrankRuehl"/>
          <w:sz w:val="26"/>
          <w:szCs w:val="26"/>
        </w:rPr>
      </w:pPr>
      <w:r>
        <w:rPr>
          <w:rFonts w:cs="FrankRuehl" w:hint="cs"/>
          <w:sz w:val="26"/>
          <w:szCs w:val="26"/>
          <w:rtl/>
        </w:rPr>
        <w:t xml:space="preserve">הוסבר כי </w:t>
      </w:r>
      <w:r w:rsidR="008D533F">
        <w:rPr>
          <w:rFonts w:cs="FrankRuehl" w:hint="cs"/>
          <w:sz w:val="26"/>
          <w:szCs w:val="26"/>
          <w:rtl/>
        </w:rPr>
        <w:t>ממשק זה מהווה גשר בין יישומי מחשב.</w:t>
      </w:r>
    </w:p>
    <w:p w:rsidR="008D533F" w:rsidRDefault="008D533F" w:rsidP="00D74C74">
      <w:pPr>
        <w:pStyle w:val="a3"/>
        <w:numPr>
          <w:ilvl w:val="1"/>
          <w:numId w:val="1"/>
        </w:numPr>
        <w:spacing w:line="360" w:lineRule="auto"/>
        <w:jc w:val="both"/>
        <w:rPr>
          <w:rFonts w:cs="FrankRuehl"/>
          <w:sz w:val="26"/>
          <w:szCs w:val="26"/>
        </w:rPr>
      </w:pPr>
      <w:r>
        <w:rPr>
          <w:rFonts w:cs="FrankRuehl" w:hint="cs"/>
          <w:sz w:val="26"/>
          <w:szCs w:val="26"/>
          <w:rtl/>
        </w:rPr>
        <w:t>הרעיון בבסיסו הינו יכולת להעביר מידע באופן ממוכן ומידי בין ארגונים שונים ובין יישומים שונים באותו ארגון.</w:t>
      </w:r>
    </w:p>
    <w:p w:rsidR="008D533F" w:rsidRDefault="00D15C37" w:rsidP="00D74C74">
      <w:pPr>
        <w:pStyle w:val="a3"/>
        <w:numPr>
          <w:ilvl w:val="1"/>
          <w:numId w:val="1"/>
        </w:numPr>
        <w:spacing w:line="360" w:lineRule="auto"/>
        <w:jc w:val="both"/>
        <w:rPr>
          <w:rFonts w:cs="FrankRuehl"/>
          <w:sz w:val="26"/>
          <w:szCs w:val="26"/>
        </w:rPr>
      </w:pPr>
      <w:r>
        <w:rPr>
          <w:rFonts w:cs="FrankRuehl" w:hint="cs"/>
          <w:sz w:val="26"/>
          <w:szCs w:val="26"/>
          <w:rtl/>
        </w:rPr>
        <w:t>בשוק הבנקאות יכולת השימוש ב-</w:t>
      </w:r>
      <w:r>
        <w:rPr>
          <w:rFonts w:cs="FrankRuehl"/>
          <w:sz w:val="26"/>
          <w:szCs w:val="26"/>
        </w:rPr>
        <w:t>API</w:t>
      </w:r>
      <w:r>
        <w:rPr>
          <w:rFonts w:cs="FrankRuehl" w:hint="cs"/>
          <w:sz w:val="26"/>
          <w:szCs w:val="26"/>
          <w:rtl/>
        </w:rPr>
        <w:t xml:space="preserve"> רלוונטית בכמה אספקטים ביניהם העברת מידע ממוכנת ומידית בין גופים פיננסים אשר מאפשרים תחרות על הלקוח והעברת מידע לצד שלישי המהווה מתווך ואשר דרכו גופים פיננסים שונים יכולים להתחרות על הצרכן בממשק דיגיטלי.</w:t>
      </w:r>
    </w:p>
    <w:p w:rsidR="00D15C37" w:rsidRDefault="00D15C37" w:rsidP="00D74C74">
      <w:pPr>
        <w:pStyle w:val="a3"/>
        <w:numPr>
          <w:ilvl w:val="1"/>
          <w:numId w:val="1"/>
        </w:numPr>
        <w:spacing w:line="360" w:lineRule="auto"/>
        <w:jc w:val="both"/>
        <w:rPr>
          <w:rFonts w:cs="FrankRuehl"/>
          <w:sz w:val="26"/>
          <w:szCs w:val="26"/>
        </w:rPr>
      </w:pPr>
      <w:r>
        <w:rPr>
          <w:rFonts w:cs="FrankRuehl" w:hint="cs"/>
          <w:sz w:val="26"/>
          <w:szCs w:val="26"/>
          <w:rtl/>
        </w:rPr>
        <w:t xml:space="preserve">מוצרים אפשריים כתוצאה משימוש בממשק זה יכולים לכלול השוואת מחירים, ייעוץ פיננסי, זירוז ושיפור קרדיט </w:t>
      </w:r>
      <w:proofErr w:type="spellStart"/>
      <w:r>
        <w:rPr>
          <w:rFonts w:cs="FrankRuehl" w:hint="cs"/>
          <w:sz w:val="26"/>
          <w:szCs w:val="26"/>
          <w:rtl/>
        </w:rPr>
        <w:t>סקורינג</w:t>
      </w:r>
      <w:proofErr w:type="spellEnd"/>
      <w:r>
        <w:rPr>
          <w:rFonts w:cs="FrankRuehl" w:hint="cs"/>
          <w:sz w:val="26"/>
          <w:szCs w:val="26"/>
          <w:rtl/>
        </w:rPr>
        <w:t xml:space="preserve"> </w:t>
      </w:r>
      <w:proofErr w:type="spellStart"/>
      <w:r>
        <w:rPr>
          <w:rFonts w:cs="FrankRuehl" w:hint="cs"/>
          <w:sz w:val="26"/>
          <w:szCs w:val="26"/>
          <w:rtl/>
        </w:rPr>
        <w:t>וכו</w:t>
      </w:r>
      <w:proofErr w:type="spellEnd"/>
      <w:r>
        <w:rPr>
          <w:rFonts w:cs="FrankRuehl" w:hint="cs"/>
          <w:sz w:val="26"/>
          <w:szCs w:val="26"/>
          <w:rtl/>
        </w:rPr>
        <w:t>'.</w:t>
      </w:r>
    </w:p>
    <w:p w:rsidR="00D15C37" w:rsidRDefault="00D15C37" w:rsidP="00D74C74">
      <w:pPr>
        <w:pStyle w:val="a3"/>
        <w:numPr>
          <w:ilvl w:val="1"/>
          <w:numId w:val="1"/>
        </w:numPr>
        <w:spacing w:line="360" w:lineRule="auto"/>
        <w:jc w:val="both"/>
        <w:rPr>
          <w:rFonts w:cs="FrankRuehl"/>
          <w:sz w:val="26"/>
          <w:szCs w:val="26"/>
        </w:rPr>
      </w:pPr>
      <w:r>
        <w:rPr>
          <w:rFonts w:cs="FrankRuehl" w:hint="cs"/>
          <w:sz w:val="26"/>
          <w:szCs w:val="26"/>
          <w:rtl/>
        </w:rPr>
        <w:t xml:space="preserve">נאמר כי היתרונות בשימוש בממש </w:t>
      </w:r>
      <w:r>
        <w:rPr>
          <w:rFonts w:cs="FrankRuehl"/>
          <w:sz w:val="26"/>
          <w:szCs w:val="26"/>
        </w:rPr>
        <w:t>API</w:t>
      </w:r>
      <w:r>
        <w:rPr>
          <w:rFonts w:cs="FrankRuehl" w:hint="cs"/>
          <w:sz w:val="26"/>
          <w:szCs w:val="26"/>
          <w:rtl/>
        </w:rPr>
        <w:t xml:space="preserve"> הינם קלות השימוש, קלות עדכון המידע, הבטחת נכונות המידע, שיפור אבטחת המידע ומשך הזמן הקצר הנדרש להעברתו.</w:t>
      </w:r>
    </w:p>
    <w:p w:rsidR="00FB7F5D" w:rsidRDefault="00FB7F5D" w:rsidP="00D74C74">
      <w:pPr>
        <w:pStyle w:val="a3"/>
        <w:numPr>
          <w:ilvl w:val="1"/>
          <w:numId w:val="1"/>
        </w:numPr>
        <w:spacing w:line="360" w:lineRule="auto"/>
        <w:jc w:val="both"/>
        <w:rPr>
          <w:rFonts w:cs="FrankRuehl"/>
          <w:sz w:val="26"/>
          <w:szCs w:val="26"/>
        </w:rPr>
      </w:pPr>
      <w:r>
        <w:rPr>
          <w:rFonts w:cs="FrankRuehl" w:hint="cs"/>
          <w:sz w:val="26"/>
          <w:szCs w:val="26"/>
          <w:rtl/>
        </w:rPr>
        <w:t xml:space="preserve">נאמר כי יש לדאוג להסדרה שלמה </w:t>
      </w:r>
      <w:proofErr w:type="spellStart"/>
      <w:r>
        <w:rPr>
          <w:rFonts w:cs="FrankRuehl" w:hint="cs"/>
          <w:sz w:val="26"/>
          <w:szCs w:val="26"/>
          <w:rtl/>
        </w:rPr>
        <w:t>ומתכללת</w:t>
      </w:r>
      <w:proofErr w:type="spellEnd"/>
      <w:r>
        <w:rPr>
          <w:rFonts w:cs="FrankRuehl" w:hint="cs"/>
          <w:sz w:val="26"/>
          <w:szCs w:val="26"/>
          <w:rtl/>
        </w:rPr>
        <w:t xml:space="preserve"> של התחום על מנת לאפשר לשחקנים/מוצרים חדשים להיכנס לשוק, ולא ליצור את הרגולציה כך שתתאים רק למצב השוק כיום או לממשק טכנולוגי </w:t>
      </w:r>
      <w:proofErr w:type="spellStart"/>
      <w:r>
        <w:rPr>
          <w:rFonts w:cs="FrankRuehl" w:hint="cs"/>
          <w:sz w:val="26"/>
          <w:szCs w:val="26"/>
          <w:rtl/>
        </w:rPr>
        <w:t>ספיציפי</w:t>
      </w:r>
      <w:proofErr w:type="spellEnd"/>
      <w:r>
        <w:rPr>
          <w:rFonts w:cs="FrankRuehl" w:hint="cs"/>
          <w:sz w:val="26"/>
          <w:szCs w:val="26"/>
          <w:rtl/>
        </w:rPr>
        <w:t xml:space="preserve">. </w:t>
      </w:r>
    </w:p>
    <w:p w:rsidR="009D3A64" w:rsidRDefault="009D3A64" w:rsidP="00D74C74">
      <w:pPr>
        <w:pStyle w:val="a3"/>
        <w:numPr>
          <w:ilvl w:val="1"/>
          <w:numId w:val="1"/>
        </w:numPr>
        <w:spacing w:line="360" w:lineRule="auto"/>
        <w:jc w:val="both"/>
        <w:rPr>
          <w:rFonts w:cs="FrankRuehl"/>
          <w:sz w:val="26"/>
          <w:szCs w:val="26"/>
        </w:rPr>
      </w:pPr>
      <w:r>
        <w:rPr>
          <w:rFonts w:cs="FrankRuehl" w:hint="cs"/>
          <w:sz w:val="26"/>
          <w:szCs w:val="26"/>
          <w:rtl/>
        </w:rPr>
        <w:t>נטען ע"י חלק מחברי הוועדה כי עוד יש לבצע עבודת מטה עמוקה בטרם ניתן יהיה לגבש המלצות קונקרטיות לעניין הסדרת תחום זה.</w:t>
      </w:r>
    </w:p>
    <w:p w:rsidR="00D15C37" w:rsidRDefault="008C3023" w:rsidP="00D15C37">
      <w:pPr>
        <w:pStyle w:val="a3"/>
        <w:numPr>
          <w:ilvl w:val="0"/>
          <w:numId w:val="1"/>
        </w:numPr>
        <w:spacing w:line="360" w:lineRule="auto"/>
        <w:jc w:val="both"/>
        <w:rPr>
          <w:rFonts w:cs="FrankRuehl"/>
          <w:sz w:val="26"/>
          <w:szCs w:val="26"/>
        </w:rPr>
      </w:pPr>
      <w:r>
        <w:rPr>
          <w:rFonts w:cs="FrankRuehl" w:hint="cs"/>
          <w:sz w:val="26"/>
          <w:szCs w:val="26"/>
          <w:rtl/>
        </w:rPr>
        <w:t>החלק השני של הדיון עסק בשאלה האם יש לחייב את התאגידים הבנקאיים</w:t>
      </w:r>
      <w:r w:rsidR="00077B48">
        <w:rPr>
          <w:rFonts w:cs="FrankRuehl" w:hint="cs"/>
          <w:sz w:val="26"/>
          <w:szCs w:val="26"/>
          <w:rtl/>
        </w:rPr>
        <w:t xml:space="preserve"> ותאגידים פיננסים בכלל,</w:t>
      </w:r>
      <w:r>
        <w:rPr>
          <w:rFonts w:cs="FrankRuehl" w:hint="cs"/>
          <w:sz w:val="26"/>
          <w:szCs w:val="26"/>
          <w:rtl/>
        </w:rPr>
        <w:t xml:space="preserve"> בציטוט מחירים לצורך בניית ממשק טכנולוגי המשמש כפלטפורמה להשוואת מחירים.</w:t>
      </w:r>
    </w:p>
    <w:p w:rsidR="00077B48" w:rsidRDefault="00FB7F5D" w:rsidP="00077B48">
      <w:pPr>
        <w:pStyle w:val="a3"/>
        <w:numPr>
          <w:ilvl w:val="1"/>
          <w:numId w:val="1"/>
        </w:numPr>
        <w:spacing w:line="360" w:lineRule="auto"/>
        <w:jc w:val="both"/>
        <w:rPr>
          <w:rFonts w:cs="FrankRuehl"/>
          <w:sz w:val="26"/>
          <w:szCs w:val="26"/>
        </w:rPr>
      </w:pPr>
      <w:r>
        <w:rPr>
          <w:rFonts w:cs="FrankRuehl" w:hint="cs"/>
          <w:sz w:val="26"/>
          <w:szCs w:val="26"/>
          <w:rtl/>
        </w:rPr>
        <w:t>נאמר כי אפשרות זו רלוונטית, לפחות כרגע, רק לשירותים סטנדרטיים אשר אינם דורשים ניתוח פרופיל הלקוח. שירותים כגון ריבית על הפיקדונות ועמלות.</w:t>
      </w:r>
    </w:p>
    <w:p w:rsidR="002753A5" w:rsidRDefault="002753A5" w:rsidP="00077B48">
      <w:pPr>
        <w:pStyle w:val="a3"/>
        <w:numPr>
          <w:ilvl w:val="1"/>
          <w:numId w:val="1"/>
        </w:numPr>
        <w:spacing w:line="360" w:lineRule="auto"/>
        <w:jc w:val="both"/>
        <w:rPr>
          <w:rFonts w:cs="FrankRuehl"/>
          <w:sz w:val="26"/>
          <w:szCs w:val="26"/>
        </w:rPr>
      </w:pPr>
      <w:r>
        <w:rPr>
          <w:rFonts w:cs="FrankRuehl" w:hint="cs"/>
          <w:sz w:val="26"/>
          <w:szCs w:val="26"/>
          <w:rtl/>
        </w:rPr>
        <w:t>לא הייתה הסכמה בקרב כלל חברי הוועדה לגבי הצורך בשירות שכזה אך הוסכם שבמידה והוא אכן מוקם, הוא אינו צריך להיות מתופעל ע"י המדינה.</w:t>
      </w:r>
    </w:p>
    <w:p w:rsidR="006018F4" w:rsidRDefault="006018F4" w:rsidP="006018F4">
      <w:pPr>
        <w:pStyle w:val="a3"/>
        <w:numPr>
          <w:ilvl w:val="0"/>
          <w:numId w:val="1"/>
        </w:numPr>
        <w:spacing w:line="360" w:lineRule="auto"/>
        <w:jc w:val="both"/>
        <w:rPr>
          <w:rFonts w:cs="FrankRuehl"/>
          <w:sz w:val="26"/>
          <w:szCs w:val="26"/>
        </w:rPr>
      </w:pPr>
      <w:r>
        <w:rPr>
          <w:rFonts w:cs="FrankRuehl" w:hint="cs"/>
          <w:sz w:val="26"/>
          <w:szCs w:val="26"/>
          <w:rtl/>
        </w:rPr>
        <w:t>יו"ר הוועדה הודה למשתתפים ואמר כי הדיון על הנושאים שבמחלוקת יימשך בישיבה הבאה.</w:t>
      </w:r>
      <w:r w:rsidR="009E58A2">
        <w:rPr>
          <w:rFonts w:cs="FrankRuehl" w:hint="cs"/>
          <w:sz w:val="26"/>
          <w:szCs w:val="26"/>
          <w:rtl/>
        </w:rPr>
        <w:t xml:space="preserve"> </w:t>
      </w:r>
    </w:p>
    <w:p w:rsidR="00FB7F5D" w:rsidRPr="006018F4" w:rsidRDefault="00FB7F5D" w:rsidP="002753A5">
      <w:pPr>
        <w:spacing w:line="360" w:lineRule="auto"/>
        <w:ind w:left="1080"/>
        <w:jc w:val="both"/>
        <w:rPr>
          <w:rFonts w:cs="FrankRuehl"/>
          <w:sz w:val="26"/>
          <w:szCs w:val="26"/>
        </w:rPr>
      </w:pPr>
    </w:p>
    <w:p w:rsidR="008434D5" w:rsidRPr="00D74C74" w:rsidRDefault="008434D5"/>
    <w:sectPr w:rsidR="008434D5" w:rsidRPr="00D74C74"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B7761"/>
    <w:multiLevelType w:val="hybridMultilevel"/>
    <w:tmpl w:val="4E6E5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74"/>
    <w:rsid w:val="00077B48"/>
    <w:rsid w:val="002753A5"/>
    <w:rsid w:val="002E54B3"/>
    <w:rsid w:val="004D121E"/>
    <w:rsid w:val="005A3A54"/>
    <w:rsid w:val="006018F4"/>
    <w:rsid w:val="008434D5"/>
    <w:rsid w:val="008C3023"/>
    <w:rsid w:val="008D533F"/>
    <w:rsid w:val="009D3A64"/>
    <w:rsid w:val="009E58A2"/>
    <w:rsid w:val="00B83525"/>
    <w:rsid w:val="00D15C37"/>
    <w:rsid w:val="00D74C74"/>
    <w:rsid w:val="00E72990"/>
    <w:rsid w:val="00FB7F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7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C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7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15</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1C868-ED4F-47E3-9587-C532F2CF4519}"/>
</file>

<file path=customXml/itemProps2.xml><?xml version="1.0" encoding="utf-8"?>
<ds:datastoreItem xmlns:ds="http://schemas.openxmlformats.org/officeDocument/2006/customXml" ds:itemID="{0E8CA143-E73B-4C26-8656-065B606E2913}"/>
</file>

<file path=customXml/itemProps3.xml><?xml version="1.0" encoding="utf-8"?>
<ds:datastoreItem xmlns:ds="http://schemas.openxmlformats.org/officeDocument/2006/customXml" ds:itemID="{72963EF8-1A4E-434F-9B38-FEEEF4FB90FC}"/>
</file>

<file path=docProps/app.xml><?xml version="1.0" encoding="utf-8"?>
<Properties xmlns="http://schemas.openxmlformats.org/officeDocument/2006/extended-properties" xmlns:vt="http://schemas.openxmlformats.org/officeDocument/2006/docPropsVTypes">
  <Template>Normal</Template>
  <TotalTime>68</TotalTime>
  <Pages>3</Pages>
  <Words>394</Words>
  <Characters>1974</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19.10.2015</dc:title>
  <dc:creator>אבי כהן</dc:creator>
  <cp:lastModifiedBy>אבי כהן</cp:lastModifiedBy>
  <cp:revision>12</cp:revision>
  <dcterms:created xsi:type="dcterms:W3CDTF">2015-10-25T12:37:00Z</dcterms:created>
  <dcterms:modified xsi:type="dcterms:W3CDTF">2015-12-30T08:26:00Z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