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5F5" w:rsidRPr="00C0712C" w:rsidRDefault="00FD15F5" w:rsidP="00FD15F5">
      <w:pPr>
        <w:spacing w:line="360" w:lineRule="auto"/>
        <w:jc w:val="both"/>
        <w:rPr>
          <w:rFonts w:cs="FrankRuehl"/>
          <w:b/>
          <w:bCs/>
          <w:sz w:val="26"/>
          <w:szCs w:val="26"/>
          <w:u w:val="single"/>
          <w:rtl/>
        </w:rPr>
      </w:pPr>
      <w:r w:rsidRPr="00C0712C">
        <w:rPr>
          <w:rFonts w:cs="FrankRuehl" w:hint="cs"/>
          <w:b/>
          <w:bCs/>
          <w:sz w:val="26"/>
          <w:szCs w:val="26"/>
          <w:u w:val="single"/>
          <w:rtl/>
        </w:rPr>
        <w:t xml:space="preserve">הוועדה להגברת התחרות בשירותים בנקאיים ופיננסים נפוצים </w:t>
      </w:r>
    </w:p>
    <w:p w:rsidR="00FD15F5" w:rsidRPr="00C0712C" w:rsidRDefault="00FD15F5" w:rsidP="00FD15F5">
      <w:pPr>
        <w:spacing w:line="360" w:lineRule="auto"/>
        <w:jc w:val="both"/>
        <w:rPr>
          <w:rFonts w:cs="FrankRuehl"/>
          <w:b/>
          <w:bCs/>
          <w:sz w:val="26"/>
          <w:szCs w:val="26"/>
          <w:u w:val="single"/>
          <w:rtl/>
        </w:rPr>
      </w:pPr>
    </w:p>
    <w:p w:rsidR="00FD15F5" w:rsidRPr="00C0712C" w:rsidRDefault="00FD15F5" w:rsidP="00FD15F5">
      <w:pPr>
        <w:spacing w:line="360" w:lineRule="auto"/>
        <w:jc w:val="both"/>
        <w:rPr>
          <w:rFonts w:cs="FrankRuehl"/>
          <w:b/>
          <w:bCs/>
          <w:sz w:val="26"/>
          <w:szCs w:val="26"/>
          <w:u w:val="single"/>
          <w:rtl/>
        </w:rPr>
      </w:pPr>
      <w:r w:rsidRPr="00C0712C">
        <w:rPr>
          <w:rFonts w:cs="FrankRuehl" w:hint="cs"/>
          <w:b/>
          <w:bCs/>
          <w:sz w:val="26"/>
          <w:szCs w:val="26"/>
          <w:u w:val="single"/>
          <w:rtl/>
        </w:rPr>
        <w:t>2015\</w:t>
      </w:r>
      <w:r>
        <w:rPr>
          <w:rFonts w:cs="FrankRuehl" w:hint="cs"/>
          <w:b/>
          <w:bCs/>
          <w:sz w:val="26"/>
          <w:szCs w:val="26"/>
          <w:u w:val="single"/>
          <w:rtl/>
        </w:rPr>
        <w:t>10</w:t>
      </w:r>
      <w:r w:rsidRPr="00C0712C">
        <w:rPr>
          <w:rFonts w:cs="FrankRuehl" w:hint="cs"/>
          <w:b/>
          <w:bCs/>
          <w:sz w:val="26"/>
          <w:szCs w:val="26"/>
          <w:u w:val="single"/>
          <w:rtl/>
        </w:rPr>
        <w:t>\</w:t>
      </w:r>
      <w:r>
        <w:rPr>
          <w:rFonts w:cs="FrankRuehl" w:hint="cs"/>
          <w:b/>
          <w:bCs/>
          <w:sz w:val="26"/>
          <w:szCs w:val="26"/>
          <w:u w:val="single"/>
          <w:rtl/>
        </w:rPr>
        <w:t>18</w:t>
      </w:r>
      <w:r w:rsidRPr="00C0712C">
        <w:rPr>
          <w:rFonts w:cs="FrankRuehl" w:hint="cs"/>
          <w:b/>
          <w:bCs/>
          <w:sz w:val="26"/>
          <w:szCs w:val="26"/>
          <w:u w:val="single"/>
          <w:rtl/>
        </w:rPr>
        <w:t>:</w:t>
      </w:r>
    </w:p>
    <w:p w:rsidR="00FD15F5" w:rsidRPr="00C0712C" w:rsidRDefault="00FD15F5" w:rsidP="00FD15F5">
      <w:pPr>
        <w:spacing w:line="360" w:lineRule="auto"/>
        <w:jc w:val="both"/>
        <w:rPr>
          <w:rFonts w:cs="FrankRuehl"/>
          <w:sz w:val="26"/>
          <w:szCs w:val="26"/>
          <w:u w:val="single"/>
          <w:rtl/>
        </w:rPr>
      </w:pPr>
      <w:r w:rsidRPr="00C0712C">
        <w:rPr>
          <w:rFonts w:cs="FrankRuehl" w:hint="cs"/>
          <w:sz w:val="26"/>
          <w:szCs w:val="26"/>
          <w:u w:val="single"/>
          <w:rtl/>
        </w:rPr>
        <w:t>חברי הוועדה המשתתפים:</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מר דרור שטרום, יושב ראש הוועדה</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פרופ', אבי בן בסט, האוניברסיטה העברית והמכללה למנהל</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ד"ר נדין בודו-טרכטנברג, המשנה לנגידת בנק ישראל, בנק ישראל</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פרופ' נתן זוסמן, ראש חטיבת המחקר, בנק ישראל</w:t>
      </w:r>
    </w:p>
    <w:p w:rsidR="00FD15F5" w:rsidRDefault="00FD15F5" w:rsidP="00FD15F5">
      <w:pPr>
        <w:spacing w:line="360" w:lineRule="auto"/>
        <w:jc w:val="both"/>
        <w:rPr>
          <w:rFonts w:cs="FrankRuehl"/>
          <w:sz w:val="26"/>
          <w:szCs w:val="26"/>
          <w:rtl/>
        </w:rPr>
      </w:pPr>
      <w:r w:rsidRPr="00C0712C">
        <w:rPr>
          <w:rFonts w:cs="FrankRuehl" w:hint="cs"/>
          <w:sz w:val="26"/>
          <w:szCs w:val="26"/>
          <w:rtl/>
        </w:rPr>
        <w:t>גב' יעל מבורך, סגנית הממונה על התקציבים</w:t>
      </w:r>
    </w:p>
    <w:p w:rsidR="00B059B6" w:rsidRPr="00C0712C" w:rsidRDefault="00B059B6" w:rsidP="00FD15F5">
      <w:pPr>
        <w:spacing w:line="360" w:lineRule="auto"/>
        <w:jc w:val="both"/>
        <w:rPr>
          <w:rFonts w:cs="FrankRuehl"/>
          <w:sz w:val="26"/>
          <w:szCs w:val="26"/>
          <w:rtl/>
        </w:rPr>
      </w:pPr>
      <w:r>
        <w:rPr>
          <w:rFonts w:cs="FrankRuehl" w:hint="cs"/>
          <w:sz w:val="26"/>
          <w:szCs w:val="26"/>
          <w:rtl/>
        </w:rPr>
        <w:t xml:space="preserve">עו"ד ארץ </w:t>
      </w:r>
      <w:proofErr w:type="spellStart"/>
      <w:r>
        <w:rPr>
          <w:rFonts w:cs="FrankRuehl" w:hint="cs"/>
          <w:sz w:val="26"/>
          <w:szCs w:val="26"/>
          <w:rtl/>
        </w:rPr>
        <w:t>קמינץ</w:t>
      </w:r>
      <w:proofErr w:type="spellEnd"/>
      <w:r>
        <w:rPr>
          <w:rFonts w:cs="FrankRuehl" w:hint="cs"/>
          <w:sz w:val="26"/>
          <w:szCs w:val="26"/>
          <w:rtl/>
        </w:rPr>
        <w:t>, משנה ליועמ"ש, משרד המשפטים</w:t>
      </w:r>
    </w:p>
    <w:p w:rsidR="00FD15F5" w:rsidRPr="00C0712C" w:rsidRDefault="00E82EE4" w:rsidP="00E82EE4">
      <w:pPr>
        <w:spacing w:line="360" w:lineRule="auto"/>
        <w:jc w:val="both"/>
        <w:rPr>
          <w:rFonts w:cs="FrankRuehl"/>
          <w:sz w:val="26"/>
          <w:szCs w:val="26"/>
          <w:rtl/>
        </w:rPr>
      </w:pPr>
      <w:r>
        <w:rPr>
          <w:rFonts w:cs="FrankRuehl" w:hint="cs"/>
          <w:sz w:val="26"/>
          <w:szCs w:val="26"/>
          <w:rtl/>
        </w:rPr>
        <w:t xml:space="preserve">ד"ר </w:t>
      </w:r>
      <w:r w:rsidRPr="00C0712C">
        <w:rPr>
          <w:rFonts w:cs="FrankRuehl" w:hint="cs"/>
          <w:sz w:val="26"/>
          <w:szCs w:val="26"/>
          <w:rtl/>
        </w:rPr>
        <w:t>אסף אילת, הרשות להגבלים עסקיים</w:t>
      </w:r>
    </w:p>
    <w:p w:rsidR="00FD15F5" w:rsidRPr="00C0712C" w:rsidRDefault="00FD15F5" w:rsidP="00FD15F5">
      <w:pPr>
        <w:spacing w:line="360" w:lineRule="auto"/>
        <w:jc w:val="both"/>
        <w:rPr>
          <w:rFonts w:cs="FrankRuehl"/>
          <w:sz w:val="26"/>
          <w:szCs w:val="26"/>
          <w:u w:val="single"/>
          <w:rtl/>
        </w:rPr>
      </w:pPr>
      <w:r w:rsidRPr="00C0712C">
        <w:rPr>
          <w:rFonts w:cs="FrankRuehl" w:hint="cs"/>
          <w:sz w:val="26"/>
          <w:szCs w:val="26"/>
          <w:u w:val="single"/>
          <w:rtl/>
        </w:rPr>
        <w:t>נציגים:</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יואל בריס, משרד האוצר</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יואב גפני, משרד האוצר</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יונתן בר סימן טוב, משרד האוצר</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כפיר בטט, משרד האוצר</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ברוך לוברט, משרד האוצר</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רויטל קיסר, בנק ישראל</w:t>
      </w:r>
    </w:p>
    <w:p w:rsidR="00FD15F5" w:rsidRDefault="00FD15F5" w:rsidP="00FD15F5">
      <w:pPr>
        <w:spacing w:line="360" w:lineRule="auto"/>
        <w:jc w:val="both"/>
        <w:rPr>
          <w:rFonts w:cs="FrankRuehl"/>
          <w:sz w:val="26"/>
          <w:szCs w:val="26"/>
          <w:rtl/>
        </w:rPr>
      </w:pPr>
      <w:r w:rsidRPr="00C0712C">
        <w:rPr>
          <w:rFonts w:cs="FrankRuehl" w:hint="cs"/>
          <w:sz w:val="26"/>
          <w:szCs w:val="26"/>
          <w:rtl/>
        </w:rPr>
        <w:t xml:space="preserve">מיקי </w:t>
      </w:r>
      <w:proofErr w:type="spellStart"/>
      <w:r w:rsidRPr="00C0712C">
        <w:rPr>
          <w:rFonts w:cs="FrankRuehl" w:hint="cs"/>
          <w:sz w:val="26"/>
          <w:szCs w:val="26"/>
          <w:rtl/>
        </w:rPr>
        <w:t>קהן</w:t>
      </w:r>
      <w:proofErr w:type="spellEnd"/>
      <w:r w:rsidRPr="00C0712C">
        <w:rPr>
          <w:rFonts w:cs="FrankRuehl" w:hint="cs"/>
          <w:sz w:val="26"/>
          <w:szCs w:val="26"/>
          <w:rtl/>
        </w:rPr>
        <w:t>, בנק ישראל</w:t>
      </w:r>
    </w:p>
    <w:p w:rsidR="00621494" w:rsidRPr="00C0712C" w:rsidRDefault="00621494" w:rsidP="00FD15F5">
      <w:pPr>
        <w:spacing w:line="360" w:lineRule="auto"/>
        <w:jc w:val="both"/>
        <w:rPr>
          <w:rFonts w:cs="FrankRuehl"/>
          <w:sz w:val="26"/>
          <w:szCs w:val="26"/>
          <w:rtl/>
        </w:rPr>
      </w:pPr>
      <w:r>
        <w:rPr>
          <w:rFonts w:cs="FrankRuehl" w:hint="cs"/>
          <w:sz w:val="26"/>
          <w:szCs w:val="26"/>
          <w:rtl/>
        </w:rPr>
        <w:t>סטיב לב, בנק ישראל</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דנה הלר, הרשות להגבלים עסקיים</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אורי שרף, הרשות להגבלים עסקיים</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אלעד מקדסי, הרשות להגבלים עסקיים</w:t>
      </w:r>
    </w:p>
    <w:p w:rsidR="00FD15F5" w:rsidRPr="00C0712C" w:rsidRDefault="00FD15F5" w:rsidP="00FD15F5">
      <w:pPr>
        <w:spacing w:line="360" w:lineRule="auto"/>
        <w:jc w:val="both"/>
        <w:rPr>
          <w:rFonts w:cs="FrankRuehl"/>
          <w:sz w:val="26"/>
          <w:szCs w:val="26"/>
          <w:rtl/>
        </w:rPr>
      </w:pPr>
      <w:r w:rsidRPr="00C0712C">
        <w:rPr>
          <w:rFonts w:cs="FrankRuehl" w:hint="cs"/>
          <w:sz w:val="26"/>
          <w:szCs w:val="26"/>
          <w:rtl/>
        </w:rPr>
        <w:t>יעל רגב, משרד האוצר</w:t>
      </w:r>
    </w:p>
    <w:p w:rsidR="00FD15F5" w:rsidRDefault="00FD15F5" w:rsidP="00FD15F5">
      <w:pPr>
        <w:spacing w:line="360" w:lineRule="auto"/>
        <w:jc w:val="both"/>
        <w:rPr>
          <w:rFonts w:cs="FrankRuehl"/>
          <w:sz w:val="26"/>
          <w:szCs w:val="26"/>
          <w:rtl/>
        </w:rPr>
      </w:pPr>
      <w:r w:rsidRPr="00C0712C">
        <w:rPr>
          <w:rFonts w:cs="FrankRuehl" w:hint="cs"/>
          <w:sz w:val="26"/>
          <w:szCs w:val="26"/>
          <w:rtl/>
        </w:rPr>
        <w:lastRenderedPageBreak/>
        <w:t xml:space="preserve">ליאור </w:t>
      </w:r>
      <w:proofErr w:type="spellStart"/>
      <w:r w:rsidRPr="00C0712C">
        <w:rPr>
          <w:rFonts w:cs="FrankRuehl" w:hint="cs"/>
          <w:sz w:val="26"/>
          <w:szCs w:val="26"/>
          <w:rtl/>
        </w:rPr>
        <w:t>תבורי</w:t>
      </w:r>
      <w:proofErr w:type="spellEnd"/>
    </w:p>
    <w:p w:rsidR="00B059B6" w:rsidRDefault="00B059B6" w:rsidP="00FD15F5">
      <w:pPr>
        <w:spacing w:line="360" w:lineRule="auto"/>
        <w:jc w:val="both"/>
        <w:rPr>
          <w:rFonts w:cs="FrankRuehl"/>
          <w:sz w:val="26"/>
          <w:szCs w:val="26"/>
          <w:rtl/>
        </w:rPr>
      </w:pPr>
      <w:r>
        <w:rPr>
          <w:rFonts w:cs="FrankRuehl" w:hint="cs"/>
          <w:sz w:val="26"/>
          <w:szCs w:val="26"/>
          <w:rtl/>
        </w:rPr>
        <w:t xml:space="preserve">רוני </w:t>
      </w:r>
      <w:proofErr w:type="spellStart"/>
      <w:r>
        <w:rPr>
          <w:rFonts w:cs="FrankRuehl" w:hint="cs"/>
          <w:sz w:val="26"/>
          <w:szCs w:val="26"/>
          <w:rtl/>
        </w:rPr>
        <w:t>טלמור</w:t>
      </w:r>
      <w:proofErr w:type="spellEnd"/>
      <w:r>
        <w:rPr>
          <w:rFonts w:cs="FrankRuehl" w:hint="cs"/>
          <w:sz w:val="26"/>
          <w:szCs w:val="26"/>
          <w:rtl/>
        </w:rPr>
        <w:t>, משרד המשפטים</w:t>
      </w:r>
    </w:p>
    <w:p w:rsidR="00B059B6" w:rsidRPr="00C0712C" w:rsidRDefault="00B059B6" w:rsidP="00FD15F5">
      <w:pPr>
        <w:spacing w:line="360" w:lineRule="auto"/>
        <w:jc w:val="both"/>
        <w:rPr>
          <w:rFonts w:cs="FrankRuehl"/>
          <w:sz w:val="26"/>
          <w:szCs w:val="26"/>
          <w:rtl/>
        </w:rPr>
      </w:pPr>
      <w:r>
        <w:rPr>
          <w:rFonts w:cs="FrankRuehl" w:hint="cs"/>
          <w:sz w:val="26"/>
          <w:szCs w:val="26"/>
          <w:rtl/>
        </w:rPr>
        <w:t xml:space="preserve">רוני </w:t>
      </w:r>
      <w:proofErr w:type="spellStart"/>
      <w:r>
        <w:rPr>
          <w:rFonts w:cs="FrankRuehl" w:hint="cs"/>
          <w:sz w:val="26"/>
          <w:szCs w:val="26"/>
          <w:rtl/>
        </w:rPr>
        <w:t>נויבאר</w:t>
      </w:r>
      <w:proofErr w:type="spellEnd"/>
      <w:r>
        <w:rPr>
          <w:rFonts w:cs="FrankRuehl" w:hint="cs"/>
          <w:sz w:val="26"/>
          <w:szCs w:val="26"/>
          <w:rtl/>
        </w:rPr>
        <w:t>, משרד המשפטים</w:t>
      </w:r>
    </w:p>
    <w:p w:rsidR="004963F5" w:rsidRDefault="004963F5" w:rsidP="004963F5">
      <w:pPr>
        <w:spacing w:line="360" w:lineRule="auto"/>
        <w:jc w:val="both"/>
        <w:rPr>
          <w:rFonts w:cs="FrankRuehl"/>
          <w:sz w:val="26"/>
          <w:szCs w:val="26"/>
          <w:u w:val="single"/>
          <w:rtl/>
        </w:rPr>
      </w:pPr>
      <w:r w:rsidRPr="00C0712C">
        <w:rPr>
          <w:rFonts w:cs="FrankRuehl" w:hint="cs"/>
          <w:sz w:val="26"/>
          <w:szCs w:val="26"/>
          <w:u w:val="single"/>
          <w:rtl/>
        </w:rPr>
        <w:t>סיכום דיון</w:t>
      </w:r>
    </w:p>
    <w:p w:rsidR="004963F5" w:rsidRDefault="004963F5" w:rsidP="004963F5">
      <w:pPr>
        <w:pStyle w:val="a3"/>
        <w:numPr>
          <w:ilvl w:val="0"/>
          <w:numId w:val="1"/>
        </w:numPr>
        <w:spacing w:line="360" w:lineRule="auto"/>
        <w:jc w:val="both"/>
        <w:rPr>
          <w:rFonts w:cs="FrankRuehl"/>
          <w:sz w:val="26"/>
          <w:szCs w:val="26"/>
        </w:rPr>
      </w:pPr>
      <w:r w:rsidRPr="009A1DE0">
        <w:rPr>
          <w:rFonts w:cs="FrankRuehl" w:hint="cs"/>
          <w:sz w:val="26"/>
          <w:szCs w:val="26"/>
          <w:rtl/>
        </w:rPr>
        <w:t>יו"ר הוועדה, דרור שטר</w:t>
      </w:r>
      <w:r>
        <w:rPr>
          <w:rFonts w:cs="FrankRuehl" w:hint="cs"/>
          <w:sz w:val="26"/>
          <w:szCs w:val="26"/>
          <w:rtl/>
        </w:rPr>
        <w:t>ום פתח את הדיון שהינו המשך דיון בשאלות העיקריות שנותרו להכרעת חברי הוועדה.</w:t>
      </w:r>
    </w:p>
    <w:p w:rsidR="004963F5" w:rsidRDefault="004963F5" w:rsidP="004963F5">
      <w:pPr>
        <w:pStyle w:val="a3"/>
        <w:numPr>
          <w:ilvl w:val="0"/>
          <w:numId w:val="1"/>
        </w:numPr>
        <w:spacing w:line="360" w:lineRule="auto"/>
        <w:jc w:val="both"/>
        <w:rPr>
          <w:rFonts w:cs="FrankRuehl"/>
          <w:sz w:val="26"/>
          <w:szCs w:val="26"/>
        </w:rPr>
      </w:pPr>
      <w:r>
        <w:rPr>
          <w:rFonts w:cs="FrankRuehl" w:hint="cs"/>
          <w:sz w:val="26"/>
          <w:szCs w:val="26"/>
          <w:rtl/>
        </w:rPr>
        <w:t>תחילה הציג יו"ר הוועדה את השאלות העולות בנוגע לפרק שחקנים חדשים ובעיקרו הפרדת חברות כרטיסי האשראי מהבנקים.</w:t>
      </w:r>
    </w:p>
    <w:p w:rsidR="004963F5" w:rsidRDefault="004963F5" w:rsidP="004963F5">
      <w:pPr>
        <w:pStyle w:val="a3"/>
        <w:numPr>
          <w:ilvl w:val="1"/>
          <w:numId w:val="1"/>
        </w:numPr>
        <w:spacing w:line="360" w:lineRule="auto"/>
        <w:jc w:val="both"/>
        <w:rPr>
          <w:rFonts w:cs="FrankRuehl"/>
          <w:sz w:val="26"/>
          <w:szCs w:val="26"/>
        </w:rPr>
      </w:pPr>
      <w:r>
        <w:rPr>
          <w:rFonts w:cs="FrankRuehl" w:hint="cs"/>
          <w:sz w:val="26"/>
          <w:szCs w:val="26"/>
          <w:rtl/>
        </w:rPr>
        <w:t>השאלה הראשונה שעלתה בדיון הינה האם יש להפריד את שלושת חברות כרטיסי האשראי או רק את שתי החברות הנשלטות ע"י שני הבנקים הגדולים.</w:t>
      </w:r>
    </w:p>
    <w:p w:rsidR="004963F5" w:rsidRDefault="004963F5" w:rsidP="004963F5">
      <w:pPr>
        <w:pStyle w:val="a3"/>
        <w:numPr>
          <w:ilvl w:val="2"/>
          <w:numId w:val="1"/>
        </w:numPr>
        <w:spacing w:line="360" w:lineRule="auto"/>
        <w:jc w:val="both"/>
        <w:rPr>
          <w:rFonts w:cs="FrankRuehl"/>
          <w:sz w:val="26"/>
          <w:szCs w:val="26"/>
        </w:rPr>
      </w:pPr>
      <w:r>
        <w:rPr>
          <w:rFonts w:cs="FrankRuehl" w:hint="cs"/>
          <w:sz w:val="26"/>
          <w:szCs w:val="26"/>
          <w:rtl/>
        </w:rPr>
        <w:t>נאמר כי המטרה הסופית הינה הגדלת מספר השחקנים בעלי הפוטנציאל התחרותי ואי לכך יש להפריד את שלושת החברות.</w:t>
      </w:r>
    </w:p>
    <w:p w:rsidR="0028605A" w:rsidRDefault="004963F5" w:rsidP="00F86E07">
      <w:pPr>
        <w:pStyle w:val="a3"/>
        <w:numPr>
          <w:ilvl w:val="2"/>
          <w:numId w:val="1"/>
        </w:numPr>
        <w:spacing w:line="360" w:lineRule="auto"/>
        <w:jc w:val="both"/>
        <w:rPr>
          <w:rFonts w:cs="FrankRuehl"/>
          <w:sz w:val="26"/>
          <w:szCs w:val="26"/>
        </w:rPr>
      </w:pPr>
      <w:r>
        <w:rPr>
          <w:rFonts w:cs="FrankRuehl" w:hint="cs"/>
          <w:sz w:val="26"/>
          <w:szCs w:val="26"/>
          <w:rtl/>
        </w:rPr>
        <w:t xml:space="preserve">כמו כן, נאמר כי אי הפרדת חברת כ.א.ל מבנק דיסקונט הינה חסם להתייעלות של בנק זה הנחשב לבנק הכי </w:t>
      </w:r>
      <w:r w:rsidR="00F86E07">
        <w:rPr>
          <w:rFonts w:cs="FrankRuehl" w:hint="cs"/>
          <w:sz w:val="26"/>
          <w:szCs w:val="26"/>
          <w:rtl/>
        </w:rPr>
        <w:t xml:space="preserve">פחות </w:t>
      </w:r>
      <w:r>
        <w:rPr>
          <w:rFonts w:cs="FrankRuehl" w:hint="cs"/>
          <w:sz w:val="26"/>
          <w:szCs w:val="26"/>
          <w:rtl/>
        </w:rPr>
        <w:t>יעיל במערכת</w:t>
      </w:r>
      <w:r w:rsidR="008B1508">
        <w:rPr>
          <w:rFonts w:cs="FrankRuehl" w:hint="cs"/>
          <w:sz w:val="26"/>
          <w:szCs w:val="26"/>
          <w:rtl/>
        </w:rPr>
        <w:t xml:space="preserve"> וכי לא ברור מהו היתרון באי ההפרדה ומדוע דווקא המשך השליטה בחברת כרטיסי האשראי תגדיל את הפוטנציאל התחרותי של הבנק</w:t>
      </w:r>
      <w:r>
        <w:rPr>
          <w:rFonts w:cs="FrankRuehl" w:hint="cs"/>
          <w:sz w:val="26"/>
          <w:szCs w:val="26"/>
          <w:rtl/>
        </w:rPr>
        <w:t>.</w:t>
      </w:r>
    </w:p>
    <w:p w:rsidR="008C3EDE" w:rsidRDefault="0028605A" w:rsidP="00F41FA9">
      <w:pPr>
        <w:pStyle w:val="a3"/>
        <w:numPr>
          <w:ilvl w:val="2"/>
          <w:numId w:val="1"/>
        </w:numPr>
        <w:spacing w:line="360" w:lineRule="auto"/>
        <w:jc w:val="both"/>
        <w:rPr>
          <w:rFonts w:cs="FrankRuehl"/>
          <w:sz w:val="26"/>
          <w:szCs w:val="26"/>
        </w:rPr>
      </w:pPr>
      <w:r>
        <w:rPr>
          <w:rFonts w:cs="FrankRuehl" w:hint="cs"/>
          <w:sz w:val="26"/>
          <w:szCs w:val="26"/>
          <w:rtl/>
        </w:rPr>
        <w:t>בנוסף</w:t>
      </w:r>
      <w:r w:rsidR="008B1508">
        <w:rPr>
          <w:rFonts w:cs="FrankRuehl" w:hint="cs"/>
          <w:sz w:val="26"/>
          <w:szCs w:val="26"/>
          <w:rtl/>
        </w:rPr>
        <w:t>,</w:t>
      </w:r>
      <w:r>
        <w:rPr>
          <w:rFonts w:cs="FrankRuehl" w:hint="cs"/>
          <w:sz w:val="26"/>
          <w:szCs w:val="26"/>
          <w:rtl/>
        </w:rPr>
        <w:t xml:space="preserve"> נאמר כי חברת כ.א.ל הינה חברת כרטיסי האשראי בעלת פעילות </w:t>
      </w:r>
      <w:r w:rsidR="00F41FA9">
        <w:rPr>
          <w:rFonts w:cs="FrankRuehl" w:hint="cs"/>
          <w:sz w:val="26"/>
          <w:szCs w:val="26"/>
          <w:rtl/>
        </w:rPr>
        <w:t>האשראי הקמעונאי הגדולה ביותר ואי לכך דווקא היא הינה בעלת פוטנציאל גדול לתחרות בשוק האשראי.</w:t>
      </w:r>
    </w:p>
    <w:p w:rsidR="008C3EDE" w:rsidRDefault="008C3EDE" w:rsidP="00A855E5">
      <w:pPr>
        <w:pStyle w:val="a3"/>
        <w:numPr>
          <w:ilvl w:val="2"/>
          <w:numId w:val="1"/>
        </w:numPr>
        <w:spacing w:line="360" w:lineRule="auto"/>
        <w:jc w:val="both"/>
        <w:rPr>
          <w:rFonts w:cs="FrankRuehl"/>
          <w:sz w:val="26"/>
          <w:szCs w:val="26"/>
        </w:rPr>
      </w:pPr>
      <w:r>
        <w:rPr>
          <w:rFonts w:cs="FrankRuehl" w:hint="cs"/>
          <w:sz w:val="26"/>
          <w:szCs w:val="26"/>
          <w:rtl/>
        </w:rPr>
        <w:t xml:space="preserve">מנגד, </w:t>
      </w:r>
      <w:r w:rsidR="00A855E5">
        <w:rPr>
          <w:rFonts w:cs="FrankRuehl" w:hint="cs"/>
          <w:sz w:val="26"/>
          <w:szCs w:val="26"/>
          <w:rtl/>
        </w:rPr>
        <w:t>נטען</w:t>
      </w:r>
      <w:r>
        <w:rPr>
          <w:rFonts w:cs="FrankRuehl" w:hint="cs"/>
          <w:sz w:val="26"/>
          <w:szCs w:val="26"/>
          <w:rtl/>
        </w:rPr>
        <w:t xml:space="preserve"> כי</w:t>
      </w:r>
      <w:r w:rsidR="00A855E5">
        <w:rPr>
          <w:rFonts w:cs="FrankRuehl" w:hint="cs"/>
          <w:sz w:val="26"/>
          <w:szCs w:val="26"/>
          <w:rtl/>
        </w:rPr>
        <w:t xml:space="preserve"> יש</w:t>
      </w:r>
      <w:r>
        <w:rPr>
          <w:rFonts w:cs="FrankRuehl" w:hint="cs"/>
          <w:sz w:val="26"/>
          <w:szCs w:val="26"/>
          <w:rtl/>
        </w:rPr>
        <w:t xml:space="preserve"> לאפשר לבנקים בעלי נתח שוק הקטן מסף מסוים כן להחזיק בחברת כרטיסי אשראי שכן כך תגדל יכולת התחרות שלה אל מול השניים הגדולים.</w:t>
      </w:r>
    </w:p>
    <w:p w:rsidR="008C3EDE" w:rsidRDefault="008C3EDE" w:rsidP="00F41FA9">
      <w:pPr>
        <w:pStyle w:val="a3"/>
        <w:numPr>
          <w:ilvl w:val="2"/>
          <w:numId w:val="1"/>
        </w:numPr>
        <w:spacing w:line="360" w:lineRule="auto"/>
        <w:jc w:val="both"/>
        <w:rPr>
          <w:rFonts w:cs="FrankRuehl"/>
          <w:sz w:val="26"/>
          <w:szCs w:val="26"/>
        </w:rPr>
      </w:pPr>
      <w:r>
        <w:rPr>
          <w:rFonts w:cs="FrankRuehl" w:hint="cs"/>
          <w:sz w:val="26"/>
          <w:szCs w:val="26"/>
          <w:rtl/>
        </w:rPr>
        <w:t>הועלתה הצעה להפריד בשלב ראשוני את שתי חברות כרטיסי האשראי משני הבנקים הגדולים תוך התניית אי מכירת החברה השלישית ביכולת של הבנק המחזיק בה להשיג נתח שוק מסוים (או מדד כמותי אחר)</w:t>
      </w:r>
    </w:p>
    <w:p w:rsidR="008B1508" w:rsidRDefault="008C3EDE" w:rsidP="008B1508">
      <w:pPr>
        <w:pStyle w:val="a3"/>
        <w:numPr>
          <w:ilvl w:val="2"/>
          <w:numId w:val="1"/>
        </w:numPr>
        <w:spacing w:line="360" w:lineRule="auto"/>
        <w:jc w:val="both"/>
        <w:rPr>
          <w:rFonts w:cs="FrankRuehl"/>
          <w:sz w:val="26"/>
          <w:szCs w:val="26"/>
        </w:rPr>
      </w:pPr>
      <w:r>
        <w:rPr>
          <w:rFonts w:cs="FrankRuehl" w:hint="cs"/>
          <w:sz w:val="26"/>
          <w:szCs w:val="26"/>
          <w:rtl/>
        </w:rPr>
        <w:t>נאמר כי היתרון בהתניה שכזו הינה ביצירת קטליזטור לתחרות מצד בנק זה על מנת שיוכל להמשיך ולהחזיק בחברת כרטיסי האשראי וכך להשפיע על הדינמיקה התחרותית של השוק כולו.</w:t>
      </w:r>
      <w:r w:rsidR="008B1508">
        <w:rPr>
          <w:rFonts w:cs="FrankRuehl" w:hint="cs"/>
          <w:sz w:val="26"/>
          <w:szCs w:val="26"/>
          <w:rtl/>
        </w:rPr>
        <w:t xml:space="preserve"> נאמר כי יש משמעות רבה להשפעה זו על הדינמיקה התחרותית גם אם המבחן להשגת היעד הנדרש קטום בטווח זמן קצר יחסית.</w:t>
      </w:r>
    </w:p>
    <w:p w:rsidR="00A855E5" w:rsidRDefault="00A855E5" w:rsidP="00994CA2">
      <w:pPr>
        <w:pStyle w:val="a3"/>
        <w:numPr>
          <w:ilvl w:val="2"/>
          <w:numId w:val="1"/>
        </w:numPr>
        <w:spacing w:line="360" w:lineRule="auto"/>
        <w:jc w:val="both"/>
        <w:rPr>
          <w:rFonts w:cs="FrankRuehl"/>
          <w:sz w:val="26"/>
          <w:szCs w:val="26"/>
        </w:rPr>
      </w:pPr>
      <w:r>
        <w:rPr>
          <w:rFonts w:cs="FrankRuehl" w:hint="cs"/>
          <w:sz w:val="26"/>
          <w:szCs w:val="26"/>
          <w:rtl/>
        </w:rPr>
        <w:t>מנגד, יש הטענו כי לא ניתן למדוד תחרות כאמור.</w:t>
      </w:r>
      <w:r w:rsidR="00DE2162">
        <w:rPr>
          <w:rFonts w:cs="FrankRuehl" w:hint="cs"/>
          <w:sz w:val="26"/>
          <w:szCs w:val="26"/>
          <w:rtl/>
        </w:rPr>
        <w:t xml:space="preserve"> יש להבין היטב את משמעות מתן יעדים עסקיים לבנק והסיכון שבכך. בנוסף, תתכן תחרות מלאה  עם ירידה בריביות ללא שינוי בכמויות ומנגד יתכן שהאשראי יוסט </w:t>
      </w:r>
      <w:r w:rsidR="00DE2162">
        <w:rPr>
          <w:rFonts w:cs="FrankRuehl" w:hint="cs"/>
          <w:sz w:val="26"/>
          <w:szCs w:val="26"/>
          <w:rtl/>
        </w:rPr>
        <w:lastRenderedPageBreak/>
        <w:t xml:space="preserve">לגופים לא מסוכנים כדי להציג ירידה בריביות. </w:t>
      </w:r>
      <w:r w:rsidR="00994CA2">
        <w:rPr>
          <w:rFonts w:cs="FrankRuehl" w:hint="cs"/>
          <w:sz w:val="26"/>
          <w:szCs w:val="26"/>
          <w:rtl/>
        </w:rPr>
        <w:t>מעבר לכך</w:t>
      </w:r>
      <w:r w:rsidR="00994CA2">
        <w:rPr>
          <w:rFonts w:cs="FrankRuehl" w:hint="cs"/>
          <w:sz w:val="26"/>
          <w:szCs w:val="26"/>
          <w:rtl/>
        </w:rPr>
        <w:t>, נאמר כי יש חשש מ</w:t>
      </w:r>
      <w:r w:rsidR="00994CA2">
        <w:rPr>
          <w:rFonts w:cs="FrankRuehl" w:hint="cs"/>
          <w:sz w:val="26"/>
          <w:szCs w:val="26"/>
          <w:rtl/>
        </w:rPr>
        <w:t>התנ</w:t>
      </w:r>
      <w:r w:rsidR="00994CA2">
        <w:rPr>
          <w:rFonts w:cs="FrankRuehl" w:hint="cs"/>
          <w:sz w:val="26"/>
          <w:szCs w:val="26"/>
          <w:rtl/>
        </w:rPr>
        <w:t>י</w:t>
      </w:r>
      <w:r w:rsidR="00994CA2">
        <w:rPr>
          <w:rFonts w:cs="FrankRuehl" w:hint="cs"/>
          <w:sz w:val="26"/>
          <w:szCs w:val="26"/>
          <w:rtl/>
        </w:rPr>
        <w:t xml:space="preserve">ית המכירה בדחיפת </w:t>
      </w:r>
      <w:proofErr w:type="spellStart"/>
      <w:r w:rsidR="00994CA2">
        <w:rPr>
          <w:rFonts w:cs="FrankRuehl" w:hint="cs"/>
          <w:sz w:val="26"/>
          <w:szCs w:val="26"/>
          <w:rtl/>
        </w:rPr>
        <w:t>חכ"א</w:t>
      </w:r>
      <w:proofErr w:type="spellEnd"/>
      <w:r w:rsidR="00994CA2">
        <w:rPr>
          <w:rFonts w:cs="FrankRuehl" w:hint="cs"/>
          <w:sz w:val="26"/>
          <w:szCs w:val="26"/>
          <w:rtl/>
        </w:rPr>
        <w:t xml:space="preserve"> לפעילות מואצת/ גידול באשראי. </w:t>
      </w:r>
      <w:r w:rsidR="00DE2162" w:rsidRPr="008D5CCD">
        <w:rPr>
          <w:rFonts w:cs="FrankRuehl" w:hint="cs"/>
          <w:sz w:val="26"/>
          <w:szCs w:val="26"/>
          <w:rtl/>
        </w:rPr>
        <w:t xml:space="preserve"> </w:t>
      </w:r>
    </w:p>
    <w:p w:rsidR="00DE2162" w:rsidRDefault="00DE2162" w:rsidP="00DE2162">
      <w:pPr>
        <w:pStyle w:val="a3"/>
        <w:numPr>
          <w:ilvl w:val="2"/>
          <w:numId w:val="1"/>
        </w:numPr>
        <w:spacing w:line="360" w:lineRule="auto"/>
        <w:jc w:val="both"/>
        <w:rPr>
          <w:rFonts w:cs="FrankRuehl"/>
          <w:sz w:val="26"/>
          <w:szCs w:val="26"/>
        </w:rPr>
      </w:pPr>
      <w:r>
        <w:rPr>
          <w:rFonts w:cs="FrankRuehl" w:hint="cs"/>
          <w:sz w:val="26"/>
          <w:szCs w:val="26"/>
          <w:rtl/>
        </w:rPr>
        <w:t xml:space="preserve">הוצגה השאלה המשפטית באשר להצדקה להפרדה, 2 או 3 </w:t>
      </w:r>
      <w:r>
        <w:rPr>
          <w:rFonts w:cs="FrankRuehl"/>
          <w:sz w:val="26"/>
          <w:szCs w:val="26"/>
          <w:rtl/>
        </w:rPr>
        <w:t>–</w:t>
      </w:r>
      <w:r>
        <w:rPr>
          <w:rFonts w:cs="FrankRuehl" w:hint="cs"/>
          <w:sz w:val="26"/>
          <w:szCs w:val="26"/>
          <w:rtl/>
        </w:rPr>
        <w:t xml:space="preserve"> האם יש הצדקות מספקות לצעד זה.</w:t>
      </w:r>
    </w:p>
    <w:p w:rsidR="00AC6A8E" w:rsidRDefault="00AC6A8E" w:rsidP="00F41FA9">
      <w:pPr>
        <w:pStyle w:val="a3"/>
        <w:numPr>
          <w:ilvl w:val="2"/>
          <w:numId w:val="1"/>
        </w:numPr>
        <w:spacing w:line="360" w:lineRule="auto"/>
        <w:jc w:val="both"/>
        <w:rPr>
          <w:rFonts w:cs="FrankRuehl"/>
          <w:sz w:val="26"/>
          <w:szCs w:val="26"/>
        </w:rPr>
      </w:pPr>
      <w:r>
        <w:rPr>
          <w:rFonts w:cs="FrankRuehl" w:hint="cs"/>
          <w:sz w:val="26"/>
          <w:szCs w:val="26"/>
          <w:rtl/>
        </w:rPr>
        <w:t xml:space="preserve">יו"ר הוועדה סיכם כי הוא רואה בעיניו שתי אופציות ממשיות </w:t>
      </w:r>
      <w:r>
        <w:rPr>
          <w:rFonts w:cs="FrankRuehl"/>
          <w:sz w:val="26"/>
          <w:szCs w:val="26"/>
          <w:rtl/>
        </w:rPr>
        <w:t>–</w:t>
      </w:r>
      <w:r>
        <w:rPr>
          <w:rFonts w:cs="FrankRuehl" w:hint="cs"/>
          <w:sz w:val="26"/>
          <w:szCs w:val="26"/>
          <w:rtl/>
        </w:rPr>
        <w:t xml:space="preserve"> הפרדה של כולן כיום או הפרדה של שתיים </w:t>
      </w:r>
      <w:r w:rsidR="00F86E07">
        <w:rPr>
          <w:rFonts w:cs="FrankRuehl" w:hint="cs"/>
          <w:sz w:val="26"/>
          <w:szCs w:val="26"/>
          <w:rtl/>
        </w:rPr>
        <w:t>ע</w:t>
      </w:r>
      <w:r>
        <w:rPr>
          <w:rFonts w:cs="FrankRuehl" w:hint="cs"/>
          <w:sz w:val="26"/>
          <w:szCs w:val="26"/>
          <w:rtl/>
        </w:rPr>
        <w:t>ם התניה לאי הפרדת החברה השלישית.</w:t>
      </w:r>
    </w:p>
    <w:p w:rsidR="00A855E5" w:rsidRDefault="00A855E5" w:rsidP="00F41FA9">
      <w:pPr>
        <w:pStyle w:val="a3"/>
        <w:numPr>
          <w:ilvl w:val="2"/>
          <w:numId w:val="1"/>
        </w:numPr>
        <w:spacing w:line="360" w:lineRule="auto"/>
        <w:jc w:val="both"/>
        <w:rPr>
          <w:rFonts w:cs="FrankRuehl"/>
          <w:sz w:val="26"/>
          <w:szCs w:val="26"/>
        </w:rPr>
      </w:pPr>
      <w:r>
        <w:rPr>
          <w:rFonts w:cs="FrankRuehl" w:hint="cs"/>
          <w:sz w:val="26"/>
          <w:szCs w:val="26"/>
          <w:rtl/>
        </w:rPr>
        <w:t>הוצגה חלופה שלישית לפיה תבוצע הפרדה של שתי חברות כרטיסי אשראי בלבד, ללא פרמטרים ותנאים.</w:t>
      </w:r>
    </w:p>
    <w:p w:rsidR="00D90E8C" w:rsidRDefault="00D90E8C" w:rsidP="00AC6A8E">
      <w:pPr>
        <w:pStyle w:val="a3"/>
        <w:numPr>
          <w:ilvl w:val="1"/>
          <w:numId w:val="1"/>
        </w:numPr>
        <w:spacing w:line="360" w:lineRule="auto"/>
        <w:jc w:val="both"/>
        <w:rPr>
          <w:rFonts w:cs="FrankRuehl"/>
          <w:sz w:val="26"/>
          <w:szCs w:val="26"/>
        </w:rPr>
      </w:pPr>
      <w:r>
        <w:rPr>
          <w:rFonts w:cs="FrankRuehl" w:hint="cs"/>
          <w:sz w:val="26"/>
          <w:szCs w:val="26"/>
          <w:rtl/>
        </w:rPr>
        <w:t>השאלה השנייה שעלתה הינה הנגישות למידע של חברות כרטיסי האשראי.</w:t>
      </w:r>
    </w:p>
    <w:p w:rsidR="004963F5" w:rsidRDefault="00D90E8C" w:rsidP="00D90E8C">
      <w:pPr>
        <w:pStyle w:val="a3"/>
        <w:numPr>
          <w:ilvl w:val="2"/>
          <w:numId w:val="1"/>
        </w:numPr>
        <w:spacing w:line="360" w:lineRule="auto"/>
        <w:jc w:val="both"/>
        <w:rPr>
          <w:rFonts w:cs="FrankRuehl"/>
          <w:sz w:val="26"/>
          <w:szCs w:val="26"/>
        </w:rPr>
      </w:pPr>
      <w:r>
        <w:rPr>
          <w:rFonts w:cs="FrankRuehl" w:hint="cs"/>
          <w:sz w:val="26"/>
          <w:szCs w:val="26"/>
          <w:rtl/>
        </w:rPr>
        <w:t>צוין ההבדל בין מידע הסליקה, אשר קיים אצל חברות כרטיסי האשראי מתוקף היותן סולקות בבתי העסק למידע אשר נמצא אצלן מתוקף היותן מתפעלות ההנפקה של הבנקים. נאמר כי המידע מתוקף היותן מתפעלות שייך למנפיק.</w:t>
      </w:r>
      <w:r w:rsidR="008C3EDE">
        <w:rPr>
          <w:rFonts w:cs="FrankRuehl" w:hint="cs"/>
          <w:sz w:val="26"/>
          <w:szCs w:val="26"/>
          <w:rtl/>
        </w:rPr>
        <w:t xml:space="preserve">   </w:t>
      </w:r>
    </w:p>
    <w:p w:rsidR="00D90E8C" w:rsidRDefault="002831E0" w:rsidP="00D90E8C">
      <w:pPr>
        <w:pStyle w:val="a3"/>
        <w:numPr>
          <w:ilvl w:val="2"/>
          <w:numId w:val="1"/>
        </w:numPr>
        <w:spacing w:line="360" w:lineRule="auto"/>
        <w:jc w:val="both"/>
        <w:rPr>
          <w:rFonts w:cs="FrankRuehl"/>
          <w:sz w:val="26"/>
          <w:szCs w:val="26"/>
        </w:rPr>
      </w:pPr>
      <w:r>
        <w:rPr>
          <w:rFonts w:cs="FrankRuehl" w:hint="cs"/>
          <w:sz w:val="26"/>
          <w:szCs w:val="26"/>
          <w:rtl/>
        </w:rPr>
        <w:t>נשאל האם ישנה אפשרות לאח</w:t>
      </w:r>
      <w:r w:rsidR="00F86E07">
        <w:rPr>
          <w:rFonts w:cs="FrankRuehl" w:hint="cs"/>
          <w:sz w:val="26"/>
          <w:szCs w:val="26"/>
          <w:rtl/>
        </w:rPr>
        <w:t>ד</w:t>
      </w:r>
      <w:r>
        <w:rPr>
          <w:rFonts w:cs="FrankRuehl" w:hint="cs"/>
          <w:sz w:val="26"/>
          <w:szCs w:val="26"/>
          <w:rtl/>
        </w:rPr>
        <w:t xml:space="preserve"> את המידע מכלל הסולקים על מנת שחברות כרטיסי האשראי יוכלו לקבל תמונת מצב מלאה על פעולות הצרכן. לגבי סוגיה זו נאמר כי ישנו קושי משפטי במתן אפשרות לפתיחת הנגישות למידע של סולק אחד לכלל הסולקים.</w:t>
      </w:r>
    </w:p>
    <w:p w:rsidR="002831E0" w:rsidRDefault="002831E0" w:rsidP="00D90E8C">
      <w:pPr>
        <w:pStyle w:val="a3"/>
        <w:numPr>
          <w:ilvl w:val="2"/>
          <w:numId w:val="1"/>
        </w:numPr>
        <w:spacing w:line="360" w:lineRule="auto"/>
        <w:jc w:val="both"/>
        <w:rPr>
          <w:rFonts w:cs="FrankRuehl"/>
          <w:sz w:val="26"/>
          <w:szCs w:val="26"/>
        </w:rPr>
      </w:pPr>
      <w:r>
        <w:rPr>
          <w:rFonts w:cs="FrankRuehl" w:hint="cs"/>
          <w:sz w:val="26"/>
          <w:szCs w:val="26"/>
          <w:rtl/>
        </w:rPr>
        <w:t xml:space="preserve">בקונצנזוס מלא של חברי הוועדה הוסכם כי, בכפוף לבדיקה משפטית, לאחר הפרדת חברות כרטיסי האשראי, כלל המידע, הן המידע המתקבל מסליקה והן המידע המתקבל בכובע ההנפקה, יועבר ויועמד לרשות חברות כרטיסי </w:t>
      </w:r>
      <w:bookmarkStart w:id="0" w:name="_GoBack"/>
      <w:bookmarkEnd w:id="0"/>
      <w:r>
        <w:rPr>
          <w:rFonts w:cs="FrankRuehl" w:hint="cs"/>
          <w:sz w:val="26"/>
          <w:szCs w:val="26"/>
          <w:rtl/>
        </w:rPr>
        <w:t>האשראי לשימושים שונים.</w:t>
      </w:r>
    </w:p>
    <w:p w:rsidR="002831E0" w:rsidRDefault="002831E0" w:rsidP="002831E0">
      <w:pPr>
        <w:pStyle w:val="a3"/>
        <w:numPr>
          <w:ilvl w:val="1"/>
          <w:numId w:val="1"/>
        </w:numPr>
        <w:spacing w:line="360" w:lineRule="auto"/>
        <w:jc w:val="both"/>
        <w:rPr>
          <w:rFonts w:cs="FrankRuehl"/>
          <w:sz w:val="26"/>
          <w:szCs w:val="26"/>
        </w:rPr>
      </w:pPr>
      <w:r>
        <w:rPr>
          <w:rFonts w:cs="FrankRuehl" w:hint="cs"/>
          <w:sz w:val="26"/>
          <w:szCs w:val="26"/>
          <w:rtl/>
        </w:rPr>
        <w:t xml:space="preserve">השאלה השלישית שהועלתה הינה </w:t>
      </w:r>
      <w:r w:rsidR="00FF154E">
        <w:rPr>
          <w:rFonts w:cs="FrankRuehl" w:hint="cs"/>
          <w:sz w:val="26"/>
          <w:szCs w:val="26"/>
          <w:rtl/>
        </w:rPr>
        <w:t>לגבי האפשרות של הבנקים להנפיק כרטיסי אשראי, דביט וחיוב נדחה ביום לאחר ההפרדה</w:t>
      </w:r>
    </w:p>
    <w:p w:rsidR="00FF154E" w:rsidRDefault="00FF154E" w:rsidP="00FF154E">
      <w:pPr>
        <w:pStyle w:val="a3"/>
        <w:numPr>
          <w:ilvl w:val="2"/>
          <w:numId w:val="1"/>
        </w:numPr>
        <w:spacing w:line="360" w:lineRule="auto"/>
        <w:jc w:val="both"/>
        <w:rPr>
          <w:rFonts w:cs="FrankRuehl"/>
          <w:sz w:val="26"/>
          <w:szCs w:val="26"/>
        </w:rPr>
      </w:pPr>
      <w:r>
        <w:rPr>
          <w:rFonts w:cs="FrankRuehl" w:hint="cs"/>
          <w:sz w:val="26"/>
          <w:szCs w:val="26"/>
          <w:rtl/>
        </w:rPr>
        <w:t xml:space="preserve">העמדה שהוצגה והוסכמה על רוב חברי הוועדה הינה שהבנקים יוכלו להנפיק כרטיסי דביט בלבד מבלי לגרוע באפשרותם להעניק מסגרות אשראי בחשבון אשר יוכל להיות מנוצל באמצעות כרטיס הדביט. צוין כי ישנה חשיבות לאפשר לחברות כרטיסי האשראי בלבד להעניק אשראי על גבי הכרטיס, בין אם באמצעות חיוב נדחה ובין אם באמצעות אשראי מתגלגל (קרדיט) וזאת בכדי להעניק להם פוטנציאל תחרותי ממשי אל מול הבנקים. </w:t>
      </w:r>
    </w:p>
    <w:p w:rsidR="00FF154E" w:rsidRDefault="00FF154E" w:rsidP="00FF154E">
      <w:pPr>
        <w:pStyle w:val="a3"/>
        <w:numPr>
          <w:ilvl w:val="2"/>
          <w:numId w:val="1"/>
        </w:numPr>
        <w:spacing w:line="360" w:lineRule="auto"/>
        <w:jc w:val="both"/>
        <w:rPr>
          <w:rFonts w:cs="FrankRuehl"/>
          <w:sz w:val="26"/>
          <w:szCs w:val="26"/>
        </w:rPr>
      </w:pPr>
      <w:r>
        <w:rPr>
          <w:rFonts w:cs="FrankRuehl" w:hint="cs"/>
          <w:sz w:val="26"/>
          <w:szCs w:val="26"/>
          <w:rtl/>
        </w:rPr>
        <w:t>נאמר כי במידה ולא תיאסר על הבנקים האפשרות להנפקת כרטיס אשראי (להבדיל מכרטיס חיוב, קרי דביט) אין ממש ברפורמת ההפרדה ולא תושג תחרות ממשית בתחום האשראי מצד חברות כרטיסי האשראי העצמאיות.</w:t>
      </w:r>
    </w:p>
    <w:p w:rsidR="00FF154E" w:rsidRDefault="00016A01" w:rsidP="00FF154E">
      <w:pPr>
        <w:pStyle w:val="a3"/>
        <w:numPr>
          <w:ilvl w:val="2"/>
          <w:numId w:val="1"/>
        </w:numPr>
        <w:spacing w:line="360" w:lineRule="auto"/>
        <w:jc w:val="both"/>
        <w:rPr>
          <w:rFonts w:cs="FrankRuehl"/>
          <w:sz w:val="26"/>
          <w:szCs w:val="26"/>
        </w:rPr>
      </w:pPr>
      <w:r>
        <w:rPr>
          <w:rFonts w:cs="FrankRuehl" w:hint="cs"/>
          <w:sz w:val="26"/>
          <w:szCs w:val="26"/>
          <w:rtl/>
        </w:rPr>
        <w:t>מנגד הושמעה ה</w:t>
      </w:r>
      <w:r w:rsidR="00FF154E">
        <w:rPr>
          <w:rFonts w:cs="FrankRuehl" w:hint="cs"/>
          <w:sz w:val="26"/>
          <w:szCs w:val="26"/>
          <w:rtl/>
        </w:rPr>
        <w:t>טענה כי אין לאסור על הבנקים להנפיק כרטיסי אשראי שכן זהו חלק מפעילות הליבה של הבנק.</w:t>
      </w:r>
    </w:p>
    <w:p w:rsidR="00016A01" w:rsidRDefault="00FF154E" w:rsidP="00DE2162">
      <w:pPr>
        <w:pStyle w:val="a3"/>
        <w:numPr>
          <w:ilvl w:val="2"/>
          <w:numId w:val="1"/>
        </w:numPr>
        <w:spacing w:line="360" w:lineRule="auto"/>
        <w:jc w:val="both"/>
        <w:rPr>
          <w:rFonts w:cs="FrankRuehl"/>
          <w:sz w:val="26"/>
          <w:szCs w:val="26"/>
        </w:rPr>
      </w:pPr>
      <w:r>
        <w:rPr>
          <w:rFonts w:cs="FrankRuehl" w:hint="cs"/>
          <w:sz w:val="26"/>
          <w:szCs w:val="26"/>
          <w:rtl/>
        </w:rPr>
        <w:lastRenderedPageBreak/>
        <w:t xml:space="preserve">נאמר מנגד כי מתן האפשרות לבנקים להעניק מסגרות אשראי אשר יוכלו להיות מנוצלות באמצעות כרטיס הדביט מבטלת את טענת </w:t>
      </w:r>
      <w:r w:rsidR="00DE2162">
        <w:rPr>
          <w:rFonts w:cs="FrankRuehl" w:hint="cs"/>
          <w:sz w:val="26"/>
          <w:szCs w:val="26"/>
          <w:rtl/>
        </w:rPr>
        <w:t>הנגד.</w:t>
      </w:r>
      <w:r w:rsidR="00016A01">
        <w:rPr>
          <w:rFonts w:cs="FrankRuehl" w:hint="cs"/>
          <w:sz w:val="26"/>
          <w:szCs w:val="26"/>
          <w:rtl/>
        </w:rPr>
        <w:t xml:space="preserve"> </w:t>
      </w:r>
    </w:p>
    <w:p w:rsidR="00FF154E" w:rsidRDefault="00016A01" w:rsidP="00FF154E">
      <w:pPr>
        <w:pStyle w:val="a3"/>
        <w:numPr>
          <w:ilvl w:val="2"/>
          <w:numId w:val="1"/>
        </w:numPr>
        <w:spacing w:line="360" w:lineRule="auto"/>
        <w:jc w:val="both"/>
        <w:rPr>
          <w:rFonts w:cs="FrankRuehl"/>
          <w:sz w:val="26"/>
          <w:szCs w:val="26"/>
        </w:rPr>
      </w:pPr>
      <w:r>
        <w:rPr>
          <w:rFonts w:cs="FrankRuehl" w:hint="cs"/>
          <w:sz w:val="26"/>
          <w:szCs w:val="26"/>
          <w:rtl/>
        </w:rPr>
        <w:t>לא הי</w:t>
      </w:r>
      <w:r w:rsidR="002F3920">
        <w:rPr>
          <w:rFonts w:cs="FrankRuehl" w:hint="cs"/>
          <w:sz w:val="26"/>
          <w:szCs w:val="26"/>
          <w:rtl/>
        </w:rPr>
        <w:t>י</w:t>
      </w:r>
      <w:r>
        <w:rPr>
          <w:rFonts w:cs="FrankRuehl" w:hint="cs"/>
          <w:sz w:val="26"/>
          <w:szCs w:val="26"/>
          <w:rtl/>
        </w:rPr>
        <w:t>תה הסכמה בנושא זה על כלל המשתתפים</w:t>
      </w:r>
    </w:p>
    <w:p w:rsidR="00FF154E" w:rsidRDefault="00FF154E" w:rsidP="00FF154E">
      <w:pPr>
        <w:pStyle w:val="a3"/>
        <w:spacing w:line="360" w:lineRule="auto"/>
        <w:ind w:left="2160"/>
        <w:jc w:val="both"/>
        <w:rPr>
          <w:rFonts w:cs="FrankRuehl"/>
          <w:sz w:val="26"/>
          <w:szCs w:val="26"/>
        </w:rPr>
      </w:pPr>
    </w:p>
    <w:p w:rsidR="00FF154E" w:rsidRDefault="00FF154E" w:rsidP="00FF154E">
      <w:pPr>
        <w:pStyle w:val="a3"/>
        <w:numPr>
          <w:ilvl w:val="0"/>
          <w:numId w:val="1"/>
        </w:numPr>
        <w:spacing w:line="360" w:lineRule="auto"/>
        <w:jc w:val="both"/>
        <w:rPr>
          <w:rFonts w:cs="FrankRuehl"/>
          <w:sz w:val="26"/>
          <w:szCs w:val="26"/>
        </w:rPr>
      </w:pPr>
      <w:r>
        <w:rPr>
          <w:rFonts w:cs="FrankRuehl" w:hint="cs"/>
          <w:sz w:val="26"/>
          <w:szCs w:val="26"/>
          <w:rtl/>
        </w:rPr>
        <w:t>יו"ר הוועדה הודה למשתתפים ואמר כי הדיון על הנושאים שבמחלוקת יימשך בישיבה הבאה.</w:t>
      </w:r>
      <w:r w:rsidR="00925EA5">
        <w:rPr>
          <w:rFonts w:cs="FrankRuehl" w:hint="cs"/>
          <w:sz w:val="26"/>
          <w:szCs w:val="26"/>
          <w:rtl/>
        </w:rPr>
        <w:t xml:space="preserve"> </w:t>
      </w:r>
    </w:p>
    <w:p w:rsidR="00FF154E" w:rsidRPr="00FF154E" w:rsidRDefault="00FF154E" w:rsidP="00FF154E">
      <w:pPr>
        <w:spacing w:line="360" w:lineRule="auto"/>
        <w:jc w:val="both"/>
        <w:rPr>
          <w:rFonts w:cs="FrankRuehl"/>
          <w:sz w:val="26"/>
          <w:szCs w:val="26"/>
        </w:rPr>
      </w:pPr>
    </w:p>
    <w:p w:rsidR="00FF154E" w:rsidRPr="00FF154E" w:rsidRDefault="00FF154E" w:rsidP="00FF154E">
      <w:pPr>
        <w:spacing w:line="360" w:lineRule="auto"/>
        <w:jc w:val="both"/>
        <w:rPr>
          <w:rFonts w:cs="FrankRuehl"/>
          <w:sz w:val="26"/>
          <w:szCs w:val="26"/>
        </w:rPr>
      </w:pPr>
    </w:p>
    <w:p w:rsidR="008434D5" w:rsidRPr="004963F5" w:rsidRDefault="008434D5"/>
    <w:sectPr w:rsidR="008434D5" w:rsidRPr="004963F5" w:rsidSect="005A3A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B7761"/>
    <w:multiLevelType w:val="hybridMultilevel"/>
    <w:tmpl w:val="4E6E5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5F5"/>
    <w:rsid w:val="00016A01"/>
    <w:rsid w:val="002831E0"/>
    <w:rsid w:val="0028605A"/>
    <w:rsid w:val="002F3920"/>
    <w:rsid w:val="00331A56"/>
    <w:rsid w:val="004963F5"/>
    <w:rsid w:val="00577B43"/>
    <w:rsid w:val="005A3A54"/>
    <w:rsid w:val="00621494"/>
    <w:rsid w:val="008434D5"/>
    <w:rsid w:val="008B1508"/>
    <w:rsid w:val="008C3EDE"/>
    <w:rsid w:val="00925EA5"/>
    <w:rsid w:val="00994CA2"/>
    <w:rsid w:val="00A855E5"/>
    <w:rsid w:val="00AC6A8E"/>
    <w:rsid w:val="00B059B6"/>
    <w:rsid w:val="00BB40BA"/>
    <w:rsid w:val="00D90E8C"/>
    <w:rsid w:val="00DE2162"/>
    <w:rsid w:val="00E82EE4"/>
    <w:rsid w:val="00F41FA9"/>
    <w:rsid w:val="00F86E07"/>
    <w:rsid w:val="00FD15F5"/>
    <w:rsid w:val="00FF15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5F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63F5"/>
    <w:pPr>
      <w:ind w:left="720"/>
      <w:contextualSpacing/>
    </w:pPr>
  </w:style>
  <w:style w:type="paragraph" w:styleId="a4">
    <w:name w:val="Balloon Text"/>
    <w:basedOn w:val="a"/>
    <w:link w:val="a5"/>
    <w:uiPriority w:val="99"/>
    <w:semiHidden/>
    <w:unhideWhenUsed/>
    <w:rsid w:val="00F86E07"/>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F86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5F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63F5"/>
    <w:pPr>
      <w:ind w:left="720"/>
      <w:contextualSpacing/>
    </w:pPr>
  </w:style>
  <w:style w:type="paragraph" w:styleId="a4">
    <w:name w:val="Balloon Text"/>
    <w:basedOn w:val="a"/>
    <w:link w:val="a5"/>
    <w:uiPriority w:val="99"/>
    <w:semiHidden/>
    <w:unhideWhenUsed/>
    <w:rsid w:val="00F86E07"/>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F86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14</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4F0A1-475A-4AF8-9E9D-8479E1AF9F37}"/>
</file>

<file path=customXml/itemProps2.xml><?xml version="1.0" encoding="utf-8"?>
<ds:datastoreItem xmlns:ds="http://schemas.openxmlformats.org/officeDocument/2006/customXml" ds:itemID="{E0E8FFCC-2EB0-4EFC-8165-B9805A8C8C18}"/>
</file>

<file path=customXml/itemProps3.xml><?xml version="1.0" encoding="utf-8"?>
<ds:datastoreItem xmlns:ds="http://schemas.openxmlformats.org/officeDocument/2006/customXml" ds:itemID="{ADCF7EAD-08D8-4C47-ADE5-86BDD3BBF3B2}"/>
</file>

<file path=docProps/app.xml><?xml version="1.0" encoding="utf-8"?>
<Properties xmlns="http://schemas.openxmlformats.org/officeDocument/2006/extended-properties" xmlns:vt="http://schemas.openxmlformats.org/officeDocument/2006/docPropsVTypes">
  <Template>Normal</Template>
  <TotalTime>102</TotalTime>
  <Pages>4</Pages>
  <Words>742</Words>
  <Characters>3711</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18.10.2015</dc:title>
  <dc:creator>אבי כהן</dc:creator>
  <cp:lastModifiedBy>אבי כהן</cp:lastModifiedBy>
  <cp:revision>11</cp:revision>
  <dcterms:created xsi:type="dcterms:W3CDTF">2015-10-20T14:53:00Z</dcterms:created>
  <dcterms:modified xsi:type="dcterms:W3CDTF">2016-01-05T17:00:00Z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