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25" w:rsidRPr="003F2328" w:rsidRDefault="00CA2C25" w:rsidP="00CA2C25">
      <w:pPr>
        <w:ind w:left="6153"/>
        <w:rPr>
          <w:rFonts w:cs="FrankRuehl"/>
          <w:rtl/>
        </w:rPr>
      </w:pPr>
      <w:r>
        <w:rPr>
          <w:rFonts w:cs="FrankRuehl" w:hint="cs"/>
          <w:rtl/>
        </w:rPr>
        <w:t>ל'</w:t>
      </w:r>
      <w:r w:rsidRPr="003F2328">
        <w:rPr>
          <w:rFonts w:cs="FrankRuehl"/>
          <w:rtl/>
        </w:rPr>
        <w:t xml:space="preserve"> בסיון </w:t>
      </w:r>
      <w:proofErr w:type="spellStart"/>
      <w:r w:rsidRPr="003F2328">
        <w:rPr>
          <w:rFonts w:cs="FrankRuehl"/>
          <w:rtl/>
        </w:rPr>
        <w:t>התשע"ה</w:t>
      </w:r>
      <w:proofErr w:type="spellEnd"/>
      <w:r w:rsidRPr="003F2328">
        <w:rPr>
          <w:rFonts w:cs="FrankRuehl"/>
          <w:rtl/>
        </w:rPr>
        <w:br/>
        <w:t>1</w:t>
      </w:r>
      <w:r>
        <w:rPr>
          <w:rFonts w:cs="FrankRuehl" w:hint="cs"/>
          <w:rtl/>
        </w:rPr>
        <w:t>7</w:t>
      </w:r>
      <w:r w:rsidRPr="003F2328">
        <w:rPr>
          <w:rFonts w:cs="FrankRuehl"/>
          <w:rtl/>
        </w:rPr>
        <w:t xml:space="preserve"> ביוני 2015</w:t>
      </w:r>
      <w:bookmarkStart w:id="0" w:name="DocNum"/>
      <w:bookmarkEnd w:id="0"/>
    </w:p>
    <w:p w:rsidR="00CA2C25" w:rsidRPr="003F2328" w:rsidRDefault="00CA2C25" w:rsidP="00CA2C25">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CA2C25" w:rsidRPr="003F2328" w:rsidRDefault="00CA2C25" w:rsidP="00CA2C25">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מר אבי </w:t>
      </w:r>
      <w:proofErr w:type="spellStart"/>
      <w:r w:rsidRPr="003F2328">
        <w:rPr>
          <w:rFonts w:cs="FrankRuehl" w:hint="cs"/>
          <w:sz w:val="26"/>
          <w:szCs w:val="26"/>
          <w:rtl/>
        </w:rPr>
        <w:t>ליכט</w:t>
      </w:r>
      <w:proofErr w:type="spellEnd"/>
      <w:r w:rsidRPr="003F2328">
        <w:rPr>
          <w:rFonts w:cs="FrankRuehl" w:hint="cs"/>
          <w:sz w:val="26"/>
          <w:szCs w:val="26"/>
          <w:rtl/>
        </w:rPr>
        <w:t>, המשנה ליועץ המשפטי לממשלה (כלכלי-פיסקאלי), משרד המשפטים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CA2C25" w:rsidRPr="003F2328" w:rsidRDefault="00CA2C25" w:rsidP="00CA2C25">
      <w:pPr>
        <w:spacing w:line="240" w:lineRule="exact"/>
        <w:jc w:val="both"/>
        <w:rPr>
          <w:rFonts w:cs="FrankRuehl"/>
          <w:sz w:val="26"/>
          <w:szCs w:val="26"/>
          <w:u w:val="single"/>
          <w:rtl/>
        </w:rPr>
      </w:pPr>
      <w:r w:rsidRPr="003F2328">
        <w:rPr>
          <w:rFonts w:cs="FrankRuehl" w:hint="cs"/>
          <w:sz w:val="26"/>
          <w:szCs w:val="26"/>
          <w:u w:val="single"/>
          <w:rtl/>
        </w:rPr>
        <w:t>נציגים:</w:t>
      </w:r>
    </w:p>
    <w:p w:rsidR="00CA2C25" w:rsidRDefault="00CA2C25" w:rsidP="00CA2C25">
      <w:pPr>
        <w:spacing w:line="240" w:lineRule="exact"/>
        <w:jc w:val="both"/>
        <w:rPr>
          <w:rFonts w:cs="FrankRuehl"/>
          <w:sz w:val="26"/>
          <w:szCs w:val="26"/>
          <w:rtl/>
        </w:rPr>
      </w:pPr>
      <w:r w:rsidRPr="003F2328">
        <w:rPr>
          <w:rFonts w:cs="FrankRuehl" w:hint="cs"/>
          <w:sz w:val="26"/>
          <w:szCs w:val="26"/>
          <w:rtl/>
        </w:rPr>
        <w:t>יואל בריס, משרד האוצר</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r w:rsidR="00993C68">
        <w:rPr>
          <w:rFonts w:cs="FrankRuehl" w:hint="cs"/>
          <w:sz w:val="26"/>
          <w:szCs w:val="26"/>
          <w:rtl/>
        </w:rPr>
        <w:t xml:space="preserve"> </w:t>
      </w:r>
      <w:bookmarkStart w:id="1" w:name="_GoBack"/>
      <w:bookmarkEnd w:id="1"/>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רויטל קיסר, בנק ישראל</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דביר </w:t>
      </w:r>
      <w:proofErr w:type="spellStart"/>
      <w:r w:rsidRPr="003F2328">
        <w:rPr>
          <w:rFonts w:cs="FrankRuehl" w:hint="cs"/>
          <w:sz w:val="26"/>
          <w:szCs w:val="26"/>
          <w:rtl/>
        </w:rPr>
        <w:t>ז'ורנו</w:t>
      </w:r>
      <w:proofErr w:type="spellEnd"/>
      <w:r w:rsidRPr="003F2328">
        <w:rPr>
          <w:rFonts w:cs="FrankRuehl" w:hint="cs"/>
          <w:sz w:val="26"/>
          <w:szCs w:val="26"/>
          <w:rtl/>
        </w:rPr>
        <w:t>, בנק ישראל</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סטיב לב, בנק ישראל</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הראל </w:t>
      </w:r>
      <w:proofErr w:type="spellStart"/>
      <w:r w:rsidRPr="003F2328">
        <w:rPr>
          <w:rFonts w:cs="FrankRuehl" w:hint="cs"/>
          <w:sz w:val="26"/>
          <w:szCs w:val="26"/>
          <w:rtl/>
        </w:rPr>
        <w:t>שליסל</w:t>
      </w:r>
      <w:proofErr w:type="spellEnd"/>
      <w:r w:rsidRPr="003F2328">
        <w:rPr>
          <w:rFonts w:cs="FrankRuehl" w:hint="cs"/>
          <w:sz w:val="26"/>
          <w:szCs w:val="26"/>
          <w:rtl/>
        </w:rPr>
        <w:t>, בנק ישראל</w:t>
      </w:r>
    </w:p>
    <w:p w:rsidR="00CA2C25" w:rsidRDefault="00D561A6" w:rsidP="00CA2C25">
      <w:pPr>
        <w:spacing w:line="240" w:lineRule="exact"/>
        <w:jc w:val="both"/>
        <w:rPr>
          <w:rFonts w:cs="FrankRuehl"/>
          <w:sz w:val="26"/>
          <w:szCs w:val="26"/>
          <w:rtl/>
        </w:rPr>
      </w:pPr>
      <w:r>
        <w:rPr>
          <w:rFonts w:cs="FrankRuehl" w:hint="cs"/>
          <w:sz w:val="26"/>
          <w:szCs w:val="26"/>
          <w:rtl/>
        </w:rPr>
        <w:t xml:space="preserve">ד"ר </w:t>
      </w:r>
      <w:r w:rsidR="00CA2C25">
        <w:rPr>
          <w:rFonts w:cs="FrankRuehl" w:hint="cs"/>
          <w:sz w:val="26"/>
          <w:szCs w:val="26"/>
          <w:rtl/>
        </w:rPr>
        <w:t>אסף אילת, הרשות להגבלים עסקיים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נעם </w:t>
      </w:r>
      <w:proofErr w:type="spellStart"/>
      <w:r w:rsidRPr="003F2328">
        <w:rPr>
          <w:rFonts w:cs="FrankRuehl" w:hint="cs"/>
          <w:sz w:val="26"/>
          <w:szCs w:val="26"/>
          <w:rtl/>
        </w:rPr>
        <w:t>פרלסון</w:t>
      </w:r>
      <w:proofErr w:type="spellEnd"/>
      <w:r w:rsidRPr="003F2328">
        <w:rPr>
          <w:rFonts w:cs="FrankRuehl" w:hint="cs"/>
          <w:sz w:val="26"/>
          <w:szCs w:val="26"/>
          <w:rtl/>
        </w:rPr>
        <w:t>, הרשות להגבלים עסקיים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הרשות להגבלים עסקיים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טלמור</w:t>
      </w:r>
      <w:proofErr w:type="spellEnd"/>
      <w:r w:rsidRPr="003F2328">
        <w:rPr>
          <w:rFonts w:cs="FrankRuehl" w:hint="cs"/>
          <w:sz w:val="26"/>
          <w:szCs w:val="26"/>
          <w:rtl/>
        </w:rPr>
        <w:t>, משרד המשפטים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נויבאר</w:t>
      </w:r>
      <w:proofErr w:type="spellEnd"/>
      <w:r w:rsidRPr="003F2328">
        <w:rPr>
          <w:rFonts w:cs="FrankRuehl" w:hint="cs"/>
          <w:sz w:val="26"/>
          <w:szCs w:val="26"/>
          <w:rtl/>
        </w:rPr>
        <w:t>, משרד המשפטים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אלישבע גרשוני, משרד המשפטים</w:t>
      </w:r>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CA2C25" w:rsidRPr="003F2328" w:rsidRDefault="00CA2C25" w:rsidP="00CA2C25">
      <w:pPr>
        <w:spacing w:line="240" w:lineRule="exact"/>
        <w:jc w:val="both"/>
        <w:rPr>
          <w:rFonts w:cs="FrankRuehl"/>
          <w:sz w:val="26"/>
          <w:szCs w:val="26"/>
          <w:rtl/>
        </w:rPr>
      </w:pPr>
      <w:r w:rsidRPr="003F2328">
        <w:rPr>
          <w:rFonts w:cs="FrankRuehl" w:hint="cs"/>
          <w:sz w:val="26"/>
          <w:szCs w:val="26"/>
          <w:rtl/>
        </w:rPr>
        <w:t xml:space="preserve">נתן </w:t>
      </w:r>
      <w:proofErr w:type="spellStart"/>
      <w:r w:rsidRPr="003F2328">
        <w:rPr>
          <w:rFonts w:cs="FrankRuehl" w:hint="cs"/>
          <w:sz w:val="26"/>
          <w:szCs w:val="26"/>
          <w:rtl/>
        </w:rPr>
        <w:t>המדינגר</w:t>
      </w:r>
      <w:proofErr w:type="spellEnd"/>
    </w:p>
    <w:p w:rsidR="00CA2C25" w:rsidRDefault="00CA2C25" w:rsidP="00CA2C25">
      <w:pPr>
        <w:rPr>
          <w:rtl/>
        </w:rPr>
      </w:pPr>
    </w:p>
    <w:p w:rsidR="00CA2C25" w:rsidRDefault="00CA2C25" w:rsidP="00CA2C25">
      <w:pPr>
        <w:rPr>
          <w:rtl/>
        </w:rPr>
      </w:pPr>
    </w:p>
    <w:p w:rsidR="00CA2C25" w:rsidRDefault="00CA2C25" w:rsidP="00CA2C25">
      <w:pPr>
        <w:rPr>
          <w:rFonts w:hint="cs"/>
          <w:rtl/>
        </w:rPr>
      </w:pPr>
    </w:p>
    <w:p w:rsidR="00444383" w:rsidRDefault="00444383" w:rsidP="00CA2C25">
      <w:pPr>
        <w:rPr>
          <w:rFonts w:hint="cs"/>
          <w:rtl/>
        </w:rPr>
      </w:pPr>
    </w:p>
    <w:p w:rsidR="00444383" w:rsidRDefault="00444383" w:rsidP="00CA2C25">
      <w:pPr>
        <w:rPr>
          <w:rtl/>
        </w:rPr>
      </w:pPr>
    </w:p>
    <w:p w:rsidR="00CA2C25" w:rsidRPr="003F2328" w:rsidRDefault="00CA2C25" w:rsidP="00444383">
      <w:pPr>
        <w:spacing w:line="360" w:lineRule="auto"/>
        <w:jc w:val="both"/>
        <w:rPr>
          <w:rFonts w:cs="FrankRuehl"/>
          <w:b/>
          <w:bCs/>
          <w:sz w:val="26"/>
          <w:szCs w:val="26"/>
          <w:u w:val="single"/>
          <w:rtl/>
        </w:rPr>
      </w:pPr>
      <w:r>
        <w:rPr>
          <w:rFonts w:cs="FrankRuehl" w:hint="cs"/>
          <w:b/>
          <w:bCs/>
          <w:sz w:val="26"/>
          <w:szCs w:val="26"/>
          <w:u w:val="single"/>
          <w:rtl/>
        </w:rPr>
        <w:lastRenderedPageBreak/>
        <w:t xml:space="preserve">סיכום דיון </w:t>
      </w:r>
    </w:p>
    <w:p w:rsidR="00CA2C25" w:rsidRDefault="00CA2C25" w:rsidP="00CA2C25">
      <w:pPr>
        <w:pStyle w:val="a3"/>
        <w:numPr>
          <w:ilvl w:val="0"/>
          <w:numId w:val="1"/>
        </w:numPr>
        <w:spacing w:line="360" w:lineRule="auto"/>
        <w:jc w:val="both"/>
        <w:rPr>
          <w:rFonts w:cs="FrankRuehl"/>
          <w:sz w:val="26"/>
          <w:szCs w:val="26"/>
        </w:rPr>
      </w:pPr>
      <w:r w:rsidRPr="003F2328">
        <w:rPr>
          <w:rFonts w:cs="FrankRuehl" w:hint="cs"/>
          <w:sz w:val="26"/>
          <w:szCs w:val="26"/>
          <w:rtl/>
        </w:rPr>
        <w:t xml:space="preserve">יו"ר הוועדה, דרור שטרום, פתח והציג את נושא הדיון להיום, </w:t>
      </w:r>
      <w:r>
        <w:rPr>
          <w:rFonts w:cs="FrankRuehl" w:hint="cs"/>
          <w:sz w:val="26"/>
          <w:szCs w:val="26"/>
          <w:rtl/>
        </w:rPr>
        <w:t>תחרות על שירותים בנקאיים, והשאלה האם יש לבחון זאת כתחרות על מוצרים פריקים ומוצרים המאוגדים בחבילות סל.</w:t>
      </w:r>
    </w:p>
    <w:p w:rsidR="00CA2C25" w:rsidRDefault="00CA2C25" w:rsidP="00CA2C25">
      <w:pPr>
        <w:pStyle w:val="a3"/>
        <w:numPr>
          <w:ilvl w:val="0"/>
          <w:numId w:val="1"/>
        </w:numPr>
        <w:spacing w:line="360" w:lineRule="auto"/>
        <w:jc w:val="both"/>
        <w:rPr>
          <w:rFonts w:cs="FrankRuehl"/>
          <w:sz w:val="26"/>
          <w:szCs w:val="26"/>
        </w:rPr>
      </w:pPr>
      <w:r>
        <w:rPr>
          <w:rFonts w:cs="FrankRuehl" w:hint="cs"/>
          <w:sz w:val="26"/>
          <w:szCs w:val="26"/>
          <w:rtl/>
        </w:rPr>
        <w:t xml:space="preserve">הוצגה מצגת אשר הציגה את התחרות על שירותים בנקאיים. להלן עיקרי המצגת והשלמות חברי הועדה: </w:t>
      </w:r>
    </w:p>
    <w:p w:rsidR="00CA2C25" w:rsidRDefault="00CA2C25" w:rsidP="00CA2C25">
      <w:pPr>
        <w:pStyle w:val="a3"/>
        <w:numPr>
          <w:ilvl w:val="1"/>
          <w:numId w:val="1"/>
        </w:numPr>
        <w:spacing w:line="360" w:lineRule="auto"/>
        <w:jc w:val="both"/>
        <w:rPr>
          <w:rFonts w:cs="FrankRuehl"/>
          <w:sz w:val="26"/>
          <w:szCs w:val="26"/>
        </w:rPr>
      </w:pPr>
      <w:r w:rsidRPr="004429C0">
        <w:rPr>
          <w:rFonts w:cs="FrankRuehl" w:hint="cs"/>
          <w:b/>
          <w:bCs/>
          <w:sz w:val="26"/>
          <w:szCs w:val="26"/>
          <w:rtl/>
        </w:rPr>
        <w:t>תחילה</w:t>
      </w:r>
      <w:r w:rsidRPr="004429C0">
        <w:rPr>
          <w:rFonts w:cs="FrankRuehl"/>
          <w:b/>
          <w:bCs/>
          <w:sz w:val="26"/>
          <w:szCs w:val="26"/>
          <w:rtl/>
        </w:rPr>
        <w:t xml:space="preserve">, </w:t>
      </w:r>
      <w:r w:rsidRPr="004429C0">
        <w:rPr>
          <w:rFonts w:cs="FrankRuehl" w:hint="cs"/>
          <w:b/>
          <w:bCs/>
          <w:sz w:val="26"/>
          <w:szCs w:val="26"/>
          <w:rtl/>
        </w:rPr>
        <w:t>הוצג</w:t>
      </w:r>
      <w:r w:rsidRPr="004429C0">
        <w:rPr>
          <w:rFonts w:cs="FrankRuehl"/>
          <w:b/>
          <w:bCs/>
          <w:sz w:val="26"/>
          <w:szCs w:val="26"/>
          <w:rtl/>
        </w:rPr>
        <w:t xml:space="preserve"> </w:t>
      </w:r>
      <w:r w:rsidRPr="004429C0">
        <w:rPr>
          <w:rFonts w:cs="FrankRuehl" w:hint="cs"/>
          <w:b/>
          <w:bCs/>
          <w:sz w:val="26"/>
          <w:szCs w:val="26"/>
          <w:rtl/>
        </w:rPr>
        <w:t>המצב</w:t>
      </w:r>
      <w:r w:rsidRPr="004429C0">
        <w:rPr>
          <w:rFonts w:cs="FrankRuehl"/>
          <w:b/>
          <w:bCs/>
          <w:sz w:val="26"/>
          <w:szCs w:val="26"/>
          <w:rtl/>
        </w:rPr>
        <w:t xml:space="preserve"> </w:t>
      </w:r>
      <w:r w:rsidRPr="004429C0">
        <w:rPr>
          <w:rFonts w:cs="FrankRuehl" w:hint="cs"/>
          <w:b/>
          <w:bCs/>
          <w:sz w:val="26"/>
          <w:szCs w:val="26"/>
          <w:rtl/>
        </w:rPr>
        <w:t>הקיים</w:t>
      </w:r>
      <w:r>
        <w:rPr>
          <w:rFonts w:cs="FrankRuehl" w:hint="cs"/>
          <w:sz w:val="26"/>
          <w:szCs w:val="26"/>
          <w:rtl/>
        </w:rPr>
        <w:t xml:space="preserve"> המתאר שוק בו התחרות על השירותים הבנקאיים השונים נעשית באמצעות סלים המאחדים את המוצרים השונים, אותם מציעים הבנקים.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שירותים בנקאיים אלו מורכבים ממספר שירותים עיקריים: עו"ש, שירותי תשלום, אשראי והשקעות.</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כיום, יש יתרון לצריכת כל השירותים כסל אחד בבנק אחד בגלל חיסכון בעלויות חיפוש ועסקה, יעילות תפעולית, מידע ומוניטין.</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צוין כי ישנה חשיבות רבה לטעמים וההעדפות של הפרטים המעדיפים נוחות וקניית המוצרים ב-</w:t>
      </w:r>
      <w:r>
        <w:rPr>
          <w:rFonts w:cs="FrankRuehl"/>
          <w:sz w:val="26"/>
          <w:szCs w:val="26"/>
        </w:rPr>
        <w:t>Bundling</w:t>
      </w:r>
      <w:r>
        <w:rPr>
          <w:rFonts w:cs="FrankRuehl" w:hint="cs"/>
          <w:sz w:val="26"/>
          <w:szCs w:val="26"/>
          <w:rtl/>
        </w:rPr>
        <w:t>. מנגד, נטען כי לא ניתן לדעת האם הסיבה שהיום הצרכנים נוהגים לצרוך את שירותי הבנקאות בתור סל נובעת מהעדפה מטעם או משום שכיום קיימים חסמים רבים ועלויות לצרכן המונעים משוק המציע מוצרים פריקים להתקיים. בנוסף לכך ייתכן שהתחרות על הסלים מתקיימת משום שאין "איום תחרותי" על מוצרים אלו ולכן הם מאוד דומים בין סל אחד לשני ובין בנק אחד למשנהו.</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צוין כי ייתכן ומבחינת היצע השירותים יש יתרון לגודל משמעותי המאפשר להציע את כלל השירותים בעלויות נמוכות. אך בגלל שאין איום תחרותי, יתרון לגודל זה לא מתגלגל לצרכנים.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 xml:space="preserve">הוצגו רעיונות וניסיונות שנעשו בעבר ונעשים בהווה על מנת ליצור תחרות בין הבנקים, קרי בין סלי השירותים. </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הוצג כי התפתחויות טכנולוגיות שונות משנות את פני המערכת והשירותים הבנקאיים. בין היתר באמצעות פלטפורמות מקוונות ואמצעי תשלום מתקדמים.</w:t>
      </w:r>
    </w:p>
    <w:p w:rsidR="00CA2C25" w:rsidRDefault="00CA2C25" w:rsidP="00CA2C25">
      <w:pPr>
        <w:pStyle w:val="a3"/>
        <w:numPr>
          <w:ilvl w:val="1"/>
          <w:numId w:val="1"/>
        </w:numPr>
        <w:spacing w:line="360" w:lineRule="auto"/>
        <w:jc w:val="both"/>
        <w:rPr>
          <w:rFonts w:cs="FrankRuehl"/>
          <w:sz w:val="26"/>
          <w:szCs w:val="26"/>
        </w:rPr>
      </w:pPr>
      <w:r w:rsidRPr="004429C0">
        <w:rPr>
          <w:rFonts w:cs="FrankRuehl" w:hint="cs"/>
          <w:b/>
          <w:bCs/>
          <w:sz w:val="26"/>
          <w:szCs w:val="26"/>
          <w:rtl/>
        </w:rPr>
        <w:t>הוצג</w:t>
      </w:r>
      <w:r w:rsidRPr="004429C0">
        <w:rPr>
          <w:rFonts w:cs="FrankRuehl"/>
          <w:b/>
          <w:bCs/>
          <w:sz w:val="26"/>
          <w:szCs w:val="26"/>
          <w:rtl/>
        </w:rPr>
        <w:t xml:space="preserve"> </w:t>
      </w:r>
      <w:r w:rsidRPr="004429C0">
        <w:rPr>
          <w:rFonts w:cs="FrankRuehl" w:hint="cs"/>
          <w:b/>
          <w:bCs/>
          <w:sz w:val="26"/>
          <w:szCs w:val="26"/>
          <w:rtl/>
        </w:rPr>
        <w:t>המצב</w:t>
      </w:r>
      <w:r w:rsidRPr="004429C0">
        <w:rPr>
          <w:rFonts w:cs="FrankRuehl"/>
          <w:b/>
          <w:bCs/>
          <w:sz w:val="26"/>
          <w:szCs w:val="26"/>
          <w:rtl/>
        </w:rPr>
        <w:t xml:space="preserve"> </w:t>
      </w:r>
      <w:r w:rsidRPr="004429C0">
        <w:rPr>
          <w:rFonts w:cs="FrankRuehl" w:hint="cs"/>
          <w:b/>
          <w:bCs/>
          <w:sz w:val="26"/>
          <w:szCs w:val="26"/>
          <w:rtl/>
        </w:rPr>
        <w:t>הרצוי</w:t>
      </w:r>
      <w:r>
        <w:rPr>
          <w:rFonts w:cs="FrankRuehl" w:hint="cs"/>
          <w:sz w:val="26"/>
          <w:szCs w:val="26"/>
          <w:rtl/>
        </w:rPr>
        <w:t xml:space="preserve"> לשוק השירותים הבנקאיים המציע חזון לפיו התחרות תהיה על שירותים פריקים. חזון זה מתאר שוק בו כלל המוצרים מוצעים בשוק כמוצרים פריקים בידי גורמים שונים והתחרות מתקיימת על כל אחד בנפרד.</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 xml:space="preserve">נטען כי חשבון </w:t>
      </w:r>
      <w:proofErr w:type="spellStart"/>
      <w:r>
        <w:rPr>
          <w:rFonts w:cs="FrankRuehl" w:hint="cs"/>
          <w:sz w:val="26"/>
          <w:szCs w:val="26"/>
          <w:rtl/>
        </w:rPr>
        <w:t>העו"ש</w:t>
      </w:r>
      <w:proofErr w:type="spellEnd"/>
      <w:r>
        <w:rPr>
          <w:rFonts w:cs="FrankRuehl" w:hint="cs"/>
          <w:sz w:val="26"/>
          <w:szCs w:val="26"/>
          <w:rtl/>
        </w:rPr>
        <w:t xml:space="preserve"> הינו הליבה של השירותים הנ"ל וכי סביר שלאדם אחד יהיה חשבון עו"ש אחד . מנגד, נטען כי כל עוד ניתן יהיה לקשר את השירותים השונים, המוצעים בידי שחקנים שונים, לעו"ש (הבנקאי או חוץ בנקאי), עדיין תהיה תחרות על המוצרים הפריקים.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 xml:space="preserve">נאמר כי בטרם מייצרים חזון לשוק הרצוי יש לבחון האם יש בעיה והאם המחירים על השירותים הבנקאיים הינם גבוהים. מנגד, נאמר כי הפחתת חסמים לשוק של מוצרים </w:t>
      </w:r>
      <w:r>
        <w:rPr>
          <w:rFonts w:cs="FrankRuehl" w:hint="cs"/>
          <w:sz w:val="26"/>
          <w:szCs w:val="26"/>
          <w:rtl/>
        </w:rPr>
        <w:lastRenderedPageBreak/>
        <w:t xml:space="preserve">פריקים תביא להתפתחות של השווקים, זאת, מבלי להיכנס לשאלה האם המחיר של מוצר מסוים הינו גבוה או נמוך. מעבר לכך, ישנם תועלות נוספות פרט להפחתת מחירים כגון, שיפור רמת ואיכות המוצר וכן </w:t>
      </w:r>
      <w:proofErr w:type="spellStart"/>
      <w:r>
        <w:rPr>
          <w:rFonts w:cs="FrankRuehl" w:hint="cs"/>
          <w:sz w:val="26"/>
          <w:szCs w:val="26"/>
          <w:rtl/>
        </w:rPr>
        <w:t>הנגשת</w:t>
      </w:r>
      <w:proofErr w:type="spellEnd"/>
      <w:r>
        <w:rPr>
          <w:rFonts w:cs="FrankRuehl" w:hint="cs"/>
          <w:sz w:val="26"/>
          <w:szCs w:val="26"/>
          <w:rtl/>
        </w:rPr>
        <w:t xml:space="preserve"> אשראי. בנוסף חדשנות ופיתוח שווקים תאפשר לשחקנים בעלי מבנה עלויות רזה להציע שירותים במחירים אטרקטיביים.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 xml:space="preserve">נטען כי רצוי ליצור רגולציה פר מוצר ולא רגולציה פר ספק (בנק, חברת ביטוח וכו') עם זאת, נאמר בהסתייגות, כי אין דבר זה אומר שלא יהיה צורך בפיקוח על בנקים כבנקים. </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נטען כי רגולציה זו צריכה להיות מבוססת על היקף וסיכון הפעילות ומותאמת מטרה לפי סוג הפעילות (הגנה צרכנית, יציבות, תחרות וחדשנות, הלבנת הון וכו')</w:t>
      </w:r>
    </w:p>
    <w:p w:rsidR="00CA2C25" w:rsidRDefault="00CA2C25" w:rsidP="00F6762A">
      <w:pPr>
        <w:pStyle w:val="a3"/>
        <w:numPr>
          <w:ilvl w:val="1"/>
          <w:numId w:val="1"/>
        </w:numPr>
        <w:spacing w:line="360" w:lineRule="auto"/>
        <w:jc w:val="both"/>
        <w:rPr>
          <w:rFonts w:cs="FrankRuehl"/>
          <w:sz w:val="26"/>
          <w:szCs w:val="26"/>
        </w:rPr>
      </w:pPr>
      <w:r>
        <w:rPr>
          <w:rFonts w:cs="FrankRuehl" w:hint="cs"/>
          <w:sz w:val="26"/>
          <w:szCs w:val="26"/>
          <w:rtl/>
        </w:rPr>
        <w:t xml:space="preserve">הסוגיה הבאה שעלתה הייתה סוגיית הקישוריות התפעולית. נאמר כי במצב היום, כל הפעילות עוברת דרך </w:t>
      </w:r>
      <w:proofErr w:type="spellStart"/>
      <w:r>
        <w:rPr>
          <w:rFonts w:cs="FrankRuehl" w:hint="cs"/>
          <w:sz w:val="26"/>
          <w:szCs w:val="26"/>
          <w:rtl/>
        </w:rPr>
        <w:t>העו"ש</w:t>
      </w:r>
      <w:proofErr w:type="spellEnd"/>
      <w:r>
        <w:rPr>
          <w:rFonts w:cs="FrankRuehl" w:hint="cs"/>
          <w:sz w:val="26"/>
          <w:szCs w:val="26"/>
          <w:rtl/>
        </w:rPr>
        <w:t xml:space="preserve"> בבנק וכי ישנו מחסור בכלים להעברת מידע וכספים.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הוצג המצב הרצוי לעניין זה, בו ישנה תשתית טכנולוגית מתקדמת להעברת כספים ומידע בזמן אמת המאפרות גישה שוויונית למערכות התשלומים והמתגים השונים.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הוצגה החשיבות של שיתוף נתוני אשראי ומידע.</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לנושא הקישוריות עלתה השאלה האם החסם כיום הינו טכנולוגי או רגולטורי. הושב כי שני חסמים אלו קיימים אם כי החסם הטכנולוגי הולך ופוחת. עם זאת, נטען כי ישנו חסם שלישי שהינו חסם האמון/מוניטין של הגוף המספק את השירות. נטען כי הרגולציה מחד והטכנולוגיה מאידך עשויים לפתור את חסם האמון. כן נטען, כי לאו דווקא הרגולציה היא זו החייבת לספק את "תו התקן" בעיני הצרכן ושניתן ליצר כיום "תו תקן" גם ע"י חוכמת ההמונים.</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הועלתה העמדה כי יש לאפשר העדפה מתקנת לצורך מתן אפשרות לגופים קטנים להיכנס לשוק ולהתחרות בו ('הגנת ינוקא'). העדפה זו יכולה לבוא לידי ביטוי במספר דרכים שונים כגון: הקלות רגולטוריות, מנעיה משחקנים גדולים לספק שירות מסוים לתקופה מוגדרת, ופתרונות שונים לתשתיות טכנולוגיות. נאמר כי דבר זה נפוץ בשווקים שונים, למשל בשוק התקשרות.</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הוצגו השירותים הבנקאיים השונים, השחקנים הקיימים כיום המציעים את המוצר והצעדים האפשריים להקטנת חסמים אלו (ראו במצגת).</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t xml:space="preserve">העקרונות במצגת הומחשו ע"י  הדוגמא  הפרדת כרטיסי האשראי מהבנקים. הוצגו היתרונות שיש להפרדה זו על התחרות הן במגזר האשראי, הן במגזר ההנפקה, סליקה והפצה של כרטיסי חיוב והן בשירותי בנקאות באופן כללי. </w:t>
      </w:r>
    </w:p>
    <w:p w:rsidR="00CA2C25" w:rsidRDefault="00CA2C25" w:rsidP="00CA2C25">
      <w:pPr>
        <w:pStyle w:val="a3"/>
        <w:numPr>
          <w:ilvl w:val="1"/>
          <w:numId w:val="1"/>
        </w:numPr>
        <w:spacing w:line="360" w:lineRule="auto"/>
        <w:jc w:val="both"/>
        <w:rPr>
          <w:rFonts w:cs="FrankRuehl"/>
          <w:sz w:val="26"/>
          <w:szCs w:val="26"/>
        </w:rPr>
      </w:pPr>
      <w:r>
        <w:rPr>
          <w:rFonts w:cs="FrankRuehl" w:hint="cs"/>
          <w:sz w:val="26"/>
          <w:szCs w:val="26"/>
          <w:rtl/>
        </w:rPr>
        <w:lastRenderedPageBreak/>
        <w:t>הוצגו החסמים השונים אשר מקשים על ביצוע צעד זה: היבטים רגולטוריים, היבטי קישוריות תפעולית, היבטי מידע והיבטי הון.</w:t>
      </w:r>
      <w:r>
        <w:rPr>
          <w:rStyle w:val="a6"/>
          <w:rFonts w:cs="FrankRuehl"/>
          <w:sz w:val="26"/>
          <w:szCs w:val="26"/>
          <w:rtl/>
        </w:rPr>
        <w:footnoteReference w:id="1"/>
      </w:r>
      <w:r>
        <w:rPr>
          <w:rFonts w:cs="FrankRuehl" w:hint="cs"/>
          <w:sz w:val="26"/>
          <w:szCs w:val="26"/>
          <w:rtl/>
        </w:rPr>
        <w:t xml:space="preserve"> הסרת החסמים בשביל צעד זה באופן גנרי ומרחיב, תקל אף על כניסת שחקנים נוספים.  </w:t>
      </w:r>
    </w:p>
    <w:p w:rsidR="00CA2C25" w:rsidRPr="00C4577A" w:rsidRDefault="00CA2C25" w:rsidP="00CA2C25">
      <w:pPr>
        <w:spacing w:line="360" w:lineRule="auto"/>
        <w:jc w:val="both"/>
        <w:rPr>
          <w:rFonts w:cs="FrankRuehl"/>
          <w:sz w:val="26"/>
          <w:szCs w:val="26"/>
        </w:rPr>
      </w:pPr>
    </w:p>
    <w:p w:rsidR="00CA2C25" w:rsidRDefault="00CA2C25" w:rsidP="00CA2C25">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p>
    <w:p w:rsidR="00CA2C25" w:rsidRPr="00C4577A" w:rsidRDefault="00CA2C25" w:rsidP="00CA2C25">
      <w:pPr>
        <w:spacing w:line="360" w:lineRule="auto"/>
        <w:jc w:val="both"/>
        <w:rPr>
          <w:rFonts w:cs="FrankRuehl"/>
          <w:sz w:val="26"/>
          <w:szCs w:val="26"/>
        </w:rPr>
      </w:pPr>
    </w:p>
    <w:p w:rsidR="00CA2C25" w:rsidRPr="004675F1" w:rsidRDefault="00CA2C25" w:rsidP="00CA2C25"/>
    <w:p w:rsidR="007F4A5B" w:rsidRPr="00CA2C25" w:rsidRDefault="00244244"/>
    <w:sectPr w:rsidR="007F4A5B" w:rsidRPr="00CA2C25" w:rsidSect="005A7B9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44" w:rsidRDefault="00244244" w:rsidP="00CA2C25">
      <w:pPr>
        <w:spacing w:after="0" w:line="240" w:lineRule="auto"/>
      </w:pPr>
      <w:r>
        <w:separator/>
      </w:r>
    </w:p>
  </w:endnote>
  <w:endnote w:type="continuationSeparator" w:id="0">
    <w:p w:rsidR="00244244" w:rsidRDefault="00244244" w:rsidP="00CA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44" w:rsidRDefault="00244244" w:rsidP="00CA2C25">
      <w:pPr>
        <w:spacing w:after="0" w:line="240" w:lineRule="auto"/>
      </w:pPr>
      <w:r>
        <w:separator/>
      </w:r>
    </w:p>
  </w:footnote>
  <w:footnote w:type="continuationSeparator" w:id="0">
    <w:p w:rsidR="00244244" w:rsidRDefault="00244244" w:rsidP="00CA2C25">
      <w:pPr>
        <w:spacing w:after="0" w:line="240" w:lineRule="auto"/>
      </w:pPr>
      <w:r>
        <w:continuationSeparator/>
      </w:r>
    </w:p>
  </w:footnote>
  <w:footnote w:id="1">
    <w:p w:rsidR="00CA2C25" w:rsidRDefault="00CA2C25" w:rsidP="00CA2C25">
      <w:pPr>
        <w:pStyle w:val="a4"/>
      </w:pPr>
      <w:r>
        <w:rPr>
          <w:rStyle w:val="a6"/>
        </w:rPr>
        <w:footnoteRef/>
      </w:r>
      <w:r>
        <w:rPr>
          <w:rtl/>
        </w:rPr>
        <w:t xml:space="preserve"> </w:t>
      </w:r>
      <w:r>
        <w:rPr>
          <w:rFonts w:hint="cs"/>
          <w:rtl/>
        </w:rPr>
        <w:t>כיום המידע בנוגע לפעולות הנעשות בכרטיס האשראי שייכות לחברת כרטיסי האשראי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C8B"/>
    <w:multiLevelType w:val="hybridMultilevel"/>
    <w:tmpl w:val="E1D4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CF4A86"/>
    <w:multiLevelType w:val="multilevel"/>
    <w:tmpl w:val="87F2C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25"/>
    <w:rsid w:val="00046C7F"/>
    <w:rsid w:val="000F556A"/>
    <w:rsid w:val="00244244"/>
    <w:rsid w:val="004429C0"/>
    <w:rsid w:val="00444383"/>
    <w:rsid w:val="005A7B94"/>
    <w:rsid w:val="00614719"/>
    <w:rsid w:val="0078045C"/>
    <w:rsid w:val="008E4EAF"/>
    <w:rsid w:val="00905581"/>
    <w:rsid w:val="00993C68"/>
    <w:rsid w:val="00B14124"/>
    <w:rsid w:val="00CA2C25"/>
    <w:rsid w:val="00D561A6"/>
    <w:rsid w:val="00E30870"/>
    <w:rsid w:val="00F12016"/>
    <w:rsid w:val="00F676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C25"/>
    <w:pPr>
      <w:ind w:left="720"/>
      <w:contextualSpacing/>
    </w:pPr>
  </w:style>
  <w:style w:type="paragraph" w:styleId="a4">
    <w:name w:val="footnote text"/>
    <w:basedOn w:val="a"/>
    <w:link w:val="a5"/>
    <w:uiPriority w:val="99"/>
    <w:semiHidden/>
    <w:unhideWhenUsed/>
    <w:rsid w:val="00CA2C25"/>
    <w:pPr>
      <w:spacing w:after="0" w:line="240" w:lineRule="auto"/>
    </w:pPr>
    <w:rPr>
      <w:sz w:val="20"/>
      <w:szCs w:val="20"/>
    </w:rPr>
  </w:style>
  <w:style w:type="character" w:customStyle="1" w:styleId="a5">
    <w:name w:val="טקסט הערת שוליים תו"/>
    <w:basedOn w:val="a0"/>
    <w:link w:val="a4"/>
    <w:uiPriority w:val="99"/>
    <w:semiHidden/>
    <w:rsid w:val="00CA2C25"/>
    <w:rPr>
      <w:sz w:val="20"/>
      <w:szCs w:val="20"/>
    </w:rPr>
  </w:style>
  <w:style w:type="character" w:styleId="a6">
    <w:name w:val="footnote reference"/>
    <w:basedOn w:val="a0"/>
    <w:uiPriority w:val="99"/>
    <w:semiHidden/>
    <w:unhideWhenUsed/>
    <w:rsid w:val="00CA2C25"/>
    <w:rPr>
      <w:vertAlign w:val="superscript"/>
    </w:rPr>
  </w:style>
  <w:style w:type="paragraph" w:styleId="a7">
    <w:name w:val="Balloon Text"/>
    <w:basedOn w:val="a"/>
    <w:link w:val="a8"/>
    <w:uiPriority w:val="99"/>
    <w:semiHidden/>
    <w:unhideWhenUsed/>
    <w:rsid w:val="004429C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42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C25"/>
    <w:pPr>
      <w:ind w:left="720"/>
      <w:contextualSpacing/>
    </w:pPr>
  </w:style>
  <w:style w:type="paragraph" w:styleId="a4">
    <w:name w:val="footnote text"/>
    <w:basedOn w:val="a"/>
    <w:link w:val="a5"/>
    <w:uiPriority w:val="99"/>
    <w:semiHidden/>
    <w:unhideWhenUsed/>
    <w:rsid w:val="00CA2C25"/>
    <w:pPr>
      <w:spacing w:after="0" w:line="240" w:lineRule="auto"/>
    </w:pPr>
    <w:rPr>
      <w:sz w:val="20"/>
      <w:szCs w:val="20"/>
    </w:rPr>
  </w:style>
  <w:style w:type="character" w:customStyle="1" w:styleId="a5">
    <w:name w:val="טקסט הערת שוליים תו"/>
    <w:basedOn w:val="a0"/>
    <w:link w:val="a4"/>
    <w:uiPriority w:val="99"/>
    <w:semiHidden/>
    <w:rsid w:val="00CA2C25"/>
    <w:rPr>
      <w:sz w:val="20"/>
      <w:szCs w:val="20"/>
    </w:rPr>
  </w:style>
  <w:style w:type="character" w:styleId="a6">
    <w:name w:val="footnote reference"/>
    <w:basedOn w:val="a0"/>
    <w:uiPriority w:val="99"/>
    <w:semiHidden/>
    <w:unhideWhenUsed/>
    <w:rsid w:val="00CA2C25"/>
    <w:rPr>
      <w:vertAlign w:val="superscript"/>
    </w:rPr>
  </w:style>
  <w:style w:type="paragraph" w:styleId="a7">
    <w:name w:val="Balloon Text"/>
    <w:basedOn w:val="a"/>
    <w:link w:val="a8"/>
    <w:uiPriority w:val="99"/>
    <w:semiHidden/>
    <w:unhideWhenUsed/>
    <w:rsid w:val="004429C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42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986BD08B-A964-408E-B82D-FC56A212D636}"/>
</file>

<file path=customXml/itemProps2.xml><?xml version="1.0" encoding="utf-8"?>
<ds:datastoreItem xmlns:ds="http://schemas.openxmlformats.org/officeDocument/2006/customXml" ds:itemID="{6B394174-8089-42BA-A439-422BA3334996}"/>
</file>

<file path=customXml/itemProps3.xml><?xml version="1.0" encoding="utf-8"?>
<ds:datastoreItem xmlns:ds="http://schemas.openxmlformats.org/officeDocument/2006/customXml" ds:itemID="{5EA9D613-5631-47A7-AB39-2A384C158B2F}"/>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4125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17.06.2015</dc:title>
  <dc:creator>מעבדה טכני</dc:creator>
  <cp:lastModifiedBy>אבי כהן</cp:lastModifiedBy>
  <cp:revision>8</cp:revision>
  <dcterms:created xsi:type="dcterms:W3CDTF">2015-06-18T11:43:00Z</dcterms:created>
  <dcterms:modified xsi:type="dcterms:W3CDTF">2016-01-05T17:55:00Z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