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B3" w:rsidRPr="00C36EC2" w:rsidRDefault="00B008B3" w:rsidP="00B008B3">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B008B3" w:rsidRPr="00C36EC2" w:rsidRDefault="00813885" w:rsidP="00B008B3">
      <w:pPr>
        <w:jc w:val="both"/>
        <w:rPr>
          <w:rFonts w:cs="FrankRuehl"/>
          <w:b/>
          <w:bCs/>
          <w:sz w:val="28"/>
          <w:szCs w:val="28"/>
          <w:u w:val="single"/>
          <w:rtl/>
        </w:rPr>
      </w:pPr>
      <w:r>
        <w:rPr>
          <w:rFonts w:cs="FrankRuehl" w:hint="cs"/>
          <w:b/>
          <w:bCs/>
          <w:sz w:val="28"/>
          <w:szCs w:val="28"/>
          <w:u w:val="single"/>
          <w:rtl/>
        </w:rPr>
        <w:t>15</w:t>
      </w:r>
      <w:r w:rsidR="00B008B3">
        <w:rPr>
          <w:rFonts w:cs="FrankRuehl" w:hint="cs"/>
          <w:b/>
          <w:bCs/>
          <w:sz w:val="28"/>
          <w:szCs w:val="28"/>
          <w:u w:val="single"/>
          <w:rtl/>
        </w:rPr>
        <w:t>.11.2015</w:t>
      </w:r>
    </w:p>
    <w:p w:rsidR="00B008B3" w:rsidRPr="00C36EC2" w:rsidRDefault="00B008B3" w:rsidP="00B008B3">
      <w:pPr>
        <w:jc w:val="both"/>
        <w:rPr>
          <w:rFonts w:cs="FrankRuehl"/>
          <w:sz w:val="28"/>
          <w:szCs w:val="28"/>
          <w:u w:val="single"/>
          <w:rtl/>
        </w:rPr>
      </w:pPr>
      <w:r w:rsidRPr="00C36EC2">
        <w:rPr>
          <w:rFonts w:cs="FrankRuehl" w:hint="cs"/>
          <w:sz w:val="28"/>
          <w:szCs w:val="28"/>
          <w:u w:val="single"/>
          <w:rtl/>
        </w:rPr>
        <w:t>חברי הוועדה המשתתפים:</w:t>
      </w:r>
    </w:p>
    <w:p w:rsidR="00B008B3" w:rsidRPr="00C0712C" w:rsidRDefault="00B008B3" w:rsidP="00B008B3">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B008B3" w:rsidRPr="00C0712C" w:rsidRDefault="00B008B3" w:rsidP="00B008B3">
      <w:pPr>
        <w:spacing w:line="360" w:lineRule="auto"/>
        <w:jc w:val="both"/>
        <w:rPr>
          <w:rFonts w:cs="FrankRuehl"/>
          <w:sz w:val="26"/>
          <w:szCs w:val="26"/>
          <w:rtl/>
        </w:rPr>
      </w:pPr>
      <w:r w:rsidRPr="00C0712C">
        <w:rPr>
          <w:rFonts w:cs="FrankRuehl" w:hint="cs"/>
          <w:sz w:val="26"/>
          <w:szCs w:val="26"/>
          <w:rtl/>
        </w:rPr>
        <w:t>פרופ', אבי בן בסט, האוניברסיטה העברית והמכללה למנהל</w:t>
      </w:r>
    </w:p>
    <w:p w:rsidR="00B008B3" w:rsidRPr="00C0712C" w:rsidRDefault="00611C72" w:rsidP="00B008B3">
      <w:pPr>
        <w:spacing w:line="360" w:lineRule="auto"/>
        <w:jc w:val="both"/>
        <w:rPr>
          <w:rFonts w:cs="FrankRuehl"/>
          <w:sz w:val="26"/>
          <w:szCs w:val="26"/>
          <w:rtl/>
        </w:rPr>
      </w:pPr>
      <w:r>
        <w:rPr>
          <w:rFonts w:cs="FrankRuehl" w:hint="cs"/>
          <w:sz w:val="26"/>
          <w:szCs w:val="26"/>
          <w:rtl/>
        </w:rPr>
        <w:t xml:space="preserve">ד"ר </w:t>
      </w:r>
      <w:bookmarkStart w:id="0" w:name="_GoBack"/>
      <w:bookmarkEnd w:id="0"/>
      <w:r w:rsidR="00B008B3" w:rsidRPr="00C0712C">
        <w:rPr>
          <w:rFonts w:cs="FrankRuehl" w:hint="cs"/>
          <w:sz w:val="26"/>
          <w:szCs w:val="26"/>
          <w:rtl/>
        </w:rPr>
        <w:t>אסף אילת, הרשות להגבלים עסקיים</w:t>
      </w:r>
    </w:p>
    <w:p w:rsidR="00B008B3" w:rsidRPr="00C0712C" w:rsidRDefault="00B008B3" w:rsidP="00B008B3">
      <w:pPr>
        <w:spacing w:line="360" w:lineRule="auto"/>
        <w:jc w:val="both"/>
        <w:rPr>
          <w:rFonts w:cs="FrankRuehl"/>
          <w:sz w:val="26"/>
          <w:szCs w:val="26"/>
          <w:u w:val="single"/>
          <w:rtl/>
        </w:rPr>
      </w:pPr>
      <w:r w:rsidRPr="00C0712C">
        <w:rPr>
          <w:rFonts w:cs="FrankRuehl" w:hint="cs"/>
          <w:sz w:val="26"/>
          <w:szCs w:val="26"/>
          <w:u w:val="single"/>
          <w:rtl/>
        </w:rPr>
        <w:t>נציגים:</w:t>
      </w:r>
    </w:p>
    <w:p w:rsidR="00B008B3" w:rsidRPr="00C0712C" w:rsidRDefault="00B008B3" w:rsidP="00B008B3">
      <w:pPr>
        <w:spacing w:line="360" w:lineRule="auto"/>
        <w:jc w:val="both"/>
        <w:rPr>
          <w:rFonts w:cs="FrankRuehl"/>
          <w:sz w:val="26"/>
          <w:szCs w:val="26"/>
          <w:rtl/>
        </w:rPr>
      </w:pPr>
      <w:r w:rsidRPr="00C0712C">
        <w:rPr>
          <w:rFonts w:cs="FrankRuehl" w:hint="cs"/>
          <w:sz w:val="26"/>
          <w:szCs w:val="26"/>
          <w:rtl/>
        </w:rPr>
        <w:t>יונתן בר סימן טוב, משרד האוצר</w:t>
      </w:r>
    </w:p>
    <w:p w:rsidR="00B008B3" w:rsidRPr="00C0712C" w:rsidRDefault="00B008B3" w:rsidP="00B008B3">
      <w:pPr>
        <w:spacing w:line="360" w:lineRule="auto"/>
        <w:jc w:val="both"/>
        <w:rPr>
          <w:rFonts w:cs="FrankRuehl"/>
          <w:sz w:val="26"/>
          <w:szCs w:val="26"/>
          <w:rtl/>
        </w:rPr>
      </w:pPr>
      <w:r w:rsidRPr="00C0712C">
        <w:rPr>
          <w:rFonts w:cs="FrankRuehl" w:hint="cs"/>
          <w:sz w:val="26"/>
          <w:szCs w:val="26"/>
          <w:rtl/>
        </w:rPr>
        <w:t>כפיר בטט, משרד האוצר</w:t>
      </w:r>
    </w:p>
    <w:p w:rsidR="00B008B3" w:rsidRPr="00C0712C" w:rsidRDefault="00B008B3" w:rsidP="00B008B3">
      <w:pPr>
        <w:spacing w:line="360" w:lineRule="auto"/>
        <w:jc w:val="both"/>
        <w:rPr>
          <w:rFonts w:cs="FrankRuehl"/>
          <w:sz w:val="26"/>
          <w:szCs w:val="26"/>
          <w:rtl/>
        </w:rPr>
      </w:pPr>
      <w:r w:rsidRPr="00C0712C">
        <w:rPr>
          <w:rFonts w:cs="FrankRuehl" w:hint="cs"/>
          <w:sz w:val="26"/>
          <w:szCs w:val="26"/>
          <w:rtl/>
        </w:rPr>
        <w:t>רויטל קיסר, בנק ישראל</w:t>
      </w:r>
    </w:p>
    <w:p w:rsidR="00B008B3" w:rsidRDefault="00B008B3" w:rsidP="00B008B3">
      <w:pPr>
        <w:spacing w:line="360" w:lineRule="auto"/>
        <w:jc w:val="both"/>
        <w:rPr>
          <w:rFonts w:cs="FrankRuehl"/>
          <w:sz w:val="26"/>
          <w:szCs w:val="26"/>
          <w:rtl/>
        </w:rPr>
      </w:pPr>
      <w:r w:rsidRPr="00C0712C">
        <w:rPr>
          <w:rFonts w:cs="FrankRuehl" w:hint="cs"/>
          <w:sz w:val="26"/>
          <w:szCs w:val="26"/>
          <w:rtl/>
        </w:rPr>
        <w:t>ליאור תבורי</w:t>
      </w:r>
    </w:p>
    <w:p w:rsidR="00B008B3" w:rsidRPr="00C0712C"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B008B3" w:rsidRDefault="00B008B3" w:rsidP="00B008B3">
      <w:pPr>
        <w:spacing w:line="360" w:lineRule="auto"/>
        <w:jc w:val="both"/>
        <w:rPr>
          <w:rFonts w:cs="FrankRuehl"/>
          <w:sz w:val="26"/>
          <w:szCs w:val="26"/>
          <w:rtl/>
        </w:rPr>
      </w:pPr>
    </w:p>
    <w:p w:rsidR="001F1EF4" w:rsidRDefault="001F1EF4" w:rsidP="00B008B3">
      <w:pPr>
        <w:spacing w:line="360" w:lineRule="auto"/>
        <w:jc w:val="both"/>
        <w:rPr>
          <w:rFonts w:cs="FrankRuehl"/>
          <w:sz w:val="26"/>
          <w:szCs w:val="26"/>
          <w:rtl/>
        </w:rPr>
      </w:pPr>
    </w:p>
    <w:p w:rsidR="001F1EF4" w:rsidRDefault="001F1EF4" w:rsidP="00B008B3">
      <w:pPr>
        <w:spacing w:line="360" w:lineRule="auto"/>
        <w:jc w:val="both"/>
        <w:rPr>
          <w:rFonts w:cs="FrankRuehl"/>
          <w:sz w:val="26"/>
          <w:szCs w:val="26"/>
          <w:rtl/>
        </w:rPr>
      </w:pPr>
    </w:p>
    <w:p w:rsidR="001F1EF4" w:rsidRDefault="001F1EF4" w:rsidP="00B008B3">
      <w:pPr>
        <w:spacing w:line="360" w:lineRule="auto"/>
        <w:jc w:val="both"/>
        <w:rPr>
          <w:rFonts w:cs="FrankRuehl"/>
          <w:sz w:val="26"/>
          <w:szCs w:val="26"/>
          <w:rtl/>
        </w:rPr>
      </w:pPr>
    </w:p>
    <w:p w:rsidR="001F1EF4" w:rsidRDefault="001F1EF4" w:rsidP="00B008B3">
      <w:pPr>
        <w:spacing w:line="360" w:lineRule="auto"/>
        <w:jc w:val="both"/>
        <w:rPr>
          <w:rFonts w:cs="FrankRuehl"/>
          <w:sz w:val="26"/>
          <w:szCs w:val="26"/>
          <w:rtl/>
        </w:rPr>
      </w:pPr>
    </w:p>
    <w:p w:rsidR="00B008B3" w:rsidRDefault="00B008B3" w:rsidP="00B008B3">
      <w:pPr>
        <w:spacing w:line="360" w:lineRule="auto"/>
        <w:jc w:val="both"/>
        <w:rPr>
          <w:rFonts w:cs="FrankRuehl"/>
          <w:b/>
          <w:bCs/>
          <w:sz w:val="28"/>
          <w:szCs w:val="28"/>
          <w:u w:val="single"/>
          <w:rtl/>
        </w:rPr>
      </w:pPr>
      <w:r w:rsidRPr="00C36EC2">
        <w:rPr>
          <w:rFonts w:cs="FrankRuehl" w:hint="cs"/>
          <w:b/>
          <w:bCs/>
          <w:sz w:val="28"/>
          <w:szCs w:val="28"/>
          <w:u w:val="single"/>
          <w:rtl/>
        </w:rPr>
        <w:lastRenderedPageBreak/>
        <w:t>סיכום דיון</w:t>
      </w:r>
    </w:p>
    <w:p w:rsidR="001F1EF4" w:rsidRDefault="001F1EF4" w:rsidP="001F1EF4">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 xml:space="preserve"> הדיון להיום, דיון בהגנות ינוקא תחליפיות לחברות כרטיסי אשראי לאחר הפרדתן מהבנקים.</w:t>
      </w:r>
    </w:p>
    <w:p w:rsidR="001F1EF4" w:rsidRDefault="001F1EF4" w:rsidP="001F1EF4">
      <w:pPr>
        <w:pStyle w:val="a3"/>
        <w:numPr>
          <w:ilvl w:val="0"/>
          <w:numId w:val="1"/>
        </w:numPr>
        <w:spacing w:line="360" w:lineRule="auto"/>
        <w:jc w:val="both"/>
        <w:rPr>
          <w:rFonts w:cs="FrankRuehl"/>
          <w:sz w:val="28"/>
          <w:szCs w:val="28"/>
        </w:rPr>
      </w:pPr>
      <w:r>
        <w:rPr>
          <w:rFonts w:cs="FrankRuehl" w:hint="cs"/>
          <w:sz w:val="28"/>
          <w:szCs w:val="28"/>
          <w:rtl/>
        </w:rPr>
        <w:t>הוצעו מספר הצעות:</w:t>
      </w:r>
    </w:p>
    <w:p w:rsidR="001F1EF4" w:rsidRPr="001F1EF4" w:rsidRDefault="001F1EF4" w:rsidP="001F1EF4">
      <w:pPr>
        <w:pStyle w:val="a3"/>
        <w:numPr>
          <w:ilvl w:val="1"/>
          <w:numId w:val="1"/>
        </w:numPr>
        <w:spacing w:line="360" w:lineRule="auto"/>
        <w:jc w:val="both"/>
        <w:rPr>
          <w:rFonts w:cs="FrankRuehl"/>
          <w:sz w:val="26"/>
          <w:szCs w:val="26"/>
        </w:rPr>
      </w:pPr>
      <w:r w:rsidRPr="001F1EF4">
        <w:rPr>
          <w:rFonts w:asciiTheme="majorBidi" w:hAnsiTheme="majorBidi" w:cs="FrankRuehl"/>
          <w:sz w:val="26"/>
          <w:szCs w:val="26"/>
          <w:rtl/>
        </w:rPr>
        <w:t>הבנקים יפיצו ללקוחותיהם את כל כרטיסי האשראי בתנאים שווים וללא אפליה</w:t>
      </w:r>
      <w:r w:rsidRPr="001F1EF4">
        <w:rPr>
          <w:rFonts w:asciiTheme="majorBidi" w:hAnsiTheme="majorBidi" w:cs="FrankRuehl" w:hint="cs"/>
          <w:sz w:val="26"/>
          <w:szCs w:val="26"/>
          <w:rtl/>
        </w:rPr>
        <w:t>. הבנקים שמהם יופרדו חברות</w:t>
      </w:r>
      <w:r w:rsidRPr="001F1EF4">
        <w:rPr>
          <w:rFonts w:asciiTheme="majorBidi" w:hAnsiTheme="majorBidi" w:cs="FrankRuehl"/>
          <w:sz w:val="26"/>
          <w:szCs w:val="26"/>
          <w:rtl/>
        </w:rPr>
        <w:t xml:space="preserve"> </w:t>
      </w:r>
      <w:r w:rsidRPr="001F1EF4">
        <w:rPr>
          <w:rFonts w:asciiTheme="majorBidi" w:hAnsiTheme="majorBidi" w:cs="FrankRuehl" w:hint="cs"/>
          <w:sz w:val="26"/>
          <w:szCs w:val="26"/>
          <w:rtl/>
        </w:rPr>
        <w:t>כרטיסי</w:t>
      </w:r>
      <w:r w:rsidRPr="001F1EF4">
        <w:rPr>
          <w:rFonts w:asciiTheme="majorBidi" w:hAnsiTheme="majorBidi" w:cs="FrankRuehl"/>
          <w:sz w:val="26"/>
          <w:szCs w:val="26"/>
          <w:rtl/>
        </w:rPr>
        <w:t xml:space="preserve"> </w:t>
      </w:r>
      <w:r w:rsidRPr="001F1EF4">
        <w:rPr>
          <w:rFonts w:asciiTheme="majorBidi" w:hAnsiTheme="majorBidi" w:cs="FrankRuehl" w:hint="cs"/>
          <w:sz w:val="26"/>
          <w:szCs w:val="26"/>
          <w:rtl/>
        </w:rPr>
        <w:t>האשראי לא יוכלו להנפיק כרטיס</w:t>
      </w:r>
      <w:r w:rsidRPr="001F1EF4">
        <w:rPr>
          <w:rFonts w:asciiTheme="majorBidi" w:hAnsiTheme="majorBidi" w:cs="FrankRuehl"/>
          <w:sz w:val="26"/>
          <w:szCs w:val="26"/>
          <w:rtl/>
        </w:rPr>
        <w:t xml:space="preserve"> אשראי ללקוח</w:t>
      </w:r>
      <w:r w:rsidRPr="001F1EF4">
        <w:rPr>
          <w:rFonts w:asciiTheme="majorBidi" w:hAnsiTheme="majorBidi" w:cs="FrankRuehl" w:hint="cs"/>
          <w:sz w:val="26"/>
          <w:szCs w:val="26"/>
          <w:rtl/>
        </w:rPr>
        <w:t>ות</w:t>
      </w:r>
      <w:r w:rsidRPr="001F1EF4">
        <w:rPr>
          <w:rFonts w:asciiTheme="majorBidi" w:hAnsiTheme="majorBidi" w:cs="FrankRuehl"/>
          <w:sz w:val="26"/>
          <w:szCs w:val="26"/>
          <w:rtl/>
        </w:rPr>
        <w:t xml:space="preserve"> </w:t>
      </w:r>
      <w:r w:rsidRPr="001F1EF4">
        <w:rPr>
          <w:rFonts w:asciiTheme="majorBidi" w:hAnsiTheme="majorBidi" w:cs="FrankRuehl" w:hint="cs"/>
          <w:sz w:val="26"/>
          <w:szCs w:val="26"/>
          <w:rtl/>
        </w:rPr>
        <w:t>בעלי הכרטיסים החוץ בנקאיים  של החברות שיופרדו מהם. המגבלה היא עבור אותם לקוחות להם לא היה כרטיס אשראי מטעם אותו בנק</w:t>
      </w:r>
    </w:p>
    <w:p w:rsidR="001F1EF4" w:rsidRDefault="001F1EF4" w:rsidP="001F1EF4">
      <w:pPr>
        <w:pStyle w:val="a3"/>
        <w:numPr>
          <w:ilvl w:val="1"/>
          <w:numId w:val="1"/>
        </w:numPr>
        <w:spacing w:line="360" w:lineRule="auto"/>
        <w:jc w:val="both"/>
        <w:rPr>
          <w:rFonts w:cs="FrankRuehl"/>
          <w:sz w:val="28"/>
          <w:szCs w:val="28"/>
        </w:rPr>
      </w:pPr>
      <w:r>
        <w:rPr>
          <w:rFonts w:cs="FrankRuehl" w:hint="cs"/>
          <w:sz w:val="28"/>
          <w:szCs w:val="28"/>
          <w:rtl/>
        </w:rPr>
        <w:t>צמצום המסגרות הבנקאיות</w:t>
      </w:r>
    </w:p>
    <w:p w:rsidR="00804FE2" w:rsidRDefault="00804FE2" w:rsidP="00804FE2">
      <w:pPr>
        <w:pStyle w:val="a3"/>
        <w:numPr>
          <w:ilvl w:val="0"/>
          <w:numId w:val="1"/>
        </w:numPr>
        <w:spacing w:line="360" w:lineRule="auto"/>
        <w:jc w:val="both"/>
        <w:rPr>
          <w:rFonts w:cs="FrankRuehl"/>
          <w:sz w:val="28"/>
          <w:szCs w:val="28"/>
        </w:rPr>
      </w:pPr>
      <w:r>
        <w:rPr>
          <w:rFonts w:cs="FrankRuehl" w:hint="cs"/>
          <w:sz w:val="28"/>
          <w:szCs w:val="28"/>
          <w:rtl/>
        </w:rPr>
        <w:t>חברי הוועדה דנו בהצעות אלו.</w:t>
      </w:r>
    </w:p>
    <w:p w:rsidR="001F1EF4" w:rsidRDefault="001F1EF4" w:rsidP="00804FE2">
      <w:pPr>
        <w:pStyle w:val="a3"/>
        <w:numPr>
          <w:ilvl w:val="0"/>
          <w:numId w:val="1"/>
        </w:numPr>
        <w:spacing w:line="360" w:lineRule="auto"/>
        <w:jc w:val="both"/>
        <w:rPr>
          <w:rFonts w:cs="FrankRuehl"/>
          <w:sz w:val="28"/>
          <w:szCs w:val="28"/>
        </w:rPr>
      </w:pPr>
      <w:r>
        <w:rPr>
          <w:rFonts w:cs="FrankRuehl" w:hint="cs"/>
          <w:sz w:val="28"/>
          <w:szCs w:val="28"/>
          <w:rtl/>
        </w:rPr>
        <w:t>נטען כי ההצעה הראשונה אינה משמעותית כלכל וכלל משום שקבוצת האוכלוסייה שהדבר רלוונטי אליה היא קטנה עד מאוד מפני שאין כמעט לקוחות אשר מחזיקים כרטיס אשראי חוץ בנקאי ולא מחזיקים בכרטיס בנקאי.</w:t>
      </w:r>
    </w:p>
    <w:p w:rsidR="001F1EF4" w:rsidRDefault="001F1EF4" w:rsidP="001F1EF4">
      <w:pPr>
        <w:pStyle w:val="a3"/>
        <w:numPr>
          <w:ilvl w:val="0"/>
          <w:numId w:val="1"/>
        </w:numPr>
        <w:spacing w:line="360" w:lineRule="auto"/>
        <w:jc w:val="both"/>
        <w:rPr>
          <w:rFonts w:cs="FrankRuehl"/>
          <w:sz w:val="28"/>
          <w:szCs w:val="28"/>
        </w:rPr>
      </w:pPr>
      <w:r>
        <w:rPr>
          <w:rFonts w:cs="FrankRuehl" w:hint="cs"/>
          <w:sz w:val="28"/>
          <w:szCs w:val="28"/>
          <w:rtl/>
        </w:rPr>
        <w:t>לגבי ההצעה השנייה נטען כי הדבר יביא ל-</w:t>
      </w:r>
      <w:r>
        <w:rPr>
          <w:rFonts w:cs="FrankRuehl"/>
          <w:sz w:val="28"/>
          <w:szCs w:val="28"/>
        </w:rPr>
        <w:t>Cherry picking</w:t>
      </w:r>
      <w:r>
        <w:rPr>
          <w:rFonts w:cs="FrankRuehl" w:hint="cs"/>
          <w:sz w:val="28"/>
          <w:szCs w:val="28"/>
          <w:rtl/>
        </w:rPr>
        <w:t>, קרי הבנקים יצמצמו את המסגרות ללקוחות הפחות "טובים" ותהיה פגיעה באזרח.</w:t>
      </w:r>
    </w:p>
    <w:p w:rsidR="001F1EF4" w:rsidRDefault="001F1EF4" w:rsidP="001F1EF4">
      <w:pPr>
        <w:pStyle w:val="a3"/>
        <w:numPr>
          <w:ilvl w:val="0"/>
          <w:numId w:val="1"/>
        </w:numPr>
        <w:spacing w:line="360" w:lineRule="auto"/>
        <w:jc w:val="both"/>
        <w:rPr>
          <w:rFonts w:cs="FrankRuehl"/>
          <w:sz w:val="28"/>
          <w:szCs w:val="28"/>
        </w:rPr>
      </w:pPr>
      <w:r>
        <w:rPr>
          <w:rFonts w:cs="FrankRuehl" w:hint="cs"/>
          <w:sz w:val="28"/>
          <w:szCs w:val="28"/>
          <w:rtl/>
        </w:rPr>
        <w:t xml:space="preserve">הוצעה הצעה נוספת במסגרתה </w:t>
      </w:r>
      <w:r w:rsidR="004C5190">
        <w:rPr>
          <w:rFonts w:cs="FrankRuehl" w:hint="cs"/>
          <w:sz w:val="28"/>
          <w:szCs w:val="28"/>
          <w:rtl/>
        </w:rPr>
        <w:t xml:space="preserve">בנק לא יוכל להציע ללקוחות חברת כרטיסי האשראי שהופרדה ממנו כרטיס אשראי בנקאי אלא רק לחברות כרטיסי האשראי האחרות. </w:t>
      </w:r>
    </w:p>
    <w:p w:rsidR="004C5190" w:rsidRPr="001F1EF4" w:rsidRDefault="00804FE2" w:rsidP="001F1EF4">
      <w:pPr>
        <w:pStyle w:val="a3"/>
        <w:numPr>
          <w:ilvl w:val="0"/>
          <w:numId w:val="1"/>
        </w:numPr>
        <w:spacing w:line="360" w:lineRule="auto"/>
        <w:jc w:val="both"/>
        <w:rPr>
          <w:rFonts w:cs="FrankRuehl"/>
          <w:sz w:val="28"/>
          <w:szCs w:val="28"/>
        </w:rPr>
      </w:pPr>
      <w:r>
        <w:rPr>
          <w:rFonts w:cs="FrankRuehl" w:hint="cs"/>
          <w:sz w:val="28"/>
          <w:szCs w:val="28"/>
          <w:rtl/>
        </w:rPr>
        <w:t>סוכם כי נושא זה יידון בהמשך ישיבות הוועדה</w:t>
      </w:r>
      <w:r w:rsidR="00563FF3">
        <w:rPr>
          <w:rFonts w:cs="FrankRuehl" w:hint="cs"/>
          <w:sz w:val="28"/>
          <w:szCs w:val="28"/>
          <w:rtl/>
        </w:rPr>
        <w:t xml:space="preserve"> </w:t>
      </w:r>
    </w:p>
    <w:p w:rsidR="00B008B3" w:rsidRPr="00C36EC2" w:rsidRDefault="00B008B3" w:rsidP="00B008B3">
      <w:pPr>
        <w:spacing w:line="360" w:lineRule="auto"/>
        <w:jc w:val="both"/>
        <w:rPr>
          <w:rFonts w:cs="FrankRuehl"/>
          <w:b/>
          <w:bCs/>
          <w:sz w:val="28"/>
          <w:szCs w:val="28"/>
          <w:u w:val="single"/>
          <w:rtl/>
        </w:rPr>
      </w:pPr>
      <w:r w:rsidRPr="00C36EC2">
        <w:rPr>
          <w:rFonts w:cs="FrankRuehl" w:hint="cs"/>
          <w:b/>
          <w:bCs/>
          <w:sz w:val="28"/>
          <w:szCs w:val="28"/>
          <w:u w:val="single"/>
          <w:rtl/>
        </w:rPr>
        <w:t xml:space="preserve"> </w:t>
      </w:r>
    </w:p>
    <w:p w:rsidR="00C44F9A" w:rsidRDefault="00C44F9A"/>
    <w:sectPr w:rsidR="00C44F9A"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114ED"/>
    <w:multiLevelType w:val="hybridMultilevel"/>
    <w:tmpl w:val="09D6BD1E"/>
    <w:lvl w:ilvl="0" w:tplc="4154A42E">
      <w:start w:val="1"/>
      <w:numFmt w:val="hebrew1"/>
      <w:lvlText w:val="%1."/>
      <w:lvlJc w:val="left"/>
      <w:pPr>
        <w:ind w:left="530" w:hanging="360"/>
      </w:pPr>
      <w:rPr>
        <w:rFonts w:hint="default"/>
      </w:rPr>
    </w:lvl>
    <w:lvl w:ilvl="1" w:tplc="04090019">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nsid w:val="70397C9B"/>
    <w:multiLevelType w:val="hybridMultilevel"/>
    <w:tmpl w:val="5568E97A"/>
    <w:lvl w:ilvl="0" w:tplc="C3B0B9F2">
      <w:start w:val="1"/>
      <w:numFmt w:val="bullet"/>
      <w:lvlText w:val=""/>
      <w:lvlJc w:val="left"/>
      <w:pPr>
        <w:ind w:left="1440" w:hanging="360"/>
      </w:pPr>
      <w:rPr>
        <w:rFonts w:ascii="Wingdings" w:hAnsi="Wingdings" w:cs="Wingdings" w:hint="default"/>
        <w:color w:val="1F497D" w:themeColor="text2"/>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9DD6CB4"/>
    <w:multiLevelType w:val="hybridMultilevel"/>
    <w:tmpl w:val="69044E80"/>
    <w:lvl w:ilvl="0" w:tplc="CB703D50">
      <w:numFmt w:val="bullet"/>
      <w:lvlText w:val=""/>
      <w:lvlJc w:val="left"/>
      <w:pPr>
        <w:ind w:left="720" w:hanging="360"/>
      </w:pPr>
      <w:rPr>
        <w:rFonts w:ascii="Symbol" w:eastAsiaTheme="minorHAnsi" w:hAnsi="Symbol" w:cs="FrankRuehl" w:hint="default"/>
        <w:sz w:val="26"/>
      </w:rPr>
    </w:lvl>
    <w:lvl w:ilvl="1" w:tplc="F18AE3C2">
      <w:start w:val="1"/>
      <w:numFmt w:val="decimal"/>
      <w:lvlText w:val="%2."/>
      <w:lvlJc w:val="left"/>
      <w:pPr>
        <w:ind w:left="1440" w:hanging="360"/>
      </w:pPr>
      <w:rPr>
        <w:rFonts w:asciiTheme="majorBidi" w:eastAsiaTheme="minorHAnsi" w:hAnsiTheme="majorBidi" w:cs="FrankRueh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B3"/>
    <w:rsid w:val="001F1EF4"/>
    <w:rsid w:val="004C5190"/>
    <w:rsid w:val="00563FF3"/>
    <w:rsid w:val="005A3A54"/>
    <w:rsid w:val="00611C72"/>
    <w:rsid w:val="00804FE2"/>
    <w:rsid w:val="00813885"/>
    <w:rsid w:val="00B008B3"/>
    <w:rsid w:val="00C44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B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EF4"/>
    <w:pPr>
      <w:ind w:left="720"/>
      <w:contextualSpacing/>
    </w:pPr>
  </w:style>
  <w:style w:type="paragraph" w:styleId="a4">
    <w:name w:val="Balloon Text"/>
    <w:basedOn w:val="a"/>
    <w:link w:val="a5"/>
    <w:uiPriority w:val="99"/>
    <w:semiHidden/>
    <w:unhideWhenUsed/>
    <w:rsid w:val="001F1EF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F1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B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EF4"/>
    <w:pPr>
      <w:ind w:left="720"/>
      <w:contextualSpacing/>
    </w:pPr>
  </w:style>
  <w:style w:type="paragraph" w:styleId="a4">
    <w:name w:val="Balloon Text"/>
    <w:basedOn w:val="a"/>
    <w:link w:val="a5"/>
    <w:uiPriority w:val="99"/>
    <w:semiHidden/>
    <w:unhideWhenUsed/>
    <w:rsid w:val="001F1EF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F1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21</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9BE6B-68A8-4CEA-AE48-27C8D8F3B7A3}"/>
</file>

<file path=customXml/itemProps2.xml><?xml version="1.0" encoding="utf-8"?>
<ds:datastoreItem xmlns:ds="http://schemas.openxmlformats.org/officeDocument/2006/customXml" ds:itemID="{D738719C-D348-4E18-8773-B5969FD9DBC4}"/>
</file>

<file path=customXml/itemProps3.xml><?xml version="1.0" encoding="utf-8"?>
<ds:datastoreItem xmlns:ds="http://schemas.openxmlformats.org/officeDocument/2006/customXml" ds:itemID="{D87BC056-EBE4-4048-A9DB-29CDA621F765}"/>
</file>

<file path=docProps/app.xml><?xml version="1.0" encoding="utf-8"?>
<Properties xmlns="http://schemas.openxmlformats.org/officeDocument/2006/extended-properties" xmlns:vt="http://schemas.openxmlformats.org/officeDocument/2006/docPropsVTypes">
  <Template>Normal</Template>
  <TotalTime>25</TotalTime>
  <Pages>2</Pages>
  <Words>211</Words>
  <Characters>1060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15.11.2015</dc:title>
  <dc:creator>אבי כהן</dc:creator>
  <cp:lastModifiedBy>אבי כהן</cp:lastModifiedBy>
  <cp:revision>5</cp:revision>
  <dcterms:created xsi:type="dcterms:W3CDTF">2015-12-15T17:05:00Z</dcterms:created>
  <dcterms:modified xsi:type="dcterms:W3CDTF">2015-12-30T08:27:00Z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