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39" w:rsidRPr="003F2328" w:rsidRDefault="00134D39" w:rsidP="009B6CF8">
      <w:pPr>
        <w:rPr>
          <w:rFonts w:cs="FrankRuehl"/>
          <w:rtl/>
        </w:rPr>
      </w:pPr>
      <w:r>
        <w:rPr>
          <w:rFonts w:cs="FrankRuehl" w:hint="cs"/>
          <w:rtl/>
        </w:rPr>
        <w:t>1</w:t>
      </w:r>
      <w:r w:rsidR="009B6CF8">
        <w:rPr>
          <w:rFonts w:cs="FrankRuehl" w:hint="cs"/>
          <w:rtl/>
        </w:rPr>
        <w:t>5</w:t>
      </w:r>
      <w:r w:rsidRPr="003F2328">
        <w:rPr>
          <w:rFonts w:cs="FrankRuehl"/>
          <w:rtl/>
        </w:rPr>
        <w:t xml:space="preserve"> </w:t>
      </w:r>
      <w:r>
        <w:rPr>
          <w:rFonts w:cs="FrankRuehl" w:hint="cs"/>
          <w:rtl/>
        </w:rPr>
        <w:t>ביולי</w:t>
      </w:r>
      <w:r w:rsidRPr="003F2328">
        <w:rPr>
          <w:rFonts w:cs="FrankRuehl"/>
          <w:rtl/>
        </w:rPr>
        <w:t xml:space="preserve"> 2015</w:t>
      </w:r>
      <w:bookmarkStart w:id="0" w:name="DocNum"/>
      <w:bookmarkEnd w:id="0"/>
    </w:p>
    <w:p w:rsidR="00134D39" w:rsidRPr="003F2328" w:rsidRDefault="00134D39" w:rsidP="00134D39">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134D39" w:rsidRPr="003F2328" w:rsidRDefault="00134D39" w:rsidP="00134D39">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134D39" w:rsidRDefault="00134D39" w:rsidP="00134D39">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134D39" w:rsidRPr="003F2328" w:rsidRDefault="00134D39" w:rsidP="009B6CF8">
      <w:pPr>
        <w:spacing w:line="240" w:lineRule="exact"/>
        <w:jc w:val="both"/>
        <w:rPr>
          <w:rFonts w:cs="FrankRuehl"/>
          <w:sz w:val="26"/>
          <w:szCs w:val="26"/>
          <w:rtl/>
        </w:rPr>
      </w:pPr>
      <w:proofErr w:type="spellStart"/>
      <w:r>
        <w:rPr>
          <w:rFonts w:cs="FrankRuehl" w:hint="cs"/>
          <w:sz w:val="26"/>
          <w:szCs w:val="26"/>
          <w:rtl/>
        </w:rPr>
        <w:t>פרופ</w:t>
      </w:r>
      <w:proofErr w:type="spellEnd"/>
      <w:r>
        <w:rPr>
          <w:rFonts w:cs="FrankRuehl" w:hint="cs"/>
          <w:sz w:val="26"/>
          <w:szCs w:val="26"/>
          <w:rtl/>
        </w:rPr>
        <w:t>', אבי בן בסט, האוניברסיטה העברית והמכללה למנהל</w:t>
      </w:r>
    </w:p>
    <w:p w:rsidR="009B6CF8" w:rsidRDefault="009B6CF8" w:rsidP="009B6CF8">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134D39" w:rsidRPr="003F2328" w:rsidRDefault="00134D39" w:rsidP="00134D39">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134D39" w:rsidRPr="003F2328" w:rsidRDefault="00134D39" w:rsidP="00134D39">
      <w:pPr>
        <w:spacing w:line="240" w:lineRule="exact"/>
        <w:jc w:val="both"/>
        <w:rPr>
          <w:rFonts w:cs="FrankRuehl"/>
          <w:sz w:val="26"/>
          <w:szCs w:val="26"/>
          <w:u w:val="single"/>
          <w:rtl/>
        </w:rPr>
      </w:pPr>
      <w:r w:rsidRPr="003F2328">
        <w:rPr>
          <w:rFonts w:cs="FrankRuehl" w:hint="cs"/>
          <w:sz w:val="26"/>
          <w:szCs w:val="26"/>
          <w:u w:val="single"/>
          <w:rtl/>
        </w:rPr>
        <w:t>נציגים:</w:t>
      </w:r>
    </w:p>
    <w:p w:rsidR="009B6CF8" w:rsidRDefault="009B6CF8" w:rsidP="00134D39">
      <w:pPr>
        <w:spacing w:line="240" w:lineRule="exact"/>
        <w:jc w:val="both"/>
        <w:rPr>
          <w:rFonts w:cs="FrankRuehl"/>
          <w:sz w:val="26"/>
          <w:szCs w:val="26"/>
          <w:rtl/>
        </w:rPr>
      </w:pPr>
      <w:r>
        <w:rPr>
          <w:rFonts w:cs="FrankRuehl" w:hint="cs"/>
          <w:sz w:val="26"/>
          <w:szCs w:val="26"/>
          <w:rtl/>
        </w:rPr>
        <w:t>יואל בריס, משרד האוצר</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134D39" w:rsidRDefault="00134D39" w:rsidP="00134D39">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p>
    <w:p w:rsidR="00134D39" w:rsidRPr="003F2328" w:rsidRDefault="00134D39" w:rsidP="00134D39">
      <w:pPr>
        <w:spacing w:line="240" w:lineRule="exact"/>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רויטל קיסר, בנק ישראל</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סטיב לב, בנק ישראל</w:t>
      </w:r>
    </w:p>
    <w:p w:rsidR="00134D39" w:rsidRDefault="00335517" w:rsidP="00134D39">
      <w:pPr>
        <w:spacing w:line="240" w:lineRule="exact"/>
        <w:jc w:val="both"/>
        <w:rPr>
          <w:rFonts w:cs="FrankRuehl"/>
          <w:sz w:val="26"/>
          <w:szCs w:val="26"/>
          <w:rtl/>
        </w:rPr>
      </w:pPr>
      <w:r>
        <w:rPr>
          <w:rFonts w:cs="FrankRuehl" w:hint="cs"/>
          <w:sz w:val="26"/>
          <w:szCs w:val="26"/>
          <w:rtl/>
        </w:rPr>
        <w:t xml:space="preserve">ד"ר </w:t>
      </w:r>
      <w:r w:rsidR="00134D39">
        <w:rPr>
          <w:rFonts w:cs="FrankRuehl" w:hint="cs"/>
          <w:sz w:val="26"/>
          <w:szCs w:val="26"/>
          <w:rtl/>
        </w:rPr>
        <w:t>אסף אילת, הרשות להגבלים עסקיים</w:t>
      </w:r>
    </w:p>
    <w:p w:rsidR="009B6CF8" w:rsidRDefault="00335517" w:rsidP="00134D39">
      <w:pPr>
        <w:spacing w:line="240" w:lineRule="exact"/>
        <w:jc w:val="both"/>
        <w:rPr>
          <w:rFonts w:cs="FrankRuehl"/>
          <w:sz w:val="26"/>
          <w:szCs w:val="26"/>
          <w:rtl/>
        </w:rPr>
      </w:pPr>
      <w:r>
        <w:rPr>
          <w:rFonts w:cs="FrankRuehl" w:hint="cs"/>
          <w:sz w:val="26"/>
          <w:szCs w:val="26"/>
          <w:rtl/>
        </w:rPr>
        <w:t xml:space="preserve">ד"ר </w:t>
      </w:r>
      <w:r w:rsidR="009B6CF8">
        <w:rPr>
          <w:rFonts w:cs="FrankRuehl" w:hint="cs"/>
          <w:sz w:val="26"/>
          <w:szCs w:val="26"/>
          <w:rtl/>
        </w:rPr>
        <w:t>דנה הלר, הרשות להגבלים עסקיים</w:t>
      </w:r>
    </w:p>
    <w:p w:rsidR="00134D39" w:rsidRDefault="00134D39" w:rsidP="00134D39">
      <w:pPr>
        <w:spacing w:line="240" w:lineRule="exact"/>
        <w:jc w:val="both"/>
        <w:rPr>
          <w:rFonts w:cs="FrankRuehl"/>
          <w:sz w:val="26"/>
          <w:szCs w:val="26"/>
          <w:rtl/>
        </w:rPr>
      </w:pPr>
      <w:r>
        <w:rPr>
          <w:rFonts w:cs="FrankRuehl" w:hint="cs"/>
          <w:sz w:val="26"/>
          <w:szCs w:val="26"/>
          <w:rtl/>
        </w:rPr>
        <w:t>אורי שרף, הרשות להגבלים עסקיים</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הרשות להגבלים עסקיים</w:t>
      </w:r>
    </w:p>
    <w:p w:rsidR="009B6CF8" w:rsidRPr="003F2328" w:rsidRDefault="009B6CF8" w:rsidP="00134D39">
      <w:pPr>
        <w:spacing w:line="240" w:lineRule="exact"/>
        <w:jc w:val="both"/>
        <w:rPr>
          <w:rFonts w:cs="FrankRuehl"/>
          <w:sz w:val="26"/>
          <w:szCs w:val="26"/>
          <w:rtl/>
        </w:rPr>
      </w:pPr>
      <w:r>
        <w:rPr>
          <w:rFonts w:cs="FrankRuehl" w:hint="cs"/>
          <w:sz w:val="26"/>
          <w:szCs w:val="26"/>
          <w:rtl/>
        </w:rPr>
        <w:t>יואב גפני, אגף שוק ההון ביטוח וחיסכון</w:t>
      </w:r>
    </w:p>
    <w:p w:rsidR="00134D39" w:rsidRPr="003F2328" w:rsidRDefault="00134D39" w:rsidP="00134D39">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134D39" w:rsidRDefault="00134D39" w:rsidP="00134D39">
      <w:pPr>
        <w:spacing w:line="240" w:lineRule="exact"/>
        <w:jc w:val="both"/>
        <w:rPr>
          <w:rFonts w:cs="FrankRuehl"/>
          <w:sz w:val="26"/>
          <w:szCs w:val="26"/>
          <w:rtl/>
        </w:rPr>
      </w:pPr>
    </w:p>
    <w:p w:rsidR="00134D39" w:rsidRDefault="00134D39" w:rsidP="00134D39">
      <w:pPr>
        <w:spacing w:line="240" w:lineRule="exact"/>
        <w:jc w:val="both"/>
        <w:rPr>
          <w:rFonts w:cs="FrankRuehl"/>
          <w:sz w:val="26"/>
          <w:szCs w:val="26"/>
          <w:rtl/>
        </w:rPr>
      </w:pPr>
    </w:p>
    <w:p w:rsidR="00134D39" w:rsidRDefault="00134D39" w:rsidP="00134D39">
      <w:pPr>
        <w:spacing w:line="240" w:lineRule="exact"/>
        <w:jc w:val="both"/>
        <w:rPr>
          <w:rFonts w:cs="FrankRuehl"/>
          <w:sz w:val="26"/>
          <w:szCs w:val="26"/>
          <w:rtl/>
        </w:rPr>
      </w:pPr>
    </w:p>
    <w:p w:rsidR="009B6CF8" w:rsidRDefault="009B6CF8" w:rsidP="00134D39">
      <w:pPr>
        <w:spacing w:line="240" w:lineRule="exact"/>
        <w:jc w:val="both"/>
        <w:rPr>
          <w:rFonts w:cs="FrankRuehl"/>
          <w:sz w:val="26"/>
          <w:szCs w:val="26"/>
          <w:rtl/>
        </w:rPr>
      </w:pPr>
    </w:p>
    <w:p w:rsidR="009B6CF8" w:rsidRDefault="009B6CF8" w:rsidP="00134D39">
      <w:pPr>
        <w:spacing w:line="240" w:lineRule="exact"/>
        <w:jc w:val="both"/>
        <w:rPr>
          <w:rFonts w:cs="FrankRuehl"/>
          <w:sz w:val="26"/>
          <w:szCs w:val="26"/>
          <w:rtl/>
        </w:rPr>
      </w:pPr>
    </w:p>
    <w:p w:rsidR="009B6CF8" w:rsidRDefault="009B6CF8" w:rsidP="00134D39">
      <w:pPr>
        <w:spacing w:line="240" w:lineRule="exact"/>
        <w:jc w:val="both"/>
        <w:rPr>
          <w:rFonts w:cs="FrankRuehl"/>
          <w:sz w:val="26"/>
          <w:szCs w:val="26"/>
          <w:rtl/>
        </w:rPr>
      </w:pPr>
    </w:p>
    <w:p w:rsidR="009B6CF8" w:rsidRDefault="009B6CF8" w:rsidP="00134D39">
      <w:pPr>
        <w:spacing w:line="240" w:lineRule="exact"/>
        <w:jc w:val="both"/>
        <w:rPr>
          <w:rFonts w:cs="FrankRuehl"/>
          <w:sz w:val="26"/>
          <w:szCs w:val="26"/>
          <w:rtl/>
        </w:rPr>
      </w:pPr>
    </w:p>
    <w:p w:rsidR="009B6CF8" w:rsidRDefault="009B6CF8" w:rsidP="00134D39">
      <w:pPr>
        <w:spacing w:line="240" w:lineRule="exact"/>
        <w:jc w:val="both"/>
        <w:rPr>
          <w:rFonts w:cs="FrankRuehl" w:hint="cs"/>
          <w:sz w:val="26"/>
          <w:szCs w:val="26"/>
          <w:rtl/>
        </w:rPr>
      </w:pPr>
    </w:p>
    <w:p w:rsidR="001C6440" w:rsidRDefault="001C6440" w:rsidP="00134D39">
      <w:pPr>
        <w:spacing w:line="240" w:lineRule="exact"/>
        <w:jc w:val="both"/>
        <w:rPr>
          <w:rFonts w:cs="FrankRuehl" w:hint="cs"/>
          <w:sz w:val="26"/>
          <w:szCs w:val="26"/>
          <w:rtl/>
        </w:rPr>
      </w:pPr>
    </w:p>
    <w:p w:rsidR="001C6440" w:rsidRDefault="001C6440" w:rsidP="00134D39">
      <w:pPr>
        <w:spacing w:line="240" w:lineRule="exact"/>
        <w:jc w:val="both"/>
        <w:rPr>
          <w:rFonts w:cs="FrankRuehl"/>
          <w:sz w:val="26"/>
          <w:szCs w:val="26"/>
          <w:rtl/>
        </w:rPr>
      </w:pPr>
    </w:p>
    <w:p w:rsidR="00134D39" w:rsidRDefault="00134D39" w:rsidP="001C6440">
      <w:pPr>
        <w:spacing w:line="360" w:lineRule="auto"/>
        <w:jc w:val="both"/>
        <w:rPr>
          <w:rFonts w:cs="FrankRuehl"/>
          <w:b/>
          <w:bCs/>
          <w:sz w:val="26"/>
          <w:szCs w:val="26"/>
          <w:u w:val="single"/>
          <w:rtl/>
        </w:rPr>
      </w:pPr>
      <w:r>
        <w:rPr>
          <w:rFonts w:cs="FrankRuehl" w:hint="cs"/>
          <w:b/>
          <w:bCs/>
          <w:sz w:val="26"/>
          <w:szCs w:val="26"/>
          <w:u w:val="single"/>
          <w:rtl/>
        </w:rPr>
        <w:lastRenderedPageBreak/>
        <w:t xml:space="preserve">סיכום דיון </w:t>
      </w:r>
      <w:bookmarkStart w:id="1" w:name="_GoBack"/>
      <w:bookmarkEnd w:id="1"/>
    </w:p>
    <w:p w:rsidR="007C369C" w:rsidRDefault="007C369C" w:rsidP="007C369C">
      <w:pPr>
        <w:pStyle w:val="a3"/>
        <w:numPr>
          <w:ilvl w:val="0"/>
          <w:numId w:val="2"/>
        </w:numPr>
        <w:spacing w:line="360" w:lineRule="auto"/>
        <w:jc w:val="both"/>
        <w:rPr>
          <w:rFonts w:cs="FrankRuehl"/>
          <w:sz w:val="26"/>
          <w:szCs w:val="26"/>
        </w:rPr>
      </w:pPr>
      <w:r w:rsidRPr="003F2328">
        <w:rPr>
          <w:rFonts w:cs="FrankRuehl" w:hint="cs"/>
          <w:sz w:val="26"/>
          <w:szCs w:val="26"/>
          <w:rtl/>
        </w:rPr>
        <w:t xml:space="preserve">יו"ר הוועדה, דרור שטרום, פתח והציג את נושא הדיון להיום, </w:t>
      </w:r>
      <w:r>
        <w:rPr>
          <w:rFonts w:cs="FrankRuehl" w:hint="cs"/>
          <w:sz w:val="26"/>
          <w:szCs w:val="26"/>
          <w:rtl/>
        </w:rPr>
        <w:t>רפורמה במערכת הבנקאות שנעשתה באנגליה.</w:t>
      </w:r>
    </w:p>
    <w:p w:rsidR="007C369C" w:rsidRDefault="007C369C" w:rsidP="007C369C">
      <w:pPr>
        <w:pStyle w:val="a3"/>
        <w:numPr>
          <w:ilvl w:val="0"/>
          <w:numId w:val="2"/>
        </w:numPr>
        <w:spacing w:line="360" w:lineRule="auto"/>
        <w:jc w:val="both"/>
        <w:rPr>
          <w:rFonts w:cs="FrankRuehl"/>
          <w:sz w:val="26"/>
          <w:szCs w:val="26"/>
        </w:rPr>
      </w:pPr>
      <w:r>
        <w:rPr>
          <w:rFonts w:cs="FrankRuehl" w:hint="cs"/>
          <w:sz w:val="26"/>
          <w:szCs w:val="26"/>
          <w:rtl/>
        </w:rPr>
        <w:t>הוצגה מצגת. להלן עיקרי המצגת והשלמות חברי הועדה</w:t>
      </w:r>
      <w:r w:rsidR="0043078E">
        <w:rPr>
          <w:rFonts w:cs="FrankRuehl" w:hint="cs"/>
          <w:sz w:val="26"/>
          <w:szCs w:val="26"/>
          <w:rtl/>
        </w:rPr>
        <w:t>(ראו מצגת)</w:t>
      </w:r>
      <w:r>
        <w:rPr>
          <w:rFonts w:cs="FrankRuehl" w:hint="cs"/>
          <w:sz w:val="26"/>
          <w:szCs w:val="26"/>
          <w:rtl/>
        </w:rPr>
        <w:t xml:space="preserve">: </w:t>
      </w:r>
    </w:p>
    <w:p w:rsidR="009B6CF8" w:rsidRDefault="0043078E" w:rsidP="007C369C">
      <w:pPr>
        <w:pStyle w:val="a3"/>
        <w:numPr>
          <w:ilvl w:val="1"/>
          <w:numId w:val="2"/>
        </w:numPr>
        <w:spacing w:line="360" w:lineRule="auto"/>
        <w:jc w:val="both"/>
        <w:rPr>
          <w:rFonts w:cs="FrankRuehl"/>
          <w:sz w:val="26"/>
          <w:szCs w:val="26"/>
        </w:rPr>
      </w:pPr>
      <w:r>
        <w:rPr>
          <w:rFonts w:cs="FrankRuehl" w:hint="cs"/>
          <w:sz w:val="26"/>
          <w:szCs w:val="26"/>
          <w:rtl/>
        </w:rPr>
        <w:t>הוצג המצב הריכוזי במערכת הבנקאית באנגליה.</w:t>
      </w:r>
    </w:p>
    <w:p w:rsidR="0043078E" w:rsidRDefault="0043078E" w:rsidP="007C369C">
      <w:pPr>
        <w:pStyle w:val="a3"/>
        <w:numPr>
          <w:ilvl w:val="1"/>
          <w:numId w:val="2"/>
        </w:numPr>
        <w:spacing w:line="360" w:lineRule="auto"/>
        <w:jc w:val="both"/>
        <w:rPr>
          <w:rFonts w:cs="FrankRuehl"/>
          <w:sz w:val="26"/>
          <w:szCs w:val="26"/>
        </w:rPr>
      </w:pPr>
      <w:r>
        <w:rPr>
          <w:rFonts w:cs="FrankRuehl" w:hint="cs"/>
          <w:sz w:val="26"/>
          <w:szCs w:val="26"/>
          <w:rtl/>
        </w:rPr>
        <w:t>הוצג תיאור המצב על בסיס סקר שנערך לצרכנים ולבעלי עסקים קטנים.</w:t>
      </w:r>
    </w:p>
    <w:p w:rsidR="0043078E" w:rsidRDefault="0043078E" w:rsidP="001A41B7">
      <w:pPr>
        <w:pStyle w:val="a3"/>
        <w:numPr>
          <w:ilvl w:val="1"/>
          <w:numId w:val="2"/>
        </w:numPr>
        <w:spacing w:line="360" w:lineRule="auto"/>
        <w:jc w:val="both"/>
        <w:rPr>
          <w:rFonts w:cs="FrankRuehl"/>
          <w:sz w:val="26"/>
          <w:szCs w:val="26"/>
        </w:rPr>
      </w:pPr>
      <w:r>
        <w:rPr>
          <w:rFonts w:cs="FrankRuehl" w:hint="cs"/>
          <w:sz w:val="26"/>
          <w:szCs w:val="26"/>
          <w:rtl/>
        </w:rPr>
        <w:t xml:space="preserve">הוצג הפוטנציאל התחרותי של שחקנים חדשים. נאמר כי </w:t>
      </w:r>
      <w:r w:rsidR="001A41B7">
        <w:rPr>
          <w:rFonts w:cs="FrankRuehl" w:hint="cs"/>
          <w:sz w:val="26"/>
          <w:szCs w:val="26"/>
          <w:rtl/>
        </w:rPr>
        <w:t xml:space="preserve">בטווח הקצר </w:t>
      </w:r>
      <w:r>
        <w:rPr>
          <w:rFonts w:cs="FrankRuehl" w:hint="cs"/>
          <w:sz w:val="26"/>
          <w:szCs w:val="26"/>
          <w:rtl/>
        </w:rPr>
        <w:t>עיקר הפוטנציאל התחרותי נובע מבנקים בינוניים המחזיקים נתח שוק של 5%-12%. בנקים אלו הינם הבנקים המצליחים להגדיל את נתח השוק שלהם</w:t>
      </w:r>
      <w:r w:rsidR="001A41B7">
        <w:rPr>
          <w:rFonts w:cs="FrankRuehl" w:hint="cs"/>
          <w:sz w:val="26"/>
          <w:szCs w:val="26"/>
          <w:rtl/>
        </w:rPr>
        <w:t>, בשיעור המשמעותי ביותר בטווח הקצר</w:t>
      </w:r>
      <w:r>
        <w:rPr>
          <w:rFonts w:cs="FrankRuehl" w:hint="cs"/>
          <w:sz w:val="26"/>
          <w:szCs w:val="26"/>
          <w:rtl/>
        </w:rPr>
        <w:t>.</w:t>
      </w:r>
    </w:p>
    <w:p w:rsidR="0043078E" w:rsidRDefault="0043078E" w:rsidP="001A41B7">
      <w:pPr>
        <w:pStyle w:val="a3"/>
        <w:numPr>
          <w:ilvl w:val="1"/>
          <w:numId w:val="2"/>
        </w:numPr>
        <w:spacing w:line="360" w:lineRule="auto"/>
        <w:jc w:val="both"/>
        <w:rPr>
          <w:rFonts w:cs="FrankRuehl"/>
          <w:sz w:val="26"/>
          <w:szCs w:val="26"/>
        </w:rPr>
      </w:pPr>
      <w:r>
        <w:rPr>
          <w:rFonts w:cs="FrankRuehl" w:hint="cs"/>
          <w:sz w:val="26"/>
          <w:szCs w:val="26"/>
          <w:rtl/>
        </w:rPr>
        <w:t>הוצגו ההמלצות המתוארות בדו"ח הרפורמה בעניין תחרות ויציבות המערכת (ראו מצגת)</w:t>
      </w:r>
      <w:r w:rsidR="001A41B7">
        <w:rPr>
          <w:rFonts w:cs="FrankRuehl" w:hint="cs"/>
          <w:sz w:val="26"/>
          <w:szCs w:val="26"/>
          <w:rtl/>
        </w:rPr>
        <w:t xml:space="preserve"> </w:t>
      </w:r>
      <w:r w:rsidR="0063136C">
        <w:rPr>
          <w:rFonts w:cs="FrankRuehl" w:hint="cs"/>
          <w:sz w:val="26"/>
          <w:szCs w:val="26"/>
          <w:rtl/>
        </w:rPr>
        <w:t>ביניהם הקמת מערכת "עקוב אחרי" לחשבונות הבנקים לצורך הגברת הניוד והתחרות</w:t>
      </w:r>
      <w:r w:rsidR="001A41B7">
        <w:rPr>
          <w:rFonts w:cs="FrankRuehl" w:hint="cs"/>
          <w:sz w:val="26"/>
          <w:szCs w:val="26"/>
          <w:rtl/>
        </w:rPr>
        <w:t xml:space="preserve"> </w:t>
      </w:r>
      <w:r w:rsidR="0063136C">
        <w:rPr>
          <w:rFonts w:cs="FrankRuehl" w:hint="cs"/>
          <w:sz w:val="26"/>
          <w:szCs w:val="26"/>
          <w:rtl/>
        </w:rPr>
        <w:t>והקלות רגולטוריות לגופים פיננסים קטנים יחסית</w:t>
      </w:r>
      <w:r w:rsidR="00F85DCE">
        <w:rPr>
          <w:rFonts w:cs="FrankRuehl" w:hint="cs"/>
          <w:sz w:val="26"/>
          <w:szCs w:val="26"/>
          <w:rtl/>
        </w:rPr>
        <w:t>. הרציונל שרואה הוועדה הבריטית בכך הינו</w:t>
      </w:r>
      <w:r w:rsidR="00335517">
        <w:rPr>
          <w:rFonts w:cs="FrankRuehl" w:hint="cs"/>
          <w:sz w:val="26"/>
          <w:szCs w:val="26"/>
          <w:rtl/>
        </w:rPr>
        <w:t xml:space="preserve"> ששחקן בעל נפח שוק של עד</w:t>
      </w:r>
      <w:r w:rsidR="001A41B7">
        <w:rPr>
          <w:rFonts w:cs="FrankRuehl" w:hint="cs"/>
          <w:sz w:val="26"/>
          <w:szCs w:val="26"/>
          <w:rtl/>
        </w:rPr>
        <w:t xml:space="preserve"> 1% </w:t>
      </w:r>
      <w:proofErr w:type="spellStart"/>
      <w:r w:rsidR="00335517">
        <w:rPr>
          <w:rFonts w:cs="FrankRuehl" w:hint="cs"/>
          <w:sz w:val="26"/>
          <w:szCs w:val="26"/>
          <w:rtl/>
        </w:rPr>
        <w:t>מהתמ"ג</w:t>
      </w:r>
      <w:proofErr w:type="spellEnd"/>
      <w:r w:rsidR="00335517">
        <w:rPr>
          <w:rFonts w:cs="FrankRuehl" w:hint="cs"/>
          <w:sz w:val="26"/>
          <w:szCs w:val="26"/>
          <w:rtl/>
        </w:rPr>
        <w:t xml:space="preserve"> לא מהווה</w:t>
      </w:r>
      <w:r w:rsidR="001A41B7">
        <w:rPr>
          <w:rFonts w:cs="FrankRuehl" w:hint="cs"/>
          <w:sz w:val="26"/>
          <w:szCs w:val="26"/>
          <w:rtl/>
        </w:rPr>
        <w:t xml:space="preserve"> סיכון סיסטמי</w:t>
      </w:r>
      <w:r w:rsidR="0063136C">
        <w:rPr>
          <w:rFonts w:cs="FrankRuehl" w:hint="cs"/>
          <w:sz w:val="26"/>
          <w:szCs w:val="26"/>
          <w:rtl/>
        </w:rPr>
        <w:t xml:space="preserve"> ולכן הדרישות הרגולטוריות מגופים אלו צריכים להיות נמוכים יותר</w:t>
      </w:r>
      <w:r w:rsidR="001A41B7">
        <w:rPr>
          <w:rFonts w:cs="FrankRuehl" w:hint="cs"/>
          <w:sz w:val="26"/>
          <w:szCs w:val="26"/>
          <w:rtl/>
        </w:rPr>
        <w:t xml:space="preserve">; תנאי הון ראשוני נמוכים במיוחד, תנאי הלימות הון נמוכים שהולכים וגדלים עם הזמן; תהליך קבלת רישיון קצר יחסית (מקסימום חצי שנה ולא שנתיים כמו בארץ). </w:t>
      </w:r>
    </w:p>
    <w:p w:rsidR="00BA312A" w:rsidRDefault="00BA312A" w:rsidP="00BA312A">
      <w:pPr>
        <w:pStyle w:val="a3"/>
        <w:numPr>
          <w:ilvl w:val="1"/>
          <w:numId w:val="2"/>
        </w:numPr>
        <w:spacing w:line="360" w:lineRule="auto"/>
        <w:jc w:val="both"/>
        <w:rPr>
          <w:rFonts w:cs="FrankRuehl"/>
          <w:sz w:val="26"/>
          <w:szCs w:val="26"/>
        </w:rPr>
      </w:pPr>
      <w:r>
        <w:rPr>
          <w:rFonts w:cs="FrankRuehl" w:hint="cs"/>
          <w:sz w:val="26"/>
          <w:szCs w:val="26"/>
          <w:rtl/>
        </w:rPr>
        <w:t>בשלב זה, יו"ר הוועדה , הציג סיכום של התובנות העיקריות מעבודת הוועדה עד כה.</w:t>
      </w:r>
      <w:r w:rsidR="00EF6AB6">
        <w:rPr>
          <w:rFonts w:cs="FrankRuehl" w:hint="cs"/>
          <w:sz w:val="26"/>
          <w:szCs w:val="26"/>
          <w:rtl/>
        </w:rPr>
        <w:t xml:space="preserve"> נאמרו הדברים הבאים:</w:t>
      </w:r>
    </w:p>
    <w:p w:rsidR="00BA312A" w:rsidRDefault="00BA312A" w:rsidP="00857D2E">
      <w:pPr>
        <w:pStyle w:val="a3"/>
        <w:numPr>
          <w:ilvl w:val="2"/>
          <w:numId w:val="2"/>
        </w:numPr>
        <w:spacing w:line="360" w:lineRule="auto"/>
        <w:jc w:val="both"/>
        <w:rPr>
          <w:rFonts w:cs="FrankRuehl"/>
          <w:sz w:val="26"/>
          <w:szCs w:val="26"/>
        </w:rPr>
      </w:pPr>
      <w:r>
        <w:rPr>
          <w:rFonts w:cs="FrankRuehl" w:hint="cs"/>
          <w:sz w:val="26"/>
          <w:szCs w:val="26"/>
          <w:rtl/>
        </w:rPr>
        <w:t xml:space="preserve">יש לפעול הן מצד הביקוש לשירותים הפיננסים, בעיקרם אשראי, והן מצד ההיצע. כלומר, מצד אחד יש לבחון באילו כלים ניתן לסייע לצרכן </w:t>
      </w:r>
      <w:proofErr w:type="spellStart"/>
      <w:r>
        <w:rPr>
          <w:rFonts w:cs="FrankRuehl" w:hint="cs"/>
          <w:sz w:val="26"/>
          <w:szCs w:val="26"/>
          <w:rtl/>
        </w:rPr>
        <w:t>ולהנגיש</w:t>
      </w:r>
      <w:proofErr w:type="spellEnd"/>
      <w:r>
        <w:rPr>
          <w:rFonts w:cs="FrankRuehl" w:hint="cs"/>
          <w:sz w:val="26"/>
          <w:szCs w:val="26"/>
          <w:rtl/>
        </w:rPr>
        <w:t xml:space="preserve"> לו בצורה הטובה ביותר את המוצרים. מצד שני, יש להגביר את ההיצע ע"י הגברת התחרות והסרת חסמים המונעים משחקנים שונים להתחרות.</w:t>
      </w:r>
    </w:p>
    <w:p w:rsidR="0063136C" w:rsidRDefault="0063136C" w:rsidP="0063136C">
      <w:pPr>
        <w:pStyle w:val="a3"/>
        <w:numPr>
          <w:ilvl w:val="2"/>
          <w:numId w:val="2"/>
        </w:numPr>
        <w:spacing w:line="360" w:lineRule="auto"/>
        <w:jc w:val="both"/>
        <w:rPr>
          <w:rFonts w:cs="FrankRuehl"/>
          <w:sz w:val="26"/>
          <w:szCs w:val="26"/>
        </w:rPr>
      </w:pPr>
      <w:r>
        <w:rPr>
          <w:rFonts w:cs="FrankRuehl" w:hint="cs"/>
          <w:sz w:val="26"/>
          <w:szCs w:val="26"/>
          <w:rtl/>
        </w:rPr>
        <w:t xml:space="preserve">בשלב זה, אין היתכנות לכניסת בנקים חדשים למערכת וכן לכניסת אגודות אשראי ובנקים אינטרנטיים. </w:t>
      </w:r>
    </w:p>
    <w:p w:rsidR="0063136C" w:rsidRDefault="0063136C" w:rsidP="0063136C">
      <w:pPr>
        <w:pStyle w:val="a3"/>
        <w:numPr>
          <w:ilvl w:val="2"/>
          <w:numId w:val="2"/>
        </w:numPr>
        <w:spacing w:line="360" w:lineRule="auto"/>
        <w:jc w:val="both"/>
        <w:rPr>
          <w:rFonts w:cs="FrankRuehl"/>
          <w:sz w:val="26"/>
          <w:szCs w:val="26"/>
        </w:rPr>
      </w:pPr>
      <w:r>
        <w:rPr>
          <w:rFonts w:cs="FrankRuehl" w:hint="cs"/>
          <w:sz w:val="26"/>
          <w:szCs w:val="26"/>
          <w:rtl/>
        </w:rPr>
        <w:t>בשלב זה, עושה רושם כי הגופים המוסדיים לא יכנסו לשוק האשראי הקמעונאי באופן ישיר ויש לבחון כיצד הם יוכלו להיכנס לשוק זה באופן עקיף.</w:t>
      </w:r>
    </w:p>
    <w:p w:rsidR="0063136C" w:rsidRPr="00B75CF1" w:rsidRDefault="0063136C" w:rsidP="0063136C">
      <w:pPr>
        <w:pStyle w:val="a3"/>
        <w:numPr>
          <w:ilvl w:val="2"/>
          <w:numId w:val="2"/>
        </w:numPr>
        <w:spacing w:line="360" w:lineRule="auto"/>
        <w:jc w:val="both"/>
        <w:rPr>
          <w:rFonts w:cs="FrankRuehl"/>
          <w:sz w:val="26"/>
          <w:szCs w:val="26"/>
        </w:rPr>
      </w:pPr>
      <w:r>
        <w:rPr>
          <w:rFonts w:cs="FrankRuehl" w:hint="cs"/>
          <w:sz w:val="26"/>
          <w:szCs w:val="26"/>
          <w:rtl/>
        </w:rPr>
        <w:t xml:space="preserve">חברות כרטיסי האשראי עושות את הרושם כבעלות הפוטנציאל הגבוה ביותר לכניסת מתחרה חדש בסקטור השירותים הפיננסים. </w:t>
      </w:r>
    </w:p>
    <w:p w:rsidR="009B6CF8" w:rsidRPr="00B75CF1" w:rsidRDefault="00BB3EDB" w:rsidP="00B75CF1">
      <w:pPr>
        <w:pStyle w:val="a3"/>
        <w:numPr>
          <w:ilvl w:val="1"/>
          <w:numId w:val="2"/>
        </w:numPr>
        <w:spacing w:line="360" w:lineRule="auto"/>
        <w:jc w:val="both"/>
        <w:rPr>
          <w:rFonts w:cs="FrankRuehl"/>
          <w:sz w:val="26"/>
          <w:szCs w:val="26"/>
        </w:rPr>
      </w:pPr>
      <w:r>
        <w:rPr>
          <w:rFonts w:cs="FrankRuehl" w:hint="cs"/>
          <w:sz w:val="26"/>
          <w:szCs w:val="26"/>
          <w:rtl/>
        </w:rPr>
        <w:t>בנוסף נאמרו הדברים הבאים ע"י חברי הוועדה:</w:t>
      </w:r>
    </w:p>
    <w:p w:rsidR="00BB3EDB" w:rsidRDefault="00BB3EDB" w:rsidP="00BB3EDB">
      <w:pPr>
        <w:pStyle w:val="a3"/>
        <w:numPr>
          <w:ilvl w:val="2"/>
          <w:numId w:val="2"/>
        </w:numPr>
        <w:spacing w:line="360" w:lineRule="auto"/>
        <w:jc w:val="both"/>
        <w:rPr>
          <w:rFonts w:cs="FrankRuehl"/>
          <w:sz w:val="26"/>
          <w:szCs w:val="26"/>
        </w:rPr>
      </w:pPr>
      <w:r>
        <w:rPr>
          <w:rFonts w:cs="FrankRuehl" w:hint="cs"/>
          <w:sz w:val="26"/>
          <w:szCs w:val="26"/>
          <w:rtl/>
        </w:rPr>
        <w:t>יש לוודא</w:t>
      </w:r>
      <w:r w:rsidR="0063136C">
        <w:rPr>
          <w:rFonts w:cs="FrankRuehl" w:hint="cs"/>
          <w:sz w:val="26"/>
          <w:szCs w:val="26"/>
          <w:rtl/>
        </w:rPr>
        <w:t xml:space="preserve"> שהוועדה אינה מתבדרת </w:t>
      </w:r>
      <w:r>
        <w:rPr>
          <w:rFonts w:cs="FrankRuehl" w:hint="cs"/>
          <w:sz w:val="26"/>
          <w:szCs w:val="26"/>
          <w:rtl/>
        </w:rPr>
        <w:t xml:space="preserve">ומתמקדת </w:t>
      </w:r>
      <w:r w:rsidR="0063136C">
        <w:rPr>
          <w:rFonts w:cs="FrankRuehl" w:hint="cs"/>
          <w:sz w:val="26"/>
          <w:szCs w:val="26"/>
          <w:rtl/>
        </w:rPr>
        <w:t>בנושאים המהותיים אשר יביאו להגברת התחרות בענף.</w:t>
      </w:r>
    </w:p>
    <w:p w:rsidR="0063136C" w:rsidRPr="00B75CF1" w:rsidRDefault="0063136C" w:rsidP="0063136C">
      <w:pPr>
        <w:pStyle w:val="a3"/>
        <w:numPr>
          <w:ilvl w:val="2"/>
          <w:numId w:val="2"/>
        </w:numPr>
        <w:spacing w:line="360" w:lineRule="auto"/>
        <w:jc w:val="both"/>
        <w:rPr>
          <w:rFonts w:cs="FrankRuehl"/>
          <w:sz w:val="26"/>
          <w:szCs w:val="26"/>
        </w:rPr>
      </w:pPr>
      <w:r>
        <w:rPr>
          <w:rFonts w:cs="FrankRuehl" w:hint="cs"/>
          <w:sz w:val="26"/>
          <w:szCs w:val="26"/>
          <w:rtl/>
        </w:rPr>
        <w:lastRenderedPageBreak/>
        <w:t>עיקר הפוקוס עדיין הינו על האפשרות ליצירת תחרות מהפרדה הבעלות על חברות כרטיסי האשראי.</w:t>
      </w:r>
    </w:p>
    <w:p w:rsidR="00BB3EDB" w:rsidRDefault="0063136C" w:rsidP="00BB3EDB">
      <w:pPr>
        <w:pStyle w:val="a3"/>
        <w:numPr>
          <w:ilvl w:val="2"/>
          <w:numId w:val="2"/>
        </w:numPr>
        <w:spacing w:line="360" w:lineRule="auto"/>
        <w:jc w:val="both"/>
        <w:rPr>
          <w:rFonts w:cs="FrankRuehl"/>
          <w:sz w:val="26"/>
          <w:szCs w:val="26"/>
        </w:rPr>
      </w:pPr>
      <w:r>
        <w:rPr>
          <w:rFonts w:cs="FrankRuehl" w:hint="cs"/>
          <w:sz w:val="26"/>
          <w:szCs w:val="26"/>
          <w:rtl/>
        </w:rPr>
        <w:t xml:space="preserve">בנוסף </w:t>
      </w:r>
      <w:r w:rsidR="00BB3EDB">
        <w:rPr>
          <w:rFonts w:cs="FrankRuehl" w:hint="cs"/>
          <w:sz w:val="26"/>
          <w:szCs w:val="26"/>
          <w:rtl/>
        </w:rPr>
        <w:t xml:space="preserve">יש ליצור תנאים לתחרות, כלומר יצירת תשתיות ופלטפורמות המאפשרות לכלל השחקנים בשוק להתחרות על הלקוחות ומצד שני מאפשרות ללקוחות לבחור ולהשתתף במשחק התחרותי. </w:t>
      </w:r>
    </w:p>
    <w:p w:rsidR="00BA312A" w:rsidRDefault="00BA312A" w:rsidP="00BA312A">
      <w:pPr>
        <w:pStyle w:val="a3"/>
        <w:numPr>
          <w:ilvl w:val="2"/>
          <w:numId w:val="2"/>
        </w:numPr>
        <w:spacing w:line="360" w:lineRule="auto"/>
        <w:jc w:val="both"/>
        <w:rPr>
          <w:rFonts w:cs="FrankRuehl"/>
          <w:sz w:val="26"/>
          <w:szCs w:val="26"/>
        </w:rPr>
      </w:pPr>
      <w:r>
        <w:rPr>
          <w:rFonts w:cs="FrankRuehl" w:hint="cs"/>
          <w:sz w:val="26"/>
          <w:szCs w:val="26"/>
          <w:rtl/>
        </w:rPr>
        <w:t>דוגמא ליצירת תנאים לתחרות ניתן היה לראות בשינוי התחרותי שעשה הצעד שאפשר את ניוד המספרים בשוק הסלולר. הודגש כי עצם האפשרות לניוד צפויה להוות השפעה מכרעת על התחרות. כלומר התחרות תיווצר מעצם האפשרות למעבר בין נותני השירותים הבנקאיים והפיננסים.</w:t>
      </w:r>
    </w:p>
    <w:p w:rsidR="00EF6AB6" w:rsidRDefault="00EF6AB6" w:rsidP="00BA312A">
      <w:pPr>
        <w:pStyle w:val="a3"/>
        <w:numPr>
          <w:ilvl w:val="2"/>
          <w:numId w:val="2"/>
        </w:numPr>
        <w:spacing w:line="360" w:lineRule="auto"/>
        <w:jc w:val="both"/>
        <w:rPr>
          <w:rFonts w:cs="FrankRuehl"/>
          <w:sz w:val="26"/>
          <w:szCs w:val="26"/>
        </w:rPr>
      </w:pPr>
      <w:r>
        <w:rPr>
          <w:rFonts w:cs="FrankRuehl" w:hint="cs"/>
          <w:sz w:val="26"/>
          <w:szCs w:val="26"/>
          <w:rtl/>
        </w:rPr>
        <w:t>יש לבחון את האפשרות ליצירת פיצולים בתוך המערכת הבנקאית ע"י הפרדת חברות אם מחברות בת. לפיצולים שכאלו יכולה להיות השפעה גדולה יותר על תחרות במערכת מאשר צעדים אחרים.</w:t>
      </w:r>
    </w:p>
    <w:p w:rsidR="00EF6AB6" w:rsidRDefault="00EF6AB6" w:rsidP="00BA312A">
      <w:pPr>
        <w:pStyle w:val="a3"/>
        <w:numPr>
          <w:ilvl w:val="2"/>
          <w:numId w:val="2"/>
        </w:numPr>
        <w:spacing w:line="360" w:lineRule="auto"/>
        <w:jc w:val="both"/>
        <w:rPr>
          <w:rFonts w:cs="FrankRuehl"/>
          <w:sz w:val="26"/>
          <w:szCs w:val="26"/>
        </w:rPr>
      </w:pPr>
      <w:r>
        <w:rPr>
          <w:rFonts w:cs="FrankRuehl" w:hint="cs"/>
          <w:sz w:val="26"/>
          <w:szCs w:val="26"/>
          <w:rtl/>
        </w:rPr>
        <w:t>יש לבחון את האפשרות להחלת ביטוח פיקדונות על המערכת בכדי לעודד את האמון של הציבור בבנקים קטנים. נאמר כי הצגה של סוגיה זו תיעשה בהרחבה בהמשך עבודת הוועדה.</w:t>
      </w:r>
    </w:p>
    <w:p w:rsidR="00F0345D" w:rsidRDefault="00F0345D" w:rsidP="00BA312A">
      <w:pPr>
        <w:pStyle w:val="a3"/>
        <w:numPr>
          <w:ilvl w:val="2"/>
          <w:numId w:val="2"/>
        </w:numPr>
        <w:spacing w:line="360" w:lineRule="auto"/>
        <w:jc w:val="both"/>
        <w:rPr>
          <w:rFonts w:cs="FrankRuehl"/>
          <w:sz w:val="26"/>
          <w:szCs w:val="26"/>
        </w:rPr>
      </w:pPr>
      <w:r>
        <w:rPr>
          <w:rFonts w:cs="FrankRuehl" w:hint="cs"/>
          <w:sz w:val="26"/>
          <w:szCs w:val="26"/>
          <w:rtl/>
        </w:rPr>
        <w:t>ביטוח פיקדונות המוגבל תקרת סכום לחשבון מתמרץ את הלקוחות לפצל את כספם לכמה חשבונות שונים, דבר אשר יכול להוות זריקת עידוד לתחרות במערכת ולהגדיל את כוחם של הבנקים הקטנים.</w:t>
      </w:r>
    </w:p>
    <w:p w:rsidR="00EF6AB6" w:rsidRDefault="00F0345D" w:rsidP="00BA312A">
      <w:pPr>
        <w:pStyle w:val="a3"/>
        <w:numPr>
          <w:ilvl w:val="2"/>
          <w:numId w:val="2"/>
        </w:numPr>
        <w:spacing w:line="360" w:lineRule="auto"/>
        <w:jc w:val="both"/>
        <w:rPr>
          <w:rFonts w:cs="FrankRuehl"/>
          <w:sz w:val="26"/>
          <w:szCs w:val="26"/>
        </w:rPr>
      </w:pPr>
      <w:r>
        <w:rPr>
          <w:rFonts w:cs="FrankRuehl" w:hint="cs"/>
          <w:sz w:val="26"/>
          <w:szCs w:val="26"/>
          <w:rtl/>
        </w:rPr>
        <w:t>יש לחדד באיזה ענף הוועדה רואה לנכון לעודד את התחרות (ענף הבנקאות באופן כללי, ענף האשראי, ענף האשראי הצרכני, שירותים פיננסים נלווים וכו')</w:t>
      </w:r>
    </w:p>
    <w:p w:rsidR="00F0345D" w:rsidRDefault="00F0345D" w:rsidP="00BA312A">
      <w:pPr>
        <w:pStyle w:val="a3"/>
        <w:numPr>
          <w:ilvl w:val="2"/>
          <w:numId w:val="2"/>
        </w:numPr>
        <w:spacing w:line="360" w:lineRule="auto"/>
        <w:jc w:val="both"/>
        <w:rPr>
          <w:rFonts w:cs="FrankRuehl"/>
          <w:sz w:val="26"/>
          <w:szCs w:val="26"/>
        </w:rPr>
      </w:pPr>
      <w:r>
        <w:rPr>
          <w:rFonts w:cs="FrankRuehl" w:hint="cs"/>
          <w:sz w:val="26"/>
          <w:szCs w:val="26"/>
          <w:rtl/>
        </w:rPr>
        <w:t>מבחינה רגולטורית נאמר כי אין ליישם רגולציה שווה בין נותני השירותים. יש להתאים את רמת הרגולציה לרמת הסיכון והפיקוח הנדרש.</w:t>
      </w:r>
    </w:p>
    <w:p w:rsidR="007C369C" w:rsidRDefault="00F0345D" w:rsidP="00BA312A">
      <w:pPr>
        <w:pStyle w:val="a3"/>
        <w:numPr>
          <w:ilvl w:val="2"/>
          <w:numId w:val="2"/>
        </w:numPr>
        <w:spacing w:line="360" w:lineRule="auto"/>
        <w:jc w:val="both"/>
        <w:rPr>
          <w:rFonts w:cs="FrankRuehl"/>
          <w:sz w:val="26"/>
          <w:szCs w:val="26"/>
        </w:rPr>
      </w:pPr>
      <w:r>
        <w:rPr>
          <w:rFonts w:cs="FrankRuehl" w:hint="cs"/>
          <w:sz w:val="26"/>
          <w:szCs w:val="26"/>
          <w:rtl/>
        </w:rPr>
        <w:t>כיום, חברות כרטיסי האשראי נמנעות מלהיכנס לשוק האשראי באופן מהותי בכדי להימנע מתחרות על חברות האם.</w:t>
      </w:r>
      <w:r w:rsidR="0064381F">
        <w:rPr>
          <w:rFonts w:cs="FrankRuehl" w:hint="cs"/>
          <w:sz w:val="26"/>
          <w:szCs w:val="26"/>
          <w:rtl/>
        </w:rPr>
        <w:t xml:space="preserve"> </w:t>
      </w:r>
    </w:p>
    <w:p w:rsidR="00F0345D" w:rsidRPr="007C369C" w:rsidRDefault="00F0345D" w:rsidP="007C369C">
      <w:pPr>
        <w:spacing w:line="360" w:lineRule="auto"/>
        <w:ind w:left="1800"/>
        <w:jc w:val="both"/>
        <w:rPr>
          <w:rFonts w:cs="FrankRuehl"/>
          <w:sz w:val="26"/>
          <w:szCs w:val="26"/>
          <w:rtl/>
        </w:rPr>
      </w:pPr>
      <w:r w:rsidRPr="007C369C">
        <w:rPr>
          <w:rFonts w:cs="FrankRuehl" w:hint="cs"/>
          <w:sz w:val="26"/>
          <w:szCs w:val="26"/>
          <w:rtl/>
        </w:rPr>
        <w:t xml:space="preserve"> </w:t>
      </w:r>
    </w:p>
    <w:p w:rsidR="00134D39" w:rsidRDefault="00134D39" w:rsidP="00134D39">
      <w:pPr>
        <w:rPr>
          <w:rtl/>
        </w:rPr>
      </w:pPr>
    </w:p>
    <w:p w:rsidR="009B6CF8" w:rsidRDefault="009B6CF8" w:rsidP="00134D39">
      <w:pPr>
        <w:rPr>
          <w:rtl/>
        </w:rPr>
      </w:pPr>
    </w:p>
    <w:p w:rsidR="009B6CF8" w:rsidRDefault="009B6CF8" w:rsidP="009B6CF8"/>
    <w:p w:rsidR="007F4A5B" w:rsidRPr="00134D39" w:rsidRDefault="001C6440"/>
    <w:sectPr w:rsidR="007F4A5B" w:rsidRPr="00134D39"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C8B"/>
    <w:multiLevelType w:val="hybridMultilevel"/>
    <w:tmpl w:val="E1D4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46326"/>
    <w:multiLevelType w:val="hybridMultilevel"/>
    <w:tmpl w:val="F620C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621619"/>
    <w:multiLevelType w:val="hybridMultilevel"/>
    <w:tmpl w:val="F962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72E1C"/>
    <w:multiLevelType w:val="hybridMultilevel"/>
    <w:tmpl w:val="2414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39"/>
    <w:rsid w:val="00134D39"/>
    <w:rsid w:val="001A41B7"/>
    <w:rsid w:val="001C6440"/>
    <w:rsid w:val="00335517"/>
    <w:rsid w:val="0043078E"/>
    <w:rsid w:val="005A7B94"/>
    <w:rsid w:val="0063136C"/>
    <w:rsid w:val="0064381F"/>
    <w:rsid w:val="007C369C"/>
    <w:rsid w:val="00857D2E"/>
    <w:rsid w:val="00905581"/>
    <w:rsid w:val="009B6CF8"/>
    <w:rsid w:val="00B75CF1"/>
    <w:rsid w:val="00BA312A"/>
    <w:rsid w:val="00BB3EDB"/>
    <w:rsid w:val="00BC2A0F"/>
    <w:rsid w:val="00EF6AB6"/>
    <w:rsid w:val="00F0345D"/>
    <w:rsid w:val="00F85D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D3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F8"/>
    <w:pPr>
      <w:ind w:left="720"/>
      <w:contextualSpacing/>
    </w:pPr>
  </w:style>
  <w:style w:type="paragraph" w:styleId="a4">
    <w:name w:val="Balloon Text"/>
    <w:basedOn w:val="a"/>
    <w:link w:val="a5"/>
    <w:uiPriority w:val="99"/>
    <w:semiHidden/>
    <w:unhideWhenUsed/>
    <w:rsid w:val="001A41B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A41B7"/>
    <w:rPr>
      <w:rFonts w:ascii="Tahoma" w:hAnsi="Tahoma" w:cs="Tahoma"/>
      <w:sz w:val="16"/>
      <w:szCs w:val="16"/>
    </w:rPr>
  </w:style>
  <w:style w:type="character" w:styleId="a6">
    <w:name w:val="annotation reference"/>
    <w:basedOn w:val="a0"/>
    <w:uiPriority w:val="99"/>
    <w:semiHidden/>
    <w:unhideWhenUsed/>
    <w:rsid w:val="0063136C"/>
    <w:rPr>
      <w:sz w:val="16"/>
      <w:szCs w:val="16"/>
    </w:rPr>
  </w:style>
  <w:style w:type="paragraph" w:styleId="a7">
    <w:name w:val="annotation text"/>
    <w:basedOn w:val="a"/>
    <w:link w:val="a8"/>
    <w:uiPriority w:val="99"/>
    <w:semiHidden/>
    <w:unhideWhenUsed/>
    <w:rsid w:val="0063136C"/>
    <w:pPr>
      <w:spacing w:line="240" w:lineRule="auto"/>
    </w:pPr>
    <w:rPr>
      <w:sz w:val="20"/>
      <w:szCs w:val="20"/>
    </w:rPr>
  </w:style>
  <w:style w:type="character" w:customStyle="1" w:styleId="a8">
    <w:name w:val="טקסט הערה תו"/>
    <w:basedOn w:val="a0"/>
    <w:link w:val="a7"/>
    <w:uiPriority w:val="99"/>
    <w:semiHidden/>
    <w:rsid w:val="006313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D3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F8"/>
    <w:pPr>
      <w:ind w:left="720"/>
      <w:contextualSpacing/>
    </w:pPr>
  </w:style>
  <w:style w:type="paragraph" w:styleId="a4">
    <w:name w:val="Balloon Text"/>
    <w:basedOn w:val="a"/>
    <w:link w:val="a5"/>
    <w:uiPriority w:val="99"/>
    <w:semiHidden/>
    <w:unhideWhenUsed/>
    <w:rsid w:val="001A41B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A41B7"/>
    <w:rPr>
      <w:rFonts w:ascii="Tahoma" w:hAnsi="Tahoma" w:cs="Tahoma"/>
      <w:sz w:val="16"/>
      <w:szCs w:val="16"/>
    </w:rPr>
  </w:style>
  <w:style w:type="character" w:styleId="a6">
    <w:name w:val="annotation reference"/>
    <w:basedOn w:val="a0"/>
    <w:uiPriority w:val="99"/>
    <w:semiHidden/>
    <w:unhideWhenUsed/>
    <w:rsid w:val="0063136C"/>
    <w:rPr>
      <w:sz w:val="16"/>
      <w:szCs w:val="16"/>
    </w:rPr>
  </w:style>
  <w:style w:type="paragraph" w:styleId="a7">
    <w:name w:val="annotation text"/>
    <w:basedOn w:val="a"/>
    <w:link w:val="a8"/>
    <w:uiPriority w:val="99"/>
    <w:semiHidden/>
    <w:unhideWhenUsed/>
    <w:rsid w:val="0063136C"/>
    <w:pPr>
      <w:spacing w:line="240" w:lineRule="auto"/>
    </w:pPr>
    <w:rPr>
      <w:sz w:val="20"/>
      <w:szCs w:val="20"/>
    </w:rPr>
  </w:style>
  <w:style w:type="character" w:customStyle="1" w:styleId="a8">
    <w:name w:val="טקסט הערה תו"/>
    <w:basedOn w:val="a0"/>
    <w:link w:val="a7"/>
    <w:uiPriority w:val="99"/>
    <w:semiHidden/>
    <w:rsid w:val="00631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8</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F5685-ED66-49A6-872B-0E37A91686C0}"/>
</file>

<file path=customXml/itemProps2.xml><?xml version="1.0" encoding="utf-8"?>
<ds:datastoreItem xmlns:ds="http://schemas.openxmlformats.org/officeDocument/2006/customXml" ds:itemID="{70912ED1-BD87-48BC-83B8-D6CB1DB4479A}"/>
</file>

<file path=customXml/itemProps3.xml><?xml version="1.0" encoding="utf-8"?>
<ds:datastoreItem xmlns:ds="http://schemas.openxmlformats.org/officeDocument/2006/customXml" ds:itemID="{AD5EA935-8842-4F51-8AD3-0D9E67A24469}"/>
</file>

<file path=docProps/app.xml><?xml version="1.0" encoding="utf-8"?>
<Properties xmlns="http://schemas.openxmlformats.org/officeDocument/2006/extended-properties" xmlns:vt="http://schemas.openxmlformats.org/officeDocument/2006/docPropsVTypes">
  <Template>Normal</Template>
  <TotalTime>14</TotalTime>
  <Pages>3</Pages>
  <Words>623</Words>
  <Characters>3115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15.07.2015</dc:title>
  <dc:creator>מעבדה טכני</dc:creator>
  <cp:lastModifiedBy>אבי כהן</cp:lastModifiedBy>
  <cp:revision>7</cp:revision>
  <dcterms:created xsi:type="dcterms:W3CDTF">2015-07-20T12:48:00Z</dcterms:created>
  <dcterms:modified xsi:type="dcterms:W3CDTF">2016-01-05T17:58:00Z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