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D1" w:rsidRPr="003F2328" w:rsidRDefault="009277D1" w:rsidP="009277D1">
      <w:pPr>
        <w:ind w:left="6153"/>
        <w:rPr>
          <w:rFonts w:cs="FrankRuehl"/>
          <w:rtl/>
        </w:rPr>
      </w:pPr>
      <w:bookmarkStart w:id="0" w:name="Date"/>
      <w:bookmarkEnd w:id="0"/>
      <w:r w:rsidRPr="003F2328">
        <w:rPr>
          <w:rFonts w:cs="FrankRuehl"/>
          <w:rtl/>
        </w:rPr>
        <w:t xml:space="preserve">כ"ז בסיון </w:t>
      </w:r>
      <w:proofErr w:type="spellStart"/>
      <w:r w:rsidRPr="003F2328">
        <w:rPr>
          <w:rFonts w:cs="FrankRuehl"/>
          <w:rtl/>
        </w:rPr>
        <w:t>התשע"ה</w:t>
      </w:r>
      <w:proofErr w:type="spellEnd"/>
      <w:r w:rsidRPr="003F2328">
        <w:rPr>
          <w:rFonts w:cs="FrankRuehl"/>
          <w:rtl/>
        </w:rPr>
        <w:br/>
        <w:t>14 ביוני 2015</w:t>
      </w:r>
      <w:bookmarkStart w:id="1" w:name="DocNum"/>
      <w:bookmarkEnd w:id="1"/>
    </w:p>
    <w:p w:rsidR="007F4A5B" w:rsidRPr="003F2328" w:rsidRDefault="009277D1" w:rsidP="009277D1">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9277D1" w:rsidRPr="003F2328" w:rsidRDefault="009277D1" w:rsidP="009277D1">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9277D1" w:rsidRPr="003F2328" w:rsidRDefault="009277D1" w:rsidP="008217D7">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מר אבי </w:t>
      </w:r>
      <w:proofErr w:type="spellStart"/>
      <w:r w:rsidRPr="003F2328">
        <w:rPr>
          <w:rFonts w:cs="FrankRuehl" w:hint="cs"/>
          <w:sz w:val="26"/>
          <w:szCs w:val="26"/>
          <w:rtl/>
        </w:rPr>
        <w:t>ליכט</w:t>
      </w:r>
      <w:proofErr w:type="spellEnd"/>
      <w:r w:rsidRPr="003F2328">
        <w:rPr>
          <w:rFonts w:cs="FrankRuehl" w:hint="cs"/>
          <w:sz w:val="26"/>
          <w:szCs w:val="26"/>
          <w:rtl/>
        </w:rPr>
        <w:t>, המשנה ליועץ המשפטי לממשלה (כלכלי-פיסקאלי), משרד המשפטים</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9277D1" w:rsidRPr="003F2328" w:rsidRDefault="00F82B41" w:rsidP="009277D1">
      <w:pPr>
        <w:spacing w:line="240" w:lineRule="exact"/>
        <w:jc w:val="both"/>
        <w:rPr>
          <w:rFonts w:cs="FrankRuehl"/>
          <w:sz w:val="26"/>
          <w:szCs w:val="26"/>
          <w:u w:val="single"/>
          <w:rtl/>
        </w:rPr>
      </w:pPr>
      <w:r w:rsidRPr="003F2328">
        <w:rPr>
          <w:rFonts w:cs="FrankRuehl" w:hint="cs"/>
          <w:sz w:val="26"/>
          <w:szCs w:val="26"/>
          <w:rtl/>
        </w:rPr>
        <w:t>הגברת יעל מבורך, סגנית הממונה על התקציבים במשרד האוצר</w:t>
      </w:r>
    </w:p>
    <w:p w:rsidR="009277D1" w:rsidRPr="003F2328" w:rsidRDefault="009277D1" w:rsidP="009277D1">
      <w:pPr>
        <w:spacing w:line="240" w:lineRule="exact"/>
        <w:jc w:val="both"/>
        <w:rPr>
          <w:rFonts w:cs="FrankRuehl"/>
          <w:sz w:val="26"/>
          <w:szCs w:val="26"/>
          <w:u w:val="single"/>
          <w:rtl/>
        </w:rPr>
      </w:pPr>
      <w:r w:rsidRPr="003F2328">
        <w:rPr>
          <w:rFonts w:cs="FrankRuehl" w:hint="cs"/>
          <w:sz w:val="26"/>
          <w:szCs w:val="26"/>
          <w:u w:val="single"/>
          <w:rtl/>
        </w:rPr>
        <w:t>נציגים:</w:t>
      </w:r>
    </w:p>
    <w:p w:rsidR="00F82B41" w:rsidRDefault="00F82B41" w:rsidP="009277D1">
      <w:pPr>
        <w:spacing w:line="240" w:lineRule="exact"/>
        <w:jc w:val="both"/>
        <w:rPr>
          <w:rFonts w:cs="FrankRuehl"/>
          <w:sz w:val="26"/>
          <w:szCs w:val="26"/>
          <w:rtl/>
        </w:rPr>
      </w:pPr>
      <w:r w:rsidRPr="003F2328">
        <w:rPr>
          <w:rFonts w:cs="FrankRuehl" w:hint="cs"/>
          <w:sz w:val="26"/>
          <w:szCs w:val="26"/>
          <w:rtl/>
        </w:rPr>
        <w:t>יואל בריס, משרד האוצר</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3F2328" w:rsidRPr="003F2328" w:rsidRDefault="009277D1" w:rsidP="002C7C71">
      <w:pPr>
        <w:spacing w:line="240" w:lineRule="exact"/>
        <w:jc w:val="both"/>
        <w:rPr>
          <w:rFonts w:cs="FrankRuehl"/>
          <w:sz w:val="26"/>
          <w:szCs w:val="26"/>
          <w:rtl/>
        </w:rPr>
      </w:pPr>
      <w:r w:rsidRPr="003F2328">
        <w:rPr>
          <w:rFonts w:cs="FrankRuehl" w:hint="cs"/>
          <w:sz w:val="26"/>
          <w:szCs w:val="26"/>
          <w:rtl/>
        </w:rPr>
        <w:t xml:space="preserve">כפיר </w:t>
      </w:r>
      <w:proofErr w:type="spellStart"/>
      <w:r w:rsidRPr="003F2328">
        <w:rPr>
          <w:rFonts w:cs="FrankRuehl" w:hint="cs"/>
          <w:sz w:val="26"/>
          <w:szCs w:val="26"/>
          <w:rtl/>
        </w:rPr>
        <w:t>בטט</w:t>
      </w:r>
      <w:proofErr w:type="spellEnd"/>
      <w:r w:rsidRPr="003F2328">
        <w:rPr>
          <w:rFonts w:cs="FrankRuehl" w:hint="cs"/>
          <w:sz w:val="26"/>
          <w:szCs w:val="26"/>
          <w:rtl/>
        </w:rPr>
        <w:t>, משרד האוצר</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רויטל קיסר, בנק ישראל</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מיקי </w:t>
      </w:r>
      <w:proofErr w:type="spellStart"/>
      <w:r w:rsidRPr="003F2328">
        <w:rPr>
          <w:rFonts w:cs="FrankRuehl" w:hint="cs"/>
          <w:sz w:val="26"/>
          <w:szCs w:val="26"/>
          <w:rtl/>
        </w:rPr>
        <w:t>קהן</w:t>
      </w:r>
      <w:proofErr w:type="spellEnd"/>
      <w:r w:rsidRPr="003F2328">
        <w:rPr>
          <w:rFonts w:cs="FrankRuehl" w:hint="cs"/>
          <w:sz w:val="26"/>
          <w:szCs w:val="26"/>
          <w:rtl/>
        </w:rPr>
        <w:t>, בנק ישראל</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דביר </w:t>
      </w:r>
      <w:proofErr w:type="spellStart"/>
      <w:r w:rsidRPr="003F2328">
        <w:rPr>
          <w:rFonts w:cs="FrankRuehl" w:hint="cs"/>
          <w:sz w:val="26"/>
          <w:szCs w:val="26"/>
          <w:rtl/>
        </w:rPr>
        <w:t>ז'ורנו</w:t>
      </w:r>
      <w:proofErr w:type="spellEnd"/>
      <w:r w:rsidRPr="003F2328">
        <w:rPr>
          <w:rFonts w:cs="FrankRuehl" w:hint="cs"/>
          <w:sz w:val="26"/>
          <w:szCs w:val="26"/>
          <w:rtl/>
        </w:rPr>
        <w:t>, בנק ישראל</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סטיב לב, בנק ישראל</w:t>
      </w:r>
    </w:p>
    <w:p w:rsidR="003F2328" w:rsidRPr="003F2328" w:rsidRDefault="003F2328" w:rsidP="009277D1">
      <w:pPr>
        <w:spacing w:line="240" w:lineRule="exact"/>
        <w:jc w:val="both"/>
        <w:rPr>
          <w:rFonts w:cs="FrankRuehl"/>
          <w:sz w:val="26"/>
          <w:szCs w:val="26"/>
          <w:rtl/>
        </w:rPr>
      </w:pPr>
      <w:r w:rsidRPr="003F2328">
        <w:rPr>
          <w:rFonts w:cs="FrankRuehl" w:hint="cs"/>
          <w:sz w:val="26"/>
          <w:szCs w:val="26"/>
          <w:rtl/>
        </w:rPr>
        <w:t xml:space="preserve">הראל </w:t>
      </w:r>
      <w:proofErr w:type="spellStart"/>
      <w:r w:rsidRPr="003F2328">
        <w:rPr>
          <w:rFonts w:cs="FrankRuehl" w:hint="cs"/>
          <w:sz w:val="26"/>
          <w:szCs w:val="26"/>
          <w:rtl/>
        </w:rPr>
        <w:t>שליסל</w:t>
      </w:r>
      <w:proofErr w:type="spellEnd"/>
      <w:r w:rsidRPr="003F2328">
        <w:rPr>
          <w:rFonts w:cs="FrankRuehl" w:hint="cs"/>
          <w:sz w:val="26"/>
          <w:szCs w:val="26"/>
          <w:rtl/>
        </w:rPr>
        <w:t>, בנק ישראל</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נעם </w:t>
      </w:r>
      <w:proofErr w:type="spellStart"/>
      <w:r w:rsidRPr="003F2328">
        <w:rPr>
          <w:rFonts w:cs="FrankRuehl" w:hint="cs"/>
          <w:sz w:val="26"/>
          <w:szCs w:val="26"/>
          <w:rtl/>
        </w:rPr>
        <w:t>פרלסון</w:t>
      </w:r>
      <w:proofErr w:type="spellEnd"/>
      <w:r w:rsidRPr="003F2328">
        <w:rPr>
          <w:rFonts w:cs="FrankRuehl" w:hint="cs"/>
          <w:sz w:val="26"/>
          <w:szCs w:val="26"/>
          <w:rtl/>
        </w:rPr>
        <w:t xml:space="preserve">, </w:t>
      </w:r>
      <w:r w:rsidR="003F2328" w:rsidRPr="003F2328">
        <w:rPr>
          <w:rFonts w:cs="FrankRuehl" w:hint="cs"/>
          <w:sz w:val="26"/>
          <w:szCs w:val="26"/>
          <w:rtl/>
        </w:rPr>
        <w:t>ה</w:t>
      </w:r>
      <w:r w:rsidRPr="003F2328">
        <w:rPr>
          <w:rFonts w:cs="FrankRuehl" w:hint="cs"/>
          <w:sz w:val="26"/>
          <w:szCs w:val="26"/>
          <w:rtl/>
        </w:rPr>
        <w:t>רשות להגבלים עסקיים</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אלעד </w:t>
      </w:r>
      <w:proofErr w:type="spellStart"/>
      <w:r w:rsidRPr="003F2328">
        <w:rPr>
          <w:rFonts w:cs="FrankRuehl" w:hint="cs"/>
          <w:sz w:val="26"/>
          <w:szCs w:val="26"/>
          <w:rtl/>
        </w:rPr>
        <w:t>מקדסי</w:t>
      </w:r>
      <w:proofErr w:type="spellEnd"/>
      <w:r w:rsidRPr="003F2328">
        <w:rPr>
          <w:rFonts w:cs="FrankRuehl" w:hint="cs"/>
          <w:sz w:val="26"/>
          <w:szCs w:val="26"/>
          <w:rtl/>
        </w:rPr>
        <w:t xml:space="preserve">, </w:t>
      </w:r>
      <w:r w:rsidR="003F2328" w:rsidRPr="003F2328">
        <w:rPr>
          <w:rFonts w:cs="FrankRuehl" w:hint="cs"/>
          <w:sz w:val="26"/>
          <w:szCs w:val="26"/>
          <w:rtl/>
        </w:rPr>
        <w:t>ה</w:t>
      </w:r>
      <w:r w:rsidRPr="003F2328">
        <w:rPr>
          <w:rFonts w:cs="FrankRuehl" w:hint="cs"/>
          <w:sz w:val="26"/>
          <w:szCs w:val="26"/>
          <w:rtl/>
        </w:rPr>
        <w:t>רשות להגבלים עסקיים</w:t>
      </w:r>
    </w:p>
    <w:p w:rsidR="003F2328" w:rsidRPr="003F2328" w:rsidRDefault="003F2328" w:rsidP="009277D1">
      <w:pPr>
        <w:spacing w:line="240" w:lineRule="exact"/>
        <w:jc w:val="both"/>
        <w:rPr>
          <w:rFonts w:cs="FrankRuehl"/>
          <w:sz w:val="26"/>
          <w:szCs w:val="26"/>
          <w:rtl/>
        </w:rPr>
      </w:pPr>
      <w:r w:rsidRPr="003F2328">
        <w:rPr>
          <w:rFonts w:cs="FrankRuehl" w:hint="cs"/>
          <w:sz w:val="26"/>
          <w:szCs w:val="26"/>
          <w:rtl/>
        </w:rPr>
        <w:t>נועה אוליבר, הרשות להגבלים עסקיים</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טלמור</w:t>
      </w:r>
      <w:proofErr w:type="spellEnd"/>
      <w:r w:rsidRPr="003F2328">
        <w:rPr>
          <w:rFonts w:cs="FrankRuehl" w:hint="cs"/>
          <w:sz w:val="26"/>
          <w:szCs w:val="26"/>
          <w:rtl/>
        </w:rPr>
        <w:t>, משרד המשפטים</w:t>
      </w:r>
    </w:p>
    <w:p w:rsidR="009277D1" w:rsidRPr="003F2328" w:rsidRDefault="009277D1" w:rsidP="009277D1">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נויבאר</w:t>
      </w:r>
      <w:proofErr w:type="spellEnd"/>
      <w:r w:rsidRPr="003F2328">
        <w:rPr>
          <w:rFonts w:cs="FrankRuehl" w:hint="cs"/>
          <w:sz w:val="26"/>
          <w:szCs w:val="26"/>
          <w:rtl/>
        </w:rPr>
        <w:t>, משרד המשפטים</w:t>
      </w:r>
    </w:p>
    <w:p w:rsidR="003F2328" w:rsidRPr="003F2328" w:rsidRDefault="003F2328" w:rsidP="009277D1">
      <w:pPr>
        <w:spacing w:line="240" w:lineRule="exact"/>
        <w:jc w:val="both"/>
        <w:rPr>
          <w:rFonts w:cs="FrankRuehl"/>
          <w:sz w:val="26"/>
          <w:szCs w:val="26"/>
          <w:rtl/>
        </w:rPr>
      </w:pPr>
      <w:r w:rsidRPr="003F2328">
        <w:rPr>
          <w:rFonts w:cs="FrankRuehl" w:hint="cs"/>
          <w:sz w:val="26"/>
          <w:szCs w:val="26"/>
          <w:rtl/>
        </w:rPr>
        <w:t>אלישבע גרשוני, משרד המשפטים</w:t>
      </w:r>
    </w:p>
    <w:p w:rsidR="003F2328" w:rsidRPr="003F2328" w:rsidRDefault="003F2328" w:rsidP="009277D1">
      <w:pPr>
        <w:spacing w:line="240" w:lineRule="exact"/>
        <w:jc w:val="both"/>
        <w:rPr>
          <w:rFonts w:cs="FrankRuehl"/>
          <w:sz w:val="26"/>
          <w:szCs w:val="26"/>
          <w:rtl/>
        </w:rPr>
      </w:pPr>
      <w:r w:rsidRPr="003F2328">
        <w:rPr>
          <w:rFonts w:cs="FrankRuehl" w:hint="cs"/>
          <w:sz w:val="26"/>
          <w:szCs w:val="26"/>
          <w:rtl/>
        </w:rPr>
        <w:t xml:space="preserve">ליאור </w:t>
      </w:r>
      <w:proofErr w:type="spellStart"/>
      <w:r w:rsidRPr="003F2328">
        <w:rPr>
          <w:rFonts w:cs="FrankRuehl" w:hint="cs"/>
          <w:sz w:val="26"/>
          <w:szCs w:val="26"/>
          <w:rtl/>
        </w:rPr>
        <w:t>תבורי</w:t>
      </w:r>
      <w:proofErr w:type="spellEnd"/>
    </w:p>
    <w:p w:rsidR="003F2328" w:rsidRPr="003F2328" w:rsidRDefault="003F2328" w:rsidP="009277D1">
      <w:pPr>
        <w:spacing w:line="240" w:lineRule="exact"/>
        <w:jc w:val="both"/>
        <w:rPr>
          <w:rFonts w:cs="FrankRuehl"/>
          <w:sz w:val="26"/>
          <w:szCs w:val="26"/>
          <w:rtl/>
        </w:rPr>
      </w:pPr>
      <w:r w:rsidRPr="003F2328">
        <w:rPr>
          <w:rFonts w:cs="FrankRuehl" w:hint="cs"/>
          <w:sz w:val="26"/>
          <w:szCs w:val="26"/>
          <w:rtl/>
        </w:rPr>
        <w:t xml:space="preserve">נתן </w:t>
      </w:r>
      <w:proofErr w:type="spellStart"/>
      <w:r w:rsidRPr="003F2328">
        <w:rPr>
          <w:rFonts w:cs="FrankRuehl" w:hint="cs"/>
          <w:sz w:val="26"/>
          <w:szCs w:val="26"/>
          <w:rtl/>
        </w:rPr>
        <w:t>המדינגר</w:t>
      </w:r>
      <w:proofErr w:type="spellEnd"/>
    </w:p>
    <w:p w:rsidR="002C7C71" w:rsidRDefault="002C7C71" w:rsidP="009277D1">
      <w:pPr>
        <w:spacing w:line="240" w:lineRule="exact"/>
        <w:jc w:val="both"/>
        <w:rPr>
          <w:rFonts w:cs="FrankRuehl" w:hint="cs"/>
          <w:sz w:val="26"/>
          <w:szCs w:val="26"/>
          <w:rtl/>
        </w:rPr>
      </w:pPr>
    </w:p>
    <w:p w:rsidR="00C5543C" w:rsidRDefault="00C5543C" w:rsidP="009277D1">
      <w:pPr>
        <w:spacing w:line="240" w:lineRule="exact"/>
        <w:jc w:val="both"/>
        <w:rPr>
          <w:rFonts w:cs="FrankRuehl" w:hint="cs"/>
          <w:sz w:val="26"/>
          <w:szCs w:val="26"/>
          <w:rtl/>
        </w:rPr>
      </w:pPr>
    </w:p>
    <w:p w:rsidR="00C5543C" w:rsidRPr="003F2328" w:rsidRDefault="00C5543C" w:rsidP="009277D1">
      <w:pPr>
        <w:spacing w:line="240" w:lineRule="exact"/>
        <w:jc w:val="both"/>
        <w:rPr>
          <w:rFonts w:cs="FrankRuehl"/>
          <w:sz w:val="26"/>
          <w:szCs w:val="26"/>
          <w:rtl/>
        </w:rPr>
      </w:pPr>
    </w:p>
    <w:p w:rsidR="009277D1" w:rsidRPr="003F2328" w:rsidRDefault="009277D1" w:rsidP="009277D1">
      <w:pPr>
        <w:jc w:val="both"/>
        <w:rPr>
          <w:rFonts w:cs="FrankRuehl"/>
          <w:sz w:val="26"/>
          <w:szCs w:val="26"/>
          <w:rtl/>
        </w:rPr>
      </w:pPr>
    </w:p>
    <w:p w:rsidR="009277D1" w:rsidRPr="003F2328" w:rsidRDefault="00475698" w:rsidP="00C5543C">
      <w:pPr>
        <w:spacing w:line="360" w:lineRule="auto"/>
        <w:jc w:val="both"/>
        <w:rPr>
          <w:rFonts w:cs="FrankRuehl"/>
          <w:b/>
          <w:bCs/>
          <w:sz w:val="26"/>
          <w:szCs w:val="26"/>
          <w:u w:val="single"/>
          <w:rtl/>
        </w:rPr>
      </w:pPr>
      <w:r>
        <w:rPr>
          <w:rFonts w:cs="FrankRuehl" w:hint="cs"/>
          <w:b/>
          <w:bCs/>
          <w:sz w:val="26"/>
          <w:szCs w:val="26"/>
          <w:u w:val="single"/>
          <w:rtl/>
        </w:rPr>
        <w:lastRenderedPageBreak/>
        <w:t xml:space="preserve">סיכום דיון </w:t>
      </w:r>
      <w:bookmarkStart w:id="2" w:name="_GoBack"/>
      <w:bookmarkEnd w:id="2"/>
    </w:p>
    <w:p w:rsidR="003F2328" w:rsidRPr="003F2328" w:rsidRDefault="003F2328" w:rsidP="003F2328">
      <w:pPr>
        <w:pStyle w:val="a3"/>
        <w:numPr>
          <w:ilvl w:val="0"/>
          <w:numId w:val="4"/>
        </w:numPr>
        <w:spacing w:line="360" w:lineRule="auto"/>
        <w:jc w:val="both"/>
        <w:rPr>
          <w:rFonts w:cs="FrankRuehl"/>
          <w:sz w:val="26"/>
          <w:szCs w:val="26"/>
        </w:rPr>
      </w:pPr>
      <w:r w:rsidRPr="003F2328">
        <w:rPr>
          <w:rFonts w:cs="FrankRuehl" w:hint="cs"/>
          <w:sz w:val="26"/>
          <w:szCs w:val="26"/>
          <w:rtl/>
        </w:rPr>
        <w:t>יו"ר הוועדה, דרור שטרום, פתח והציג את נושא הדיון להיום, רקע על סקטור הבנקאות והשוק הפיננסי והשירותים המוצעים במסגרת</w:t>
      </w:r>
      <w:r w:rsidR="00FC18DF">
        <w:rPr>
          <w:rFonts w:cs="FrankRuehl" w:hint="cs"/>
          <w:sz w:val="26"/>
          <w:szCs w:val="26"/>
          <w:rtl/>
        </w:rPr>
        <w:t>ם</w:t>
      </w:r>
      <w:r w:rsidRPr="003F2328">
        <w:rPr>
          <w:rFonts w:cs="FrankRuehl" w:hint="cs"/>
          <w:sz w:val="26"/>
          <w:szCs w:val="26"/>
          <w:rtl/>
        </w:rPr>
        <w:t>.</w:t>
      </w:r>
    </w:p>
    <w:p w:rsidR="003F2328" w:rsidRPr="003F2328" w:rsidRDefault="00F82B41" w:rsidP="00F82B41">
      <w:pPr>
        <w:pStyle w:val="a3"/>
        <w:numPr>
          <w:ilvl w:val="0"/>
          <w:numId w:val="4"/>
        </w:numPr>
        <w:spacing w:line="360" w:lineRule="auto"/>
        <w:jc w:val="both"/>
        <w:rPr>
          <w:rFonts w:cs="FrankRuehl"/>
          <w:sz w:val="26"/>
          <w:szCs w:val="26"/>
        </w:rPr>
      </w:pPr>
      <w:r>
        <w:rPr>
          <w:rFonts w:cs="FrankRuehl" w:hint="cs"/>
          <w:sz w:val="26"/>
          <w:szCs w:val="26"/>
          <w:rtl/>
        </w:rPr>
        <w:t>הוצג</w:t>
      </w:r>
      <w:r w:rsidR="00FC18DF">
        <w:rPr>
          <w:rFonts w:cs="FrankRuehl" w:hint="cs"/>
          <w:sz w:val="26"/>
          <w:szCs w:val="26"/>
          <w:rtl/>
        </w:rPr>
        <w:t>ו</w:t>
      </w:r>
      <w:r>
        <w:rPr>
          <w:rFonts w:cs="FrankRuehl" w:hint="cs"/>
          <w:sz w:val="26"/>
          <w:szCs w:val="26"/>
          <w:rtl/>
        </w:rPr>
        <w:t xml:space="preserve"> שתי מצגת בנושא הדיון. להלן עיקרי המצגות והשלמות חברי הועדה:</w:t>
      </w:r>
      <w:r w:rsidR="003F2328" w:rsidRPr="003F2328">
        <w:rPr>
          <w:rFonts w:cs="FrankRuehl" w:hint="cs"/>
          <w:sz w:val="26"/>
          <w:szCs w:val="26"/>
          <w:rtl/>
        </w:rPr>
        <w:t xml:space="preserve"> </w:t>
      </w:r>
    </w:p>
    <w:p w:rsidR="003F2328" w:rsidRPr="003F2328" w:rsidRDefault="003F2328" w:rsidP="003F2328">
      <w:pPr>
        <w:pStyle w:val="a3"/>
        <w:numPr>
          <w:ilvl w:val="1"/>
          <w:numId w:val="4"/>
        </w:numPr>
        <w:spacing w:line="360" w:lineRule="auto"/>
        <w:jc w:val="both"/>
        <w:rPr>
          <w:rFonts w:cs="FrankRuehl"/>
          <w:sz w:val="26"/>
          <w:szCs w:val="26"/>
        </w:rPr>
      </w:pPr>
      <w:r w:rsidRPr="003F2328">
        <w:rPr>
          <w:rFonts w:cs="FrankRuehl" w:hint="cs"/>
          <w:sz w:val="26"/>
          <w:szCs w:val="26"/>
          <w:rtl/>
        </w:rPr>
        <w:t>הוצג מבנה מערכת הבנקאות והריכוזיות המאפיינת אותו, גם בהשוואה בינלאומית.</w:t>
      </w:r>
    </w:p>
    <w:p w:rsidR="003F2328" w:rsidRPr="003F2328" w:rsidRDefault="003F2328" w:rsidP="003F2328">
      <w:pPr>
        <w:pStyle w:val="a3"/>
        <w:numPr>
          <w:ilvl w:val="1"/>
          <w:numId w:val="4"/>
        </w:numPr>
        <w:spacing w:line="360" w:lineRule="auto"/>
        <w:jc w:val="both"/>
        <w:rPr>
          <w:rFonts w:cs="FrankRuehl"/>
          <w:sz w:val="26"/>
          <w:szCs w:val="26"/>
        </w:rPr>
      </w:pPr>
      <w:r w:rsidRPr="003F2328">
        <w:rPr>
          <w:rFonts w:cs="FrankRuehl" w:hint="cs"/>
          <w:sz w:val="26"/>
          <w:szCs w:val="26"/>
          <w:rtl/>
        </w:rPr>
        <w:t>הוצגו נתוני הרווחיות של הבנקים והודגש כי לאו דווקא הבנקים הגדולים יותר מתאפיינים ברווחיות גבוהה יותר</w:t>
      </w:r>
      <w:r w:rsidR="00F82B41">
        <w:rPr>
          <w:rFonts w:cs="FrankRuehl" w:hint="cs"/>
          <w:sz w:val="26"/>
          <w:szCs w:val="26"/>
          <w:rtl/>
        </w:rPr>
        <w:t>, אלא</w:t>
      </w:r>
      <w:r w:rsidR="00FC18DF">
        <w:rPr>
          <w:rFonts w:cs="FrankRuehl" w:hint="cs"/>
          <w:sz w:val="26"/>
          <w:szCs w:val="26"/>
          <w:rtl/>
        </w:rPr>
        <w:t xml:space="preserve"> הבנקים</w:t>
      </w:r>
      <w:r w:rsidR="00F82B41">
        <w:rPr>
          <w:rFonts w:cs="FrankRuehl" w:hint="cs"/>
          <w:sz w:val="26"/>
          <w:szCs w:val="26"/>
          <w:rtl/>
        </w:rPr>
        <w:t xml:space="preserve"> היעילים יותר</w:t>
      </w:r>
      <w:r w:rsidRPr="003F2328">
        <w:rPr>
          <w:rFonts w:cs="FrankRuehl" w:hint="cs"/>
          <w:sz w:val="26"/>
          <w:szCs w:val="26"/>
          <w:rtl/>
        </w:rPr>
        <w:t>.</w:t>
      </w:r>
    </w:p>
    <w:p w:rsidR="003F2328" w:rsidRPr="003F2328" w:rsidRDefault="003F2328" w:rsidP="003F2328">
      <w:pPr>
        <w:pStyle w:val="a3"/>
        <w:numPr>
          <w:ilvl w:val="1"/>
          <w:numId w:val="4"/>
        </w:numPr>
        <w:spacing w:line="360" w:lineRule="auto"/>
        <w:jc w:val="both"/>
        <w:rPr>
          <w:rFonts w:cs="FrankRuehl"/>
          <w:sz w:val="26"/>
          <w:szCs w:val="26"/>
        </w:rPr>
      </w:pPr>
      <w:r w:rsidRPr="003F2328">
        <w:rPr>
          <w:rFonts w:cs="FrankRuehl" w:hint="cs"/>
          <w:sz w:val="26"/>
          <w:szCs w:val="26"/>
          <w:rtl/>
        </w:rPr>
        <w:t>הוצגה השוואה בינלאומית של רווחיות הבנקים, על בסיס תשואה על נכסים, בה ניתן ל</w:t>
      </w:r>
      <w:r w:rsidR="00F82B41">
        <w:rPr>
          <w:rFonts w:cs="FrankRuehl" w:hint="cs"/>
          <w:sz w:val="26"/>
          <w:szCs w:val="26"/>
          <w:rtl/>
        </w:rPr>
        <w:t>ר</w:t>
      </w:r>
      <w:r w:rsidRPr="003F2328">
        <w:rPr>
          <w:rFonts w:cs="FrankRuehl" w:hint="cs"/>
          <w:sz w:val="26"/>
          <w:szCs w:val="26"/>
          <w:rtl/>
        </w:rPr>
        <w:t>אות כי רווחיות הבנקים בישראל דומה לזו הממוצעת וגבוהה מעט מזו החציונית. הודגש כ</w:t>
      </w:r>
      <w:r w:rsidR="00475698">
        <w:rPr>
          <w:rFonts w:cs="FrankRuehl" w:hint="cs"/>
          <w:sz w:val="26"/>
          <w:szCs w:val="26"/>
          <w:rtl/>
        </w:rPr>
        <w:t>י השוואות בינלאומיות מסוג זה</w:t>
      </w:r>
      <w:r w:rsidRPr="003F2328">
        <w:rPr>
          <w:rFonts w:cs="FrankRuehl" w:hint="cs"/>
          <w:sz w:val="26"/>
          <w:szCs w:val="26"/>
          <w:rtl/>
        </w:rPr>
        <w:t xml:space="preserve"> מספק</w:t>
      </w:r>
      <w:r w:rsidR="00475698">
        <w:rPr>
          <w:rFonts w:cs="FrankRuehl" w:hint="cs"/>
          <w:sz w:val="26"/>
          <w:szCs w:val="26"/>
          <w:rtl/>
        </w:rPr>
        <w:t>ו</w:t>
      </w:r>
      <w:r w:rsidRPr="003F2328">
        <w:rPr>
          <w:rFonts w:cs="FrankRuehl" w:hint="cs"/>
          <w:sz w:val="26"/>
          <w:szCs w:val="26"/>
          <w:rtl/>
        </w:rPr>
        <w:t>ת אמת מידה</w:t>
      </w:r>
      <w:r w:rsidR="00475698">
        <w:rPr>
          <w:rFonts w:cs="FrankRuehl" w:hint="cs"/>
          <w:sz w:val="26"/>
          <w:szCs w:val="26"/>
          <w:rtl/>
        </w:rPr>
        <w:t xml:space="preserve"> מסוימת,</w:t>
      </w:r>
      <w:r w:rsidRPr="003F2328">
        <w:rPr>
          <w:rFonts w:cs="FrankRuehl" w:hint="cs"/>
          <w:sz w:val="26"/>
          <w:szCs w:val="26"/>
          <w:rtl/>
        </w:rPr>
        <w:t xml:space="preserve"> אך יחד עם זאת</w:t>
      </w:r>
      <w:r w:rsidR="00475698">
        <w:rPr>
          <w:rFonts w:cs="FrankRuehl" w:hint="cs"/>
          <w:sz w:val="26"/>
          <w:szCs w:val="26"/>
          <w:rtl/>
        </w:rPr>
        <w:t xml:space="preserve"> יש לקחת אותן</w:t>
      </w:r>
      <w:r w:rsidRPr="003F2328">
        <w:rPr>
          <w:rFonts w:cs="FrankRuehl" w:hint="cs"/>
          <w:sz w:val="26"/>
          <w:szCs w:val="26"/>
          <w:rtl/>
        </w:rPr>
        <w:t xml:space="preserve"> בעירבון מוגבל</w:t>
      </w:r>
      <w:r w:rsidR="00475698">
        <w:rPr>
          <w:rFonts w:cs="FrankRuehl" w:hint="cs"/>
          <w:sz w:val="26"/>
          <w:szCs w:val="26"/>
          <w:rtl/>
        </w:rPr>
        <w:t>. זאת,</w:t>
      </w:r>
      <w:r w:rsidRPr="003F2328">
        <w:rPr>
          <w:rFonts w:cs="FrankRuehl" w:hint="cs"/>
          <w:sz w:val="26"/>
          <w:szCs w:val="26"/>
          <w:rtl/>
        </w:rPr>
        <w:t xml:space="preserve"> משום שסקטור הבנקאות בכל מדינה מורכב משירותים ומוצרים שונים. כך, ההשוואה בין המדינות ה</w:t>
      </w:r>
      <w:r w:rsidR="00475698">
        <w:rPr>
          <w:rFonts w:cs="FrankRuehl" w:hint="cs"/>
          <w:sz w:val="26"/>
          <w:szCs w:val="26"/>
          <w:rtl/>
        </w:rPr>
        <w:t>שונות עשויה לעיתים לייצר עיוותים במסר המתקבל.</w:t>
      </w:r>
    </w:p>
    <w:p w:rsidR="003F2328" w:rsidRPr="003F2328" w:rsidRDefault="003F2328" w:rsidP="003F2328">
      <w:pPr>
        <w:pStyle w:val="a3"/>
        <w:numPr>
          <w:ilvl w:val="1"/>
          <w:numId w:val="4"/>
        </w:numPr>
        <w:spacing w:line="360" w:lineRule="auto"/>
        <w:jc w:val="both"/>
        <w:rPr>
          <w:rFonts w:cs="FrankRuehl"/>
          <w:sz w:val="26"/>
          <w:szCs w:val="26"/>
        </w:rPr>
      </w:pPr>
      <w:r w:rsidRPr="003F2328">
        <w:rPr>
          <w:rFonts w:cs="FrankRuehl" w:hint="cs"/>
          <w:sz w:val="26"/>
          <w:szCs w:val="26"/>
          <w:rtl/>
        </w:rPr>
        <w:t>הוצגו הוצאות השכר של הבנקים בישראל ביחס לסך העלויות בהשוואה בינלאומית בה נמצא כי סקטור הבנקאות בישראל הינו גבוה באופן חריג. במהלך הדיון בנושא, הודגש כי עובדה זו, עשויה להשפיע באופן משמעותי על שיעורי הרווחיות של הסקטור הבנקאי בישראל</w:t>
      </w:r>
      <w:r w:rsidR="00F82B41">
        <w:rPr>
          <w:rFonts w:cs="FrankRuehl" w:hint="cs"/>
          <w:sz w:val="26"/>
          <w:szCs w:val="26"/>
          <w:rtl/>
        </w:rPr>
        <w:t xml:space="preserve"> וכן על יכולת התחרות בין הבנקים הקיימים</w:t>
      </w:r>
      <w:r w:rsidRPr="003F2328">
        <w:rPr>
          <w:rFonts w:cs="FrankRuehl" w:hint="cs"/>
          <w:sz w:val="26"/>
          <w:szCs w:val="26"/>
          <w:rtl/>
        </w:rPr>
        <w:t>.</w:t>
      </w:r>
    </w:p>
    <w:p w:rsidR="003F2328" w:rsidRDefault="003F2328" w:rsidP="003F2328">
      <w:pPr>
        <w:pStyle w:val="a3"/>
        <w:numPr>
          <w:ilvl w:val="1"/>
          <w:numId w:val="4"/>
        </w:numPr>
        <w:spacing w:line="360" w:lineRule="auto"/>
        <w:jc w:val="both"/>
        <w:rPr>
          <w:rFonts w:cs="FrankRuehl"/>
          <w:sz w:val="26"/>
          <w:szCs w:val="26"/>
        </w:rPr>
      </w:pPr>
      <w:r w:rsidRPr="003F2328">
        <w:rPr>
          <w:rFonts w:cs="FrankRuehl" w:hint="cs"/>
          <w:sz w:val="26"/>
          <w:szCs w:val="26"/>
          <w:rtl/>
        </w:rPr>
        <w:t>הוצגו ההמלצות העיקריות של דו"ח וועדת זקן, הצעדים שננקטו והאימפקט שלהם על השוק עד כה.</w:t>
      </w:r>
    </w:p>
    <w:p w:rsidR="00475698" w:rsidRPr="003F2328" w:rsidRDefault="00475698" w:rsidP="00756A3D">
      <w:pPr>
        <w:pStyle w:val="a3"/>
        <w:numPr>
          <w:ilvl w:val="1"/>
          <w:numId w:val="4"/>
        </w:numPr>
        <w:spacing w:line="360" w:lineRule="auto"/>
        <w:jc w:val="both"/>
        <w:rPr>
          <w:rFonts w:cs="FrankRuehl"/>
          <w:sz w:val="26"/>
          <w:szCs w:val="26"/>
        </w:rPr>
      </w:pPr>
      <w:r>
        <w:rPr>
          <w:rFonts w:cs="FrankRuehl" w:hint="cs"/>
          <w:sz w:val="26"/>
          <w:szCs w:val="26"/>
          <w:rtl/>
        </w:rPr>
        <w:t xml:space="preserve">הודגשה החשיבות של הצעד בנוגע לשיתוף נתוני אשראי כמחולל </w:t>
      </w:r>
      <w:r w:rsidR="00756A3D">
        <w:rPr>
          <w:rFonts w:cs="FrankRuehl" w:hint="cs"/>
          <w:sz w:val="26"/>
          <w:szCs w:val="26"/>
          <w:rtl/>
        </w:rPr>
        <w:t>משמעותי</w:t>
      </w:r>
      <w:r>
        <w:rPr>
          <w:rFonts w:cs="FrankRuehl" w:hint="cs"/>
          <w:sz w:val="26"/>
          <w:szCs w:val="26"/>
          <w:rtl/>
        </w:rPr>
        <w:t xml:space="preserve"> של תחרות בענף האשראי.</w:t>
      </w:r>
    </w:p>
    <w:p w:rsidR="003F2328" w:rsidRPr="003F2328" w:rsidRDefault="003F2328" w:rsidP="003F2328">
      <w:pPr>
        <w:pStyle w:val="a3"/>
        <w:numPr>
          <w:ilvl w:val="1"/>
          <w:numId w:val="4"/>
        </w:numPr>
        <w:spacing w:line="360" w:lineRule="auto"/>
        <w:jc w:val="both"/>
        <w:rPr>
          <w:rFonts w:cs="FrankRuehl"/>
          <w:sz w:val="26"/>
          <w:szCs w:val="26"/>
        </w:rPr>
      </w:pPr>
      <w:r w:rsidRPr="003F2328">
        <w:rPr>
          <w:rFonts w:cs="FrankRuehl" w:hint="cs"/>
          <w:sz w:val="26"/>
          <w:szCs w:val="26"/>
          <w:rtl/>
        </w:rPr>
        <w:t xml:space="preserve">הוצגה התפלגות האשראי הבנקאי בין הסקטורים השונים. נאמר כי בשנים האחרונות ישנו גידול בשיעורי האשראי </w:t>
      </w:r>
      <w:r w:rsidR="00F82B41">
        <w:rPr>
          <w:rFonts w:cs="FrankRuehl" w:hint="cs"/>
          <w:sz w:val="26"/>
          <w:szCs w:val="26"/>
          <w:rtl/>
        </w:rPr>
        <w:t xml:space="preserve">הבנקאי </w:t>
      </w:r>
      <w:r w:rsidRPr="003F2328">
        <w:rPr>
          <w:rFonts w:cs="FrankRuehl" w:hint="cs"/>
          <w:sz w:val="26"/>
          <w:szCs w:val="26"/>
          <w:rtl/>
        </w:rPr>
        <w:t>למגזר הקמעונאי על פני מגזר העסקים הגדולים.</w:t>
      </w:r>
    </w:p>
    <w:p w:rsidR="00475698" w:rsidRDefault="00475698" w:rsidP="003F2328">
      <w:pPr>
        <w:pStyle w:val="a3"/>
        <w:numPr>
          <w:ilvl w:val="1"/>
          <w:numId w:val="4"/>
        </w:numPr>
        <w:spacing w:line="360" w:lineRule="auto"/>
        <w:jc w:val="both"/>
        <w:rPr>
          <w:rFonts w:cs="FrankRuehl"/>
          <w:sz w:val="26"/>
          <w:szCs w:val="26"/>
        </w:rPr>
      </w:pPr>
      <w:r>
        <w:rPr>
          <w:rFonts w:cs="FrankRuehl" w:hint="cs"/>
          <w:sz w:val="26"/>
          <w:szCs w:val="26"/>
          <w:rtl/>
        </w:rPr>
        <w:t xml:space="preserve">הוצגו שירותי הבנק העיקריים: פיקדונות, חשבון עו"ש, ניירות ערך ואשראי. התנהל דיון בנוגע ליכולת לייצר תחרות בסקטור זה באמצעות תחרות על מוצרים פריקים או באמצעות תחרות על המוצרים כחבילה אחת בעקבות החשיבות של אספקת מוצרים אלו באמצעות </w:t>
      </w:r>
      <w:r>
        <w:rPr>
          <w:rFonts w:cs="FrankRuehl"/>
          <w:sz w:val="26"/>
          <w:szCs w:val="26"/>
        </w:rPr>
        <w:t>'One Stop Shop'</w:t>
      </w:r>
      <w:r>
        <w:rPr>
          <w:rFonts w:cs="FrankRuehl" w:hint="cs"/>
          <w:sz w:val="26"/>
          <w:szCs w:val="26"/>
          <w:rtl/>
        </w:rPr>
        <w:t xml:space="preserve">. </w:t>
      </w:r>
    </w:p>
    <w:p w:rsidR="00475698" w:rsidRDefault="00475698" w:rsidP="00F82B41">
      <w:pPr>
        <w:pStyle w:val="a3"/>
        <w:numPr>
          <w:ilvl w:val="1"/>
          <w:numId w:val="4"/>
        </w:numPr>
        <w:spacing w:line="360" w:lineRule="auto"/>
        <w:jc w:val="both"/>
        <w:rPr>
          <w:rFonts w:cs="FrankRuehl"/>
          <w:sz w:val="26"/>
          <w:szCs w:val="26"/>
        </w:rPr>
      </w:pPr>
      <w:r>
        <w:rPr>
          <w:rFonts w:cs="FrankRuehl" w:hint="cs"/>
          <w:sz w:val="26"/>
          <w:szCs w:val="26"/>
          <w:rtl/>
        </w:rPr>
        <w:t>הוצגו שלוש</w:t>
      </w:r>
      <w:r w:rsidR="00FC18DF">
        <w:rPr>
          <w:rFonts w:cs="FrankRuehl" w:hint="cs"/>
          <w:sz w:val="26"/>
          <w:szCs w:val="26"/>
          <w:rtl/>
        </w:rPr>
        <w:t>ת</w:t>
      </w:r>
      <w:r>
        <w:rPr>
          <w:rFonts w:cs="FrankRuehl" w:hint="cs"/>
          <w:sz w:val="26"/>
          <w:szCs w:val="26"/>
          <w:rtl/>
        </w:rPr>
        <w:t xml:space="preserve"> ענפי האשראי העיקריים: אשראי לדיור, אשראי לעסקים גדולים ואשראי למגזר הקמעונאי. הוסכם כי במגזר הדיור ישנה תחרות על המוצר כמוצר פריק בגלל מגוון סיבות ביניהן גודל העסקה והעובדה כי ניתן לקבל הלוואה זו מבנקים שונים בגלל השקיפות של המידע לגבי הבטוחה, כלומר הנכס. כמו כן, הוסכם כי על מגזר העסקים הגדולים קיימת תחרות בגלל </w:t>
      </w:r>
      <w:r w:rsidR="00F82B41">
        <w:rPr>
          <w:rFonts w:cs="FrankRuehl" w:hint="cs"/>
          <w:sz w:val="26"/>
          <w:szCs w:val="26"/>
          <w:rtl/>
        </w:rPr>
        <w:t xml:space="preserve">קיומם של תחליפים - </w:t>
      </w:r>
      <w:r>
        <w:rPr>
          <w:rFonts w:cs="FrankRuehl" w:hint="cs"/>
          <w:sz w:val="26"/>
          <w:szCs w:val="26"/>
          <w:rtl/>
        </w:rPr>
        <w:t>גייס הון מגופים מוסדיים</w:t>
      </w:r>
      <w:r w:rsidR="00F82B41">
        <w:rPr>
          <w:rFonts w:cs="FrankRuehl" w:hint="cs"/>
          <w:sz w:val="26"/>
          <w:szCs w:val="26"/>
          <w:rtl/>
        </w:rPr>
        <w:t xml:space="preserve">, והנפקת אג"ח </w:t>
      </w:r>
      <w:proofErr w:type="spellStart"/>
      <w:r w:rsidR="00F82B41">
        <w:rPr>
          <w:rFonts w:cs="FrankRuehl" w:hint="cs"/>
          <w:sz w:val="26"/>
          <w:szCs w:val="26"/>
          <w:rtl/>
        </w:rPr>
        <w:t>קונצרני</w:t>
      </w:r>
      <w:proofErr w:type="spellEnd"/>
      <w:r>
        <w:rPr>
          <w:rFonts w:cs="FrankRuehl" w:hint="cs"/>
          <w:sz w:val="26"/>
          <w:szCs w:val="26"/>
          <w:rtl/>
        </w:rPr>
        <w:t xml:space="preserve">. </w:t>
      </w:r>
    </w:p>
    <w:p w:rsidR="003F2328" w:rsidRDefault="00475698" w:rsidP="003F2328">
      <w:pPr>
        <w:pStyle w:val="a3"/>
        <w:numPr>
          <w:ilvl w:val="1"/>
          <w:numId w:val="4"/>
        </w:numPr>
        <w:spacing w:line="360" w:lineRule="auto"/>
        <w:jc w:val="both"/>
        <w:rPr>
          <w:rFonts w:cs="FrankRuehl"/>
          <w:sz w:val="26"/>
          <w:szCs w:val="26"/>
        </w:rPr>
      </w:pPr>
      <w:r>
        <w:rPr>
          <w:rFonts w:cs="FrankRuehl" w:hint="cs"/>
          <w:sz w:val="26"/>
          <w:szCs w:val="26"/>
          <w:rtl/>
        </w:rPr>
        <w:lastRenderedPageBreak/>
        <w:t xml:space="preserve">מגזר הקמעונאי, ובתוכו מגזר משקי הבית ומגזר העסקים הקטנים ובינוניים, נמצא ככזה בו התחרות מעטה, עקב שליטת הבנקים וחברות כרטיסי האשראי כמעט בכלל השוק.   </w:t>
      </w:r>
    </w:p>
    <w:p w:rsidR="00475698" w:rsidRDefault="00475698" w:rsidP="008217D7">
      <w:pPr>
        <w:pStyle w:val="a3"/>
        <w:numPr>
          <w:ilvl w:val="1"/>
          <w:numId w:val="4"/>
        </w:numPr>
        <w:spacing w:line="360" w:lineRule="auto"/>
        <w:jc w:val="both"/>
        <w:rPr>
          <w:rFonts w:cs="FrankRuehl"/>
          <w:sz w:val="26"/>
          <w:szCs w:val="26"/>
        </w:rPr>
      </w:pPr>
      <w:r>
        <w:rPr>
          <w:rFonts w:cs="FrankRuehl" w:hint="cs"/>
          <w:sz w:val="26"/>
          <w:szCs w:val="26"/>
          <w:rtl/>
        </w:rPr>
        <w:t>הוצגה התפתחות האשראי למשקי בית ב-15 שנים האחרונות. נאמר כי ישנה עלייה מהירה בהתפתחות אשראי זה</w:t>
      </w:r>
      <w:r w:rsidR="00F82B41">
        <w:rPr>
          <w:rFonts w:cs="FrankRuehl" w:hint="cs"/>
          <w:sz w:val="26"/>
          <w:szCs w:val="26"/>
          <w:rtl/>
        </w:rPr>
        <w:t xml:space="preserve">. במסגרת זו הוצג הגידול המהיר באשראי </w:t>
      </w:r>
      <w:r w:rsidR="00FC18DF">
        <w:rPr>
          <w:rFonts w:cs="FrankRuehl" w:hint="cs"/>
          <w:sz w:val="26"/>
          <w:szCs w:val="26"/>
          <w:rtl/>
        </w:rPr>
        <w:t>למשקי בית</w:t>
      </w:r>
      <w:r w:rsidR="007420E0">
        <w:rPr>
          <w:rFonts w:cs="FrankRuehl" w:hint="cs"/>
          <w:sz w:val="26"/>
          <w:szCs w:val="26"/>
          <w:rtl/>
        </w:rPr>
        <w:t xml:space="preserve"> </w:t>
      </w:r>
      <w:r w:rsidR="00F82B41">
        <w:rPr>
          <w:rFonts w:cs="FrankRuehl" w:hint="cs"/>
          <w:sz w:val="26"/>
          <w:szCs w:val="26"/>
          <w:rtl/>
        </w:rPr>
        <w:t xml:space="preserve">הניתן ע"י חברות </w:t>
      </w:r>
      <w:r>
        <w:rPr>
          <w:rFonts w:cs="FrankRuehl" w:hint="cs"/>
          <w:sz w:val="26"/>
          <w:szCs w:val="26"/>
          <w:rtl/>
        </w:rPr>
        <w:t>כרטיסי האשראי.</w:t>
      </w:r>
    </w:p>
    <w:p w:rsidR="00475698" w:rsidRDefault="00475698" w:rsidP="007420E0">
      <w:pPr>
        <w:pStyle w:val="a3"/>
        <w:numPr>
          <w:ilvl w:val="1"/>
          <w:numId w:val="4"/>
        </w:numPr>
        <w:spacing w:line="360" w:lineRule="auto"/>
        <w:jc w:val="both"/>
        <w:rPr>
          <w:rFonts w:cs="FrankRuehl"/>
          <w:sz w:val="26"/>
          <w:szCs w:val="26"/>
        </w:rPr>
      </w:pPr>
      <w:r>
        <w:rPr>
          <w:rFonts w:cs="FrankRuehl" w:hint="cs"/>
          <w:sz w:val="26"/>
          <w:szCs w:val="26"/>
          <w:rtl/>
        </w:rPr>
        <w:t xml:space="preserve">הוצגה השוואה בינלאומית של יחס האשראי למשקי בית ביחס לתמ"ג והשוואה בינלאומית של יחס האשראי לעסקים קטנים ביחס לתמ"ג. בשני ממדים אלו ישראל </w:t>
      </w:r>
      <w:r w:rsidR="007420E0">
        <w:rPr>
          <w:rFonts w:cs="FrankRuehl" w:hint="cs"/>
          <w:sz w:val="26"/>
          <w:szCs w:val="26"/>
          <w:rtl/>
        </w:rPr>
        <w:t xml:space="preserve">מאופיינת בהיקפי אשראי נמוכים ביותר ביחס לתמ"ג. </w:t>
      </w:r>
      <w:r>
        <w:rPr>
          <w:rFonts w:cs="FrankRuehl" w:hint="cs"/>
          <w:sz w:val="26"/>
          <w:szCs w:val="26"/>
          <w:rtl/>
        </w:rPr>
        <w:t xml:space="preserve">לסקטור העסקים הקטנים הדבר </w:t>
      </w:r>
      <w:r w:rsidR="007420E0">
        <w:rPr>
          <w:rFonts w:cs="FrankRuehl" w:hint="cs"/>
          <w:sz w:val="26"/>
          <w:szCs w:val="26"/>
          <w:rtl/>
        </w:rPr>
        <w:t>בולט</w:t>
      </w:r>
      <w:r>
        <w:rPr>
          <w:rFonts w:cs="FrankRuehl" w:hint="cs"/>
          <w:sz w:val="26"/>
          <w:szCs w:val="26"/>
          <w:rtl/>
        </w:rPr>
        <w:t xml:space="preserve"> אף יותר.</w:t>
      </w:r>
    </w:p>
    <w:p w:rsidR="007420E0" w:rsidRDefault="00475698" w:rsidP="007420E0">
      <w:pPr>
        <w:pStyle w:val="a3"/>
        <w:numPr>
          <w:ilvl w:val="1"/>
          <w:numId w:val="4"/>
        </w:numPr>
        <w:spacing w:line="360" w:lineRule="auto"/>
        <w:jc w:val="both"/>
        <w:rPr>
          <w:rFonts w:cs="FrankRuehl"/>
          <w:sz w:val="26"/>
          <w:szCs w:val="26"/>
        </w:rPr>
      </w:pPr>
      <w:r>
        <w:rPr>
          <w:rFonts w:cs="FrankRuehl" w:hint="cs"/>
          <w:sz w:val="26"/>
          <w:szCs w:val="26"/>
          <w:rtl/>
        </w:rPr>
        <w:t xml:space="preserve">הוצגו חישובי עלות ממוצעת של חשבון עו"ש ועלות ממוצעת של האשראי הבנקאי למשקי הבית שצורכים אותו. </w:t>
      </w:r>
      <w:r w:rsidR="007420E0">
        <w:rPr>
          <w:rFonts w:cs="FrankRuehl" w:hint="cs"/>
          <w:sz w:val="26"/>
          <w:szCs w:val="26"/>
          <w:rtl/>
        </w:rPr>
        <w:t xml:space="preserve">במסגרת זו נאמר כי עלות האשראי למשק בית הצורך אשראי יכולה להגיע למאות שקלים בחודש ללא החזר הקרן. </w:t>
      </w:r>
      <w:r>
        <w:rPr>
          <w:rFonts w:cs="FrankRuehl" w:hint="cs"/>
          <w:sz w:val="26"/>
          <w:szCs w:val="26"/>
          <w:rtl/>
        </w:rPr>
        <w:t xml:space="preserve">הודגש כי חישוב זה נעשה </w:t>
      </w:r>
      <w:r>
        <w:rPr>
          <w:rFonts w:cs="FrankRuehl"/>
          <w:sz w:val="26"/>
          <w:szCs w:val="26"/>
        </w:rPr>
        <w:t>'Top to Bottom'</w:t>
      </w:r>
      <w:r>
        <w:rPr>
          <w:rFonts w:cs="FrankRuehl" w:hint="cs"/>
          <w:sz w:val="26"/>
          <w:szCs w:val="26"/>
          <w:rtl/>
        </w:rPr>
        <w:t xml:space="preserve">. </w:t>
      </w:r>
    </w:p>
    <w:p w:rsidR="00475698" w:rsidRDefault="007420E0" w:rsidP="00696175">
      <w:pPr>
        <w:pStyle w:val="a3"/>
        <w:numPr>
          <w:ilvl w:val="1"/>
          <w:numId w:val="4"/>
        </w:numPr>
        <w:spacing w:line="360" w:lineRule="auto"/>
        <w:jc w:val="both"/>
        <w:rPr>
          <w:rFonts w:cs="FrankRuehl"/>
          <w:sz w:val="26"/>
          <w:szCs w:val="26"/>
        </w:rPr>
      </w:pPr>
      <w:r>
        <w:rPr>
          <w:rFonts w:cs="FrankRuehl" w:hint="cs"/>
          <w:sz w:val="26"/>
          <w:szCs w:val="26"/>
          <w:rtl/>
        </w:rPr>
        <w:t xml:space="preserve">לגבי שוק האשראי </w:t>
      </w:r>
      <w:r w:rsidR="00696175">
        <w:rPr>
          <w:rFonts w:cs="FrankRuehl" w:hint="cs"/>
          <w:sz w:val="26"/>
          <w:szCs w:val="26"/>
          <w:rtl/>
        </w:rPr>
        <w:t>הוצג</w:t>
      </w:r>
      <w:r>
        <w:rPr>
          <w:rFonts w:cs="FrankRuehl" w:hint="cs"/>
          <w:sz w:val="26"/>
          <w:szCs w:val="26"/>
          <w:rtl/>
        </w:rPr>
        <w:t xml:space="preserve"> כי מבחינת יוקר מחיה (עבור משקי בית הצורכים אשראי) מדובר בשוק המהווה מרכיב משמעותי בסל </w:t>
      </w:r>
      <w:r w:rsidR="00696175">
        <w:rPr>
          <w:rFonts w:cs="FrankRuehl" w:hint="cs"/>
          <w:sz w:val="26"/>
          <w:szCs w:val="26"/>
          <w:rtl/>
        </w:rPr>
        <w:t xml:space="preserve">הצריכה </w:t>
      </w:r>
      <w:r>
        <w:rPr>
          <w:rFonts w:cs="FrankRuehl" w:hint="cs"/>
          <w:sz w:val="26"/>
          <w:szCs w:val="26"/>
          <w:rtl/>
        </w:rPr>
        <w:t>של משק הבית</w:t>
      </w:r>
      <w:r w:rsidR="00696175">
        <w:rPr>
          <w:rFonts w:cs="FrankRuehl" w:hint="cs"/>
          <w:sz w:val="26"/>
          <w:szCs w:val="26"/>
          <w:rtl/>
        </w:rPr>
        <w:t>. כמו כן, הוצג חשיבותו של שוק האשראי כמנוע צמיחה במשק.</w:t>
      </w:r>
      <w:r>
        <w:rPr>
          <w:rFonts w:cs="FrankRuehl" w:hint="cs"/>
          <w:sz w:val="26"/>
          <w:szCs w:val="26"/>
          <w:rtl/>
        </w:rPr>
        <w:t xml:space="preserve"> </w:t>
      </w:r>
    </w:p>
    <w:p w:rsidR="00475698" w:rsidRPr="008217D7" w:rsidRDefault="00475698" w:rsidP="008217D7">
      <w:pPr>
        <w:spacing w:line="360" w:lineRule="auto"/>
        <w:jc w:val="both"/>
        <w:rPr>
          <w:rFonts w:cs="FrankRuehl"/>
          <w:sz w:val="26"/>
          <w:szCs w:val="26"/>
        </w:rPr>
      </w:pPr>
    </w:p>
    <w:p w:rsidR="00475698" w:rsidRPr="00696175" w:rsidRDefault="00475698" w:rsidP="00696175">
      <w:pPr>
        <w:pStyle w:val="a3"/>
        <w:numPr>
          <w:ilvl w:val="1"/>
          <w:numId w:val="4"/>
        </w:numPr>
        <w:spacing w:line="360" w:lineRule="auto"/>
        <w:jc w:val="both"/>
        <w:rPr>
          <w:rFonts w:cs="FrankRuehl"/>
          <w:sz w:val="26"/>
          <w:szCs w:val="26"/>
        </w:rPr>
      </w:pPr>
      <w:r w:rsidRPr="00696175">
        <w:rPr>
          <w:rFonts w:cs="FrankRuehl" w:hint="cs"/>
          <w:sz w:val="26"/>
          <w:szCs w:val="26"/>
          <w:rtl/>
        </w:rPr>
        <w:t>הוצג כי הנתח של המערכת הבנקאית בישראל בסך האשראי הפרטי קטן משמעותית ביחס למדינות האיחוד האירופי. הוצג כי חלקו של האשראי הבנקאי למגזר העסקי והולך ויורד בשנים האחרונות. במקביל האשראי החוץ בנקאי למגזר זה נמצא במגמת עלייה.</w:t>
      </w:r>
    </w:p>
    <w:p w:rsidR="00696175" w:rsidRDefault="00696175" w:rsidP="00696175">
      <w:pPr>
        <w:pStyle w:val="a3"/>
        <w:numPr>
          <w:ilvl w:val="1"/>
          <w:numId w:val="4"/>
        </w:numPr>
        <w:spacing w:line="360" w:lineRule="auto"/>
        <w:jc w:val="both"/>
        <w:rPr>
          <w:rFonts w:cs="FrankRuehl"/>
          <w:sz w:val="26"/>
          <w:szCs w:val="26"/>
        </w:rPr>
      </w:pPr>
      <w:r>
        <w:rPr>
          <w:rFonts w:cs="FrankRuehl" w:hint="cs"/>
          <w:sz w:val="26"/>
          <w:szCs w:val="26"/>
          <w:rtl/>
        </w:rPr>
        <w:t>נאמר שיכולתם של הבנקים לספק את כל האשראי הנדרש במשק היא מוגבלת.</w:t>
      </w:r>
    </w:p>
    <w:p w:rsidR="00475698" w:rsidRDefault="00475698" w:rsidP="00696175">
      <w:pPr>
        <w:pStyle w:val="a3"/>
        <w:numPr>
          <w:ilvl w:val="1"/>
          <w:numId w:val="4"/>
        </w:numPr>
        <w:spacing w:line="360" w:lineRule="auto"/>
        <w:jc w:val="both"/>
        <w:rPr>
          <w:rFonts w:cs="FrankRuehl"/>
          <w:sz w:val="26"/>
          <w:szCs w:val="26"/>
        </w:rPr>
      </w:pPr>
      <w:r>
        <w:rPr>
          <w:rFonts w:cs="FrankRuehl" w:hint="cs"/>
          <w:sz w:val="26"/>
          <w:szCs w:val="26"/>
          <w:rtl/>
        </w:rPr>
        <w:t xml:space="preserve">הוצג כי מקורות ההון העומדים לרשות הגופים המוסדיים עולים בקצב מהיר הרבה יותר מאלו של הבנקים. צוין כי מגמה זו צפויה להימשך בשנים הקרובות בעקבות צו פנסיה חובה והמעבר מפנסיה תקציבית לצוברת. </w:t>
      </w:r>
      <w:r w:rsidR="00696175">
        <w:rPr>
          <w:rFonts w:cs="FrankRuehl" w:hint="cs"/>
          <w:sz w:val="26"/>
          <w:szCs w:val="26"/>
          <w:rtl/>
        </w:rPr>
        <w:t xml:space="preserve">נאמר כי </w:t>
      </w:r>
      <w:r>
        <w:rPr>
          <w:rFonts w:cs="FrankRuehl" w:hint="cs"/>
          <w:sz w:val="26"/>
          <w:szCs w:val="26"/>
          <w:rtl/>
        </w:rPr>
        <w:t>מחולל הצמיחה הגדול ביותר יהיה ההון של הגופים המוסדיים וכי יש למצוא דרכים לנתב הון זה לסקטור האשראי הקמעונאי.</w:t>
      </w:r>
    </w:p>
    <w:p w:rsidR="00475698" w:rsidRDefault="00475698" w:rsidP="00475698">
      <w:pPr>
        <w:pStyle w:val="a3"/>
        <w:numPr>
          <w:ilvl w:val="1"/>
          <w:numId w:val="4"/>
        </w:numPr>
        <w:spacing w:line="360" w:lineRule="auto"/>
        <w:jc w:val="both"/>
        <w:rPr>
          <w:rFonts w:cs="FrankRuehl"/>
          <w:sz w:val="26"/>
          <w:szCs w:val="26"/>
        </w:rPr>
      </w:pPr>
      <w:r>
        <w:rPr>
          <w:rFonts w:cs="FrankRuehl" w:hint="cs"/>
          <w:sz w:val="26"/>
          <w:szCs w:val="26"/>
          <w:rtl/>
        </w:rPr>
        <w:t>הוצג כי יחס המינוף של משקי הבית בישראל הינו נמוך בהשוואה בינלאומית.</w:t>
      </w:r>
    </w:p>
    <w:p w:rsidR="00475698" w:rsidRDefault="00475698" w:rsidP="00475698">
      <w:pPr>
        <w:pStyle w:val="a3"/>
        <w:numPr>
          <w:ilvl w:val="1"/>
          <w:numId w:val="4"/>
        </w:numPr>
        <w:spacing w:line="360" w:lineRule="auto"/>
        <w:jc w:val="both"/>
        <w:rPr>
          <w:rFonts w:cs="FrankRuehl"/>
          <w:sz w:val="26"/>
          <w:szCs w:val="26"/>
        </w:rPr>
      </w:pPr>
      <w:r>
        <w:rPr>
          <w:rFonts w:cs="FrankRuehl" w:hint="cs"/>
          <w:sz w:val="26"/>
          <w:szCs w:val="26"/>
          <w:rtl/>
        </w:rPr>
        <w:t>הוצג כי מאז שנת 2005, ניכר גידול משמעותי באשראי הבנקאי למשקי הבית</w:t>
      </w:r>
    </w:p>
    <w:p w:rsidR="00475698" w:rsidRPr="00475698" w:rsidRDefault="00475698" w:rsidP="00475698">
      <w:pPr>
        <w:pStyle w:val="a3"/>
        <w:spacing w:line="360" w:lineRule="auto"/>
        <w:ind w:left="1440"/>
        <w:jc w:val="both"/>
        <w:rPr>
          <w:rFonts w:cs="FrankRuehl"/>
          <w:sz w:val="26"/>
          <w:szCs w:val="26"/>
          <w:rtl/>
        </w:rPr>
      </w:pPr>
    </w:p>
    <w:p w:rsidR="009277D1" w:rsidRPr="003F2328" w:rsidRDefault="00475698" w:rsidP="008217D7">
      <w:pPr>
        <w:pStyle w:val="a3"/>
        <w:numPr>
          <w:ilvl w:val="0"/>
          <w:numId w:val="5"/>
        </w:numPr>
        <w:spacing w:line="360" w:lineRule="auto"/>
        <w:jc w:val="both"/>
      </w:pPr>
      <w:r>
        <w:rPr>
          <w:rFonts w:cs="FrankRuehl" w:hint="cs"/>
          <w:sz w:val="26"/>
          <w:szCs w:val="26"/>
          <w:rtl/>
        </w:rPr>
        <w:t>לסיום, יו"ר הוועדה, דרור שטרום, הודה לנוכחים על השתתפותם.</w:t>
      </w:r>
    </w:p>
    <w:sectPr w:rsidR="009277D1" w:rsidRPr="003F2328"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C8B"/>
    <w:multiLevelType w:val="hybridMultilevel"/>
    <w:tmpl w:val="E1D41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84BE4"/>
    <w:multiLevelType w:val="hybridMultilevel"/>
    <w:tmpl w:val="536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A0AA6"/>
    <w:multiLevelType w:val="hybridMultilevel"/>
    <w:tmpl w:val="61B856FE"/>
    <w:lvl w:ilvl="0" w:tplc="389E979E">
      <w:start w:val="6"/>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E067B"/>
    <w:multiLevelType w:val="hybridMultilevel"/>
    <w:tmpl w:val="9E047FA0"/>
    <w:lvl w:ilvl="0" w:tplc="389E979E">
      <w:start w:val="6"/>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B27B46"/>
    <w:multiLevelType w:val="hybridMultilevel"/>
    <w:tmpl w:val="80AE1734"/>
    <w:lvl w:ilvl="0" w:tplc="389E979E">
      <w:start w:val="8"/>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D1"/>
    <w:rsid w:val="002C7C71"/>
    <w:rsid w:val="003F2328"/>
    <w:rsid w:val="00475698"/>
    <w:rsid w:val="005A7B94"/>
    <w:rsid w:val="00696175"/>
    <w:rsid w:val="007420E0"/>
    <w:rsid w:val="00756A3D"/>
    <w:rsid w:val="008217D7"/>
    <w:rsid w:val="00905581"/>
    <w:rsid w:val="009277D1"/>
    <w:rsid w:val="00C5543C"/>
    <w:rsid w:val="00F82B41"/>
    <w:rsid w:val="00FC1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28"/>
    <w:pPr>
      <w:ind w:left="720"/>
      <w:contextualSpacing/>
    </w:pPr>
  </w:style>
  <w:style w:type="paragraph" w:styleId="a4">
    <w:name w:val="Balloon Text"/>
    <w:basedOn w:val="a"/>
    <w:link w:val="a5"/>
    <w:uiPriority w:val="99"/>
    <w:semiHidden/>
    <w:unhideWhenUsed/>
    <w:rsid w:val="00F82B4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F82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28"/>
    <w:pPr>
      <w:ind w:left="720"/>
      <w:contextualSpacing/>
    </w:pPr>
  </w:style>
  <w:style w:type="paragraph" w:styleId="a4">
    <w:name w:val="Balloon Text"/>
    <w:basedOn w:val="a"/>
    <w:link w:val="a5"/>
    <w:uiPriority w:val="99"/>
    <w:semiHidden/>
    <w:unhideWhenUsed/>
    <w:rsid w:val="00F82B4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F82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GovXID xmlns="a46656d4-8850-49b3-aebd-68bd05f7f43d">1</GovXID>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01C1E-AB43-48E6-B8E5-95D0B26DB09F}"/>
</file>

<file path=customXml/itemProps2.xml><?xml version="1.0" encoding="utf-8"?>
<ds:datastoreItem xmlns:ds="http://schemas.openxmlformats.org/officeDocument/2006/customXml" ds:itemID="{E3AD24D0-922B-4F1A-BB1A-AF07AD3CC014}"/>
</file>

<file path=customXml/itemProps3.xml><?xml version="1.0" encoding="utf-8"?>
<ds:datastoreItem xmlns:ds="http://schemas.openxmlformats.org/officeDocument/2006/customXml" ds:itemID="{6BEEA192-3806-4F14-9A24-66925FA01647}"/>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3790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14.06.2015</dc:title>
  <dc:creator>מעבדה טכני</dc:creator>
  <cp:lastModifiedBy>אבי כהן</cp:lastModifiedBy>
  <cp:revision>6</cp:revision>
  <dcterms:created xsi:type="dcterms:W3CDTF">2015-06-15T10:50:00Z</dcterms:created>
  <dcterms:modified xsi:type="dcterms:W3CDTF">2016-01-05T17:57:00Z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