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84" w:rsidRPr="00C36EC2" w:rsidRDefault="009D1384" w:rsidP="009D1384">
      <w:pPr>
        <w:jc w:val="both"/>
        <w:rPr>
          <w:rFonts w:cs="FrankRuehl"/>
          <w:b/>
          <w:bCs/>
          <w:sz w:val="28"/>
          <w:szCs w:val="28"/>
          <w:u w:val="single"/>
          <w:rtl/>
        </w:rPr>
      </w:pPr>
      <w:r w:rsidRPr="00C36EC2">
        <w:rPr>
          <w:rFonts w:cs="FrankRuehl" w:hint="cs"/>
          <w:b/>
          <w:bCs/>
          <w:sz w:val="28"/>
          <w:szCs w:val="28"/>
          <w:u w:val="single"/>
          <w:rtl/>
        </w:rPr>
        <w:t xml:space="preserve">הוועדה להגברת התחרות בשירותים בנקאיים ופיננסים נפוצים </w:t>
      </w:r>
    </w:p>
    <w:p w:rsidR="009D1384" w:rsidRPr="00C36EC2" w:rsidRDefault="009D1384" w:rsidP="009D1384">
      <w:pPr>
        <w:jc w:val="both"/>
        <w:rPr>
          <w:rFonts w:cs="FrankRuehl"/>
          <w:b/>
          <w:bCs/>
          <w:sz w:val="28"/>
          <w:szCs w:val="28"/>
          <w:u w:val="single"/>
          <w:rtl/>
        </w:rPr>
      </w:pPr>
      <w:r>
        <w:rPr>
          <w:rFonts w:cs="FrankRuehl" w:hint="cs"/>
          <w:b/>
          <w:bCs/>
          <w:sz w:val="28"/>
          <w:szCs w:val="28"/>
          <w:u w:val="single"/>
          <w:rtl/>
        </w:rPr>
        <w:t>13.12.2015</w:t>
      </w:r>
    </w:p>
    <w:p w:rsidR="009D1384" w:rsidRPr="00C36EC2" w:rsidRDefault="009D1384" w:rsidP="009D1384">
      <w:pPr>
        <w:jc w:val="both"/>
        <w:rPr>
          <w:rFonts w:cs="FrankRuehl"/>
          <w:sz w:val="28"/>
          <w:szCs w:val="28"/>
          <w:u w:val="single"/>
          <w:rtl/>
        </w:rPr>
      </w:pPr>
      <w:r w:rsidRPr="00C36EC2">
        <w:rPr>
          <w:rFonts w:cs="FrankRuehl" w:hint="cs"/>
          <w:sz w:val="28"/>
          <w:szCs w:val="28"/>
          <w:u w:val="single"/>
          <w:rtl/>
        </w:rPr>
        <w:t>חברי הוועדה המשתתפים:</w:t>
      </w:r>
    </w:p>
    <w:p w:rsidR="009D1384" w:rsidRPr="00C0712C" w:rsidRDefault="009D1384" w:rsidP="009D1384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מר דרור שטרום, יושב ראש הוועדה</w:t>
      </w:r>
      <w:bookmarkStart w:id="0" w:name="_GoBack"/>
      <w:bookmarkEnd w:id="0"/>
    </w:p>
    <w:p w:rsidR="009D1384" w:rsidRPr="00C0712C" w:rsidRDefault="009D1384" w:rsidP="009D1384">
      <w:pPr>
        <w:spacing w:line="360" w:lineRule="auto"/>
        <w:jc w:val="both"/>
        <w:rPr>
          <w:rFonts w:cs="FrankRuehl"/>
          <w:sz w:val="26"/>
          <w:szCs w:val="26"/>
          <w:rtl/>
        </w:rPr>
      </w:pPr>
      <w:proofErr w:type="spellStart"/>
      <w:r w:rsidRPr="00C0712C">
        <w:rPr>
          <w:rFonts w:cs="FrankRuehl" w:hint="cs"/>
          <w:sz w:val="26"/>
          <w:szCs w:val="26"/>
          <w:rtl/>
        </w:rPr>
        <w:t>פרופ</w:t>
      </w:r>
      <w:proofErr w:type="spellEnd"/>
      <w:r w:rsidRPr="00C0712C">
        <w:rPr>
          <w:rFonts w:cs="FrankRuehl" w:hint="cs"/>
          <w:sz w:val="26"/>
          <w:szCs w:val="26"/>
          <w:rtl/>
        </w:rPr>
        <w:t>', אבי בן בסט, האוניברסיטה העברית והמכללה למנהל</w:t>
      </w:r>
    </w:p>
    <w:p w:rsidR="009D1384" w:rsidRPr="00C0712C" w:rsidRDefault="009D1384" w:rsidP="009D1384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ד"ר נדין בודו-טרכטנברג, המשנה לנגידת בנק ישראל, בנק ישראל</w:t>
      </w:r>
    </w:p>
    <w:p w:rsidR="009D1384" w:rsidRPr="00C0712C" w:rsidRDefault="009D1384" w:rsidP="009D1384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פרופ' נתן זוסמן, ראש חטיבת המחקר, בנק ישראל</w:t>
      </w:r>
    </w:p>
    <w:p w:rsidR="009D1384" w:rsidRDefault="009D1384" w:rsidP="009D1384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גב' יעל מבורך, סגנית הממונה על התקציבים</w:t>
      </w:r>
    </w:p>
    <w:p w:rsidR="009D1384" w:rsidRDefault="009D1384" w:rsidP="009D1384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עו"ד ארץ </w:t>
      </w:r>
      <w:proofErr w:type="spellStart"/>
      <w:r>
        <w:rPr>
          <w:rFonts w:cs="FrankRuehl" w:hint="cs"/>
          <w:sz w:val="26"/>
          <w:szCs w:val="26"/>
          <w:rtl/>
        </w:rPr>
        <w:t>קמינץ</w:t>
      </w:r>
      <w:proofErr w:type="spellEnd"/>
      <w:r>
        <w:rPr>
          <w:rFonts w:cs="FrankRuehl" w:hint="cs"/>
          <w:sz w:val="26"/>
          <w:szCs w:val="26"/>
          <w:rtl/>
        </w:rPr>
        <w:t>, משנה ליועמ"ש, משרד המשפטים</w:t>
      </w:r>
    </w:p>
    <w:p w:rsidR="009D1384" w:rsidRPr="00C0712C" w:rsidRDefault="009D1384" w:rsidP="009D1384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ד"ר </w:t>
      </w:r>
      <w:r w:rsidRPr="00C0712C">
        <w:rPr>
          <w:rFonts w:cs="FrankRuehl" w:hint="cs"/>
          <w:sz w:val="26"/>
          <w:szCs w:val="26"/>
          <w:rtl/>
        </w:rPr>
        <w:t>אסף אילת, הרשות להגבלים עסקיים</w:t>
      </w:r>
    </w:p>
    <w:p w:rsidR="009D1384" w:rsidRPr="00C0712C" w:rsidRDefault="009D1384" w:rsidP="009D1384">
      <w:pPr>
        <w:spacing w:line="360" w:lineRule="auto"/>
        <w:jc w:val="both"/>
        <w:rPr>
          <w:rFonts w:cs="FrankRuehl"/>
          <w:sz w:val="26"/>
          <w:szCs w:val="26"/>
          <w:u w:val="single"/>
          <w:rtl/>
        </w:rPr>
      </w:pPr>
      <w:r w:rsidRPr="00C0712C">
        <w:rPr>
          <w:rFonts w:cs="FrankRuehl" w:hint="cs"/>
          <w:sz w:val="26"/>
          <w:szCs w:val="26"/>
          <w:u w:val="single"/>
          <w:rtl/>
        </w:rPr>
        <w:t>נציגים:</w:t>
      </w:r>
    </w:p>
    <w:p w:rsidR="009D1384" w:rsidRPr="00C0712C" w:rsidRDefault="009D1384" w:rsidP="009D1384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יונתן בר סימן טוב, משרד האוצר</w:t>
      </w:r>
    </w:p>
    <w:p w:rsidR="009D1384" w:rsidRPr="00C0712C" w:rsidRDefault="009D1384" w:rsidP="009D1384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כפיר </w:t>
      </w:r>
      <w:proofErr w:type="spellStart"/>
      <w:r w:rsidRPr="00C0712C">
        <w:rPr>
          <w:rFonts w:cs="FrankRuehl" w:hint="cs"/>
          <w:sz w:val="26"/>
          <w:szCs w:val="26"/>
          <w:rtl/>
        </w:rPr>
        <w:t>בטט</w:t>
      </w:r>
      <w:proofErr w:type="spellEnd"/>
      <w:r w:rsidRPr="00C0712C">
        <w:rPr>
          <w:rFonts w:cs="FrankRuehl" w:hint="cs"/>
          <w:sz w:val="26"/>
          <w:szCs w:val="26"/>
          <w:rtl/>
        </w:rPr>
        <w:t>, משרד האוצר</w:t>
      </w:r>
    </w:p>
    <w:p w:rsidR="009D1384" w:rsidRPr="00C0712C" w:rsidRDefault="009D1384" w:rsidP="009D1384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רויטל קיסר, בנק ישראל</w:t>
      </w:r>
    </w:p>
    <w:p w:rsidR="009D1384" w:rsidRDefault="009D1384" w:rsidP="009D1384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ליאור </w:t>
      </w:r>
      <w:proofErr w:type="spellStart"/>
      <w:r w:rsidRPr="00C0712C">
        <w:rPr>
          <w:rFonts w:cs="FrankRuehl" w:hint="cs"/>
          <w:sz w:val="26"/>
          <w:szCs w:val="26"/>
          <w:rtl/>
        </w:rPr>
        <w:t>תבורי</w:t>
      </w:r>
      <w:proofErr w:type="spellEnd"/>
    </w:p>
    <w:p w:rsidR="009D1384" w:rsidRDefault="009D1384" w:rsidP="009D1384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עו"ד רוני </w:t>
      </w:r>
      <w:proofErr w:type="spellStart"/>
      <w:r>
        <w:rPr>
          <w:rFonts w:cs="FrankRuehl" w:hint="cs"/>
          <w:sz w:val="26"/>
          <w:szCs w:val="26"/>
          <w:rtl/>
        </w:rPr>
        <w:t>טלמור</w:t>
      </w:r>
      <w:proofErr w:type="spellEnd"/>
      <w:r>
        <w:rPr>
          <w:rFonts w:cs="FrankRuehl" w:hint="cs"/>
          <w:sz w:val="26"/>
          <w:szCs w:val="26"/>
          <w:rtl/>
        </w:rPr>
        <w:t>, משרד המשפטים</w:t>
      </w:r>
    </w:p>
    <w:p w:rsidR="009D1384" w:rsidRDefault="009D1384" w:rsidP="009D1384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עו"ד רוני </w:t>
      </w:r>
      <w:proofErr w:type="spellStart"/>
      <w:r>
        <w:rPr>
          <w:rFonts w:cs="FrankRuehl" w:hint="cs"/>
          <w:sz w:val="26"/>
          <w:szCs w:val="26"/>
          <w:rtl/>
        </w:rPr>
        <w:t>נויבאר</w:t>
      </w:r>
      <w:proofErr w:type="spellEnd"/>
      <w:r>
        <w:rPr>
          <w:rFonts w:cs="FrankRuehl" w:hint="cs"/>
          <w:sz w:val="26"/>
          <w:szCs w:val="26"/>
          <w:rtl/>
        </w:rPr>
        <w:t>, משרד המשפטים</w:t>
      </w:r>
    </w:p>
    <w:p w:rsidR="009D1384" w:rsidRDefault="009D1384" w:rsidP="009D1384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ברוך </w:t>
      </w:r>
      <w:proofErr w:type="spellStart"/>
      <w:r>
        <w:rPr>
          <w:rFonts w:cs="FrankRuehl" w:hint="cs"/>
          <w:sz w:val="26"/>
          <w:szCs w:val="26"/>
          <w:rtl/>
        </w:rPr>
        <w:t>לוברט</w:t>
      </w:r>
      <w:proofErr w:type="spellEnd"/>
      <w:r>
        <w:rPr>
          <w:rFonts w:cs="FrankRuehl" w:hint="cs"/>
          <w:sz w:val="26"/>
          <w:szCs w:val="26"/>
          <w:rtl/>
        </w:rPr>
        <w:t>, משרד האוצר</w:t>
      </w:r>
    </w:p>
    <w:p w:rsidR="009D1384" w:rsidRDefault="009D1384" w:rsidP="009D1384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ד"ר דנה הלר, הרשות להגבלים עסקיים </w:t>
      </w:r>
    </w:p>
    <w:p w:rsidR="009D1384" w:rsidRDefault="009D1384" w:rsidP="009D1384">
      <w:pPr>
        <w:rPr>
          <w:rtl/>
        </w:rPr>
      </w:pPr>
    </w:p>
    <w:p w:rsidR="009D1384" w:rsidRDefault="009D1384" w:rsidP="009D1384">
      <w:pPr>
        <w:rPr>
          <w:rtl/>
        </w:rPr>
      </w:pPr>
    </w:p>
    <w:p w:rsidR="009D1384" w:rsidRDefault="009D1384" w:rsidP="009D1384">
      <w:pPr>
        <w:rPr>
          <w:rtl/>
        </w:rPr>
      </w:pPr>
    </w:p>
    <w:p w:rsidR="009D1384" w:rsidRDefault="009D1384" w:rsidP="009D1384">
      <w:pPr>
        <w:rPr>
          <w:rtl/>
        </w:rPr>
      </w:pPr>
    </w:p>
    <w:p w:rsidR="009D1384" w:rsidRDefault="009D1384" w:rsidP="009D1384">
      <w:pPr>
        <w:rPr>
          <w:rtl/>
        </w:rPr>
      </w:pPr>
    </w:p>
    <w:p w:rsidR="009D1384" w:rsidRDefault="009D1384" w:rsidP="009D1384">
      <w:pPr>
        <w:rPr>
          <w:rtl/>
        </w:rPr>
      </w:pPr>
    </w:p>
    <w:p w:rsidR="009D1384" w:rsidRPr="00C36EC2" w:rsidRDefault="009D1384" w:rsidP="009D1384">
      <w:pPr>
        <w:spacing w:line="360" w:lineRule="auto"/>
        <w:jc w:val="both"/>
        <w:rPr>
          <w:rFonts w:cs="FrankRuehl"/>
          <w:b/>
          <w:bCs/>
          <w:sz w:val="28"/>
          <w:szCs w:val="28"/>
          <w:u w:val="single"/>
          <w:rtl/>
        </w:rPr>
      </w:pPr>
      <w:r w:rsidRPr="00C36EC2">
        <w:rPr>
          <w:rFonts w:cs="FrankRuehl" w:hint="cs"/>
          <w:b/>
          <w:bCs/>
          <w:sz w:val="28"/>
          <w:szCs w:val="28"/>
          <w:u w:val="single"/>
          <w:rtl/>
        </w:rPr>
        <w:lastRenderedPageBreak/>
        <w:t xml:space="preserve">סיכום דיון </w:t>
      </w:r>
    </w:p>
    <w:p w:rsidR="009D1384" w:rsidRDefault="009D1384" w:rsidP="0086543F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 w:rsidRPr="00C36EC2">
        <w:rPr>
          <w:rFonts w:cs="FrankRuehl" w:hint="cs"/>
          <w:sz w:val="28"/>
          <w:szCs w:val="28"/>
          <w:rtl/>
        </w:rPr>
        <w:t>יו"ר הוועדה, דרור שטרום, פתח והציג את נושא</w:t>
      </w:r>
      <w:r>
        <w:rPr>
          <w:rFonts w:cs="FrankRuehl" w:hint="cs"/>
          <w:sz w:val="28"/>
          <w:szCs w:val="28"/>
          <w:rtl/>
        </w:rPr>
        <w:t xml:space="preserve"> הדיון להיום, המשך דיון בטיוטת ההמלצות שהועברה לחברי הוועדה</w:t>
      </w:r>
      <w:r w:rsidR="0086543F">
        <w:rPr>
          <w:rFonts w:cs="FrankRuehl" w:hint="cs"/>
          <w:sz w:val="28"/>
          <w:szCs w:val="28"/>
          <w:rtl/>
        </w:rPr>
        <w:t>.</w:t>
      </w:r>
      <w:r>
        <w:rPr>
          <w:rFonts w:cs="FrankRuehl" w:hint="cs"/>
          <w:sz w:val="28"/>
          <w:szCs w:val="28"/>
          <w:rtl/>
        </w:rPr>
        <w:t xml:space="preserve"> </w:t>
      </w:r>
    </w:p>
    <w:p w:rsidR="009D1384" w:rsidRDefault="00C817C0" w:rsidP="005A1B41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 xml:space="preserve">יו"ר הוועדה </w:t>
      </w:r>
      <w:r w:rsidR="00EE35D5">
        <w:rPr>
          <w:rFonts w:cs="FrankRuehl" w:hint="cs"/>
          <w:sz w:val="28"/>
          <w:szCs w:val="28"/>
          <w:rtl/>
        </w:rPr>
        <w:t>העלה פעם נוספת סוגיית כ.א.ל בהקשר של אחזקת שני בנקים בה.</w:t>
      </w:r>
      <w:r>
        <w:rPr>
          <w:rFonts w:cs="FrankRuehl" w:hint="cs"/>
          <w:sz w:val="28"/>
          <w:szCs w:val="28"/>
          <w:rtl/>
        </w:rPr>
        <w:t xml:space="preserve"> צוין כי קיימת בעייתיות בשל העובדה שנתח השוק המצרפי של שני הבנקים הבעלים </w:t>
      </w:r>
      <w:proofErr w:type="spellStart"/>
      <w:r>
        <w:rPr>
          <w:rFonts w:cs="FrankRuehl" w:hint="cs"/>
          <w:sz w:val="28"/>
          <w:szCs w:val="28"/>
          <w:rtl/>
        </w:rPr>
        <w:t>בכ.א.ל</w:t>
      </w:r>
      <w:proofErr w:type="spellEnd"/>
      <w:r>
        <w:rPr>
          <w:rFonts w:cs="FrankRuehl" w:hint="cs"/>
          <w:sz w:val="28"/>
          <w:szCs w:val="28"/>
          <w:rtl/>
        </w:rPr>
        <w:t xml:space="preserve"> הוא מעל 20% ועל כן על פי המדד אותו הציג בנק ישראל וגם מהבחינה העניינית </w:t>
      </w:r>
      <w:r>
        <w:rPr>
          <w:rFonts w:cs="FrankRuehl"/>
          <w:sz w:val="28"/>
          <w:szCs w:val="28"/>
          <w:rtl/>
        </w:rPr>
        <w:t>–</w:t>
      </w:r>
      <w:r>
        <w:rPr>
          <w:rFonts w:cs="FrankRuehl" w:hint="cs"/>
          <w:sz w:val="28"/>
          <w:szCs w:val="28"/>
          <w:rtl/>
        </w:rPr>
        <w:t xml:space="preserve"> יש להפריד את </w:t>
      </w:r>
      <w:proofErr w:type="spellStart"/>
      <w:r>
        <w:rPr>
          <w:rFonts w:cs="FrankRuehl" w:hint="cs"/>
          <w:sz w:val="28"/>
          <w:szCs w:val="28"/>
          <w:rtl/>
        </w:rPr>
        <w:t>כ.א.ל</w:t>
      </w:r>
      <w:proofErr w:type="spellEnd"/>
      <w:r>
        <w:rPr>
          <w:rFonts w:cs="FrankRuehl" w:hint="cs"/>
          <w:sz w:val="28"/>
          <w:szCs w:val="28"/>
          <w:rtl/>
        </w:rPr>
        <w:t xml:space="preserve"> בשורה אחת עם ישראכרט ולאומי קארד אלא אם יוכח כי החזקות הבינלאומי (שהוא מיעוט 28%) בחברת </w:t>
      </w:r>
      <w:proofErr w:type="spellStart"/>
      <w:r>
        <w:rPr>
          <w:rFonts w:cs="FrankRuehl" w:hint="cs"/>
          <w:sz w:val="28"/>
          <w:szCs w:val="28"/>
          <w:rtl/>
        </w:rPr>
        <w:t>כ.א.ל</w:t>
      </w:r>
      <w:proofErr w:type="spellEnd"/>
      <w:r>
        <w:rPr>
          <w:rFonts w:cs="FrankRuehl" w:hint="cs"/>
          <w:sz w:val="28"/>
          <w:szCs w:val="28"/>
          <w:rtl/>
        </w:rPr>
        <w:t xml:space="preserve"> הן פסיביות, קרי הוא אינו מעורב בניהול ובשליטה. </w:t>
      </w:r>
    </w:p>
    <w:p w:rsidR="00EE35D5" w:rsidRPr="00EE35D5" w:rsidRDefault="00EE35D5" w:rsidP="00272D33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  <w:rtl/>
        </w:rPr>
      </w:pPr>
      <w:r>
        <w:rPr>
          <w:rFonts w:cs="FrankRuehl" w:hint="cs"/>
          <w:sz w:val="28"/>
          <w:szCs w:val="28"/>
          <w:rtl/>
        </w:rPr>
        <w:t xml:space="preserve">נאמר כי </w:t>
      </w:r>
      <w:r w:rsidRPr="00EE35D5">
        <w:rPr>
          <w:rFonts w:cs="FrankRuehl" w:hint="cs"/>
          <w:sz w:val="28"/>
          <w:szCs w:val="28"/>
          <w:rtl/>
        </w:rPr>
        <w:t xml:space="preserve">חשוב כבר עכשיו להפריד את האחזקה המשותפת </w:t>
      </w:r>
      <w:proofErr w:type="spellStart"/>
      <w:r w:rsidRPr="00EE35D5">
        <w:rPr>
          <w:rFonts w:cs="FrankRuehl" w:hint="cs"/>
          <w:sz w:val="28"/>
          <w:szCs w:val="28"/>
          <w:rtl/>
        </w:rPr>
        <w:t>בכ</w:t>
      </w:r>
      <w:r>
        <w:rPr>
          <w:rFonts w:cs="FrankRuehl" w:hint="cs"/>
          <w:sz w:val="28"/>
          <w:szCs w:val="28"/>
          <w:rtl/>
        </w:rPr>
        <w:t>.</w:t>
      </w:r>
      <w:r w:rsidRPr="00EE35D5">
        <w:rPr>
          <w:rFonts w:cs="FrankRuehl" w:hint="cs"/>
          <w:sz w:val="28"/>
          <w:szCs w:val="28"/>
          <w:rtl/>
        </w:rPr>
        <w:t>א</w:t>
      </w:r>
      <w:r>
        <w:rPr>
          <w:rFonts w:cs="FrankRuehl" w:hint="cs"/>
          <w:sz w:val="28"/>
          <w:szCs w:val="28"/>
          <w:rtl/>
        </w:rPr>
        <w:t>.</w:t>
      </w:r>
      <w:r w:rsidRPr="00EE35D5">
        <w:rPr>
          <w:rFonts w:cs="FrankRuehl" w:hint="cs"/>
          <w:sz w:val="28"/>
          <w:szCs w:val="28"/>
          <w:rtl/>
        </w:rPr>
        <w:t>ל</w:t>
      </w:r>
      <w:proofErr w:type="spellEnd"/>
      <w:r w:rsidRPr="00EE35D5">
        <w:rPr>
          <w:rFonts w:cs="FrankRuehl" w:hint="cs"/>
          <w:sz w:val="28"/>
          <w:szCs w:val="28"/>
          <w:rtl/>
        </w:rPr>
        <w:t xml:space="preserve">. הבנקים לא צריכים להחזיק במשותף בחברת כרטיסי אשראי. שיתופי פעולה בין בנקים אינם רצויים בשוק ריכוזי, במיוחד לא בבעלות משותפת. </w:t>
      </w:r>
    </w:p>
    <w:p w:rsidR="00EE35D5" w:rsidRDefault="00EE35D5" w:rsidP="00272D33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 w:rsidRPr="00EE35D5">
        <w:rPr>
          <w:rFonts w:cs="FrankRuehl" w:hint="cs"/>
          <w:sz w:val="28"/>
          <w:szCs w:val="28"/>
          <w:rtl/>
        </w:rPr>
        <w:t>נאמר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כי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צריך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להסתכל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על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כל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בנק</w:t>
      </w:r>
      <w:r w:rsidRPr="00EE35D5">
        <w:rPr>
          <w:rFonts w:cs="FrankRuehl"/>
          <w:sz w:val="28"/>
          <w:szCs w:val="28"/>
          <w:rtl/>
        </w:rPr>
        <w:t xml:space="preserve"> (</w:t>
      </w:r>
      <w:r w:rsidRPr="00EE35D5">
        <w:rPr>
          <w:rFonts w:cs="FrankRuehl" w:hint="cs"/>
          <w:sz w:val="28"/>
          <w:szCs w:val="28"/>
          <w:rtl/>
        </w:rPr>
        <w:t>ששולט</w:t>
      </w:r>
      <w:r w:rsidRPr="00EE35D5">
        <w:rPr>
          <w:rFonts w:cs="FrankRuehl"/>
          <w:sz w:val="28"/>
          <w:szCs w:val="28"/>
          <w:rtl/>
        </w:rPr>
        <w:t xml:space="preserve"> </w:t>
      </w:r>
      <w:proofErr w:type="spellStart"/>
      <w:r w:rsidRPr="00EE35D5">
        <w:rPr>
          <w:rFonts w:cs="FrankRuehl" w:hint="cs"/>
          <w:sz w:val="28"/>
          <w:szCs w:val="28"/>
          <w:rtl/>
        </w:rPr>
        <w:t>בכ</w:t>
      </w:r>
      <w:r>
        <w:rPr>
          <w:rFonts w:cs="FrankRuehl" w:hint="cs"/>
          <w:sz w:val="28"/>
          <w:szCs w:val="28"/>
          <w:rtl/>
        </w:rPr>
        <w:t>.</w:t>
      </w:r>
      <w:r w:rsidRPr="00EE35D5">
        <w:rPr>
          <w:rFonts w:cs="FrankRuehl" w:hint="cs"/>
          <w:sz w:val="28"/>
          <w:szCs w:val="28"/>
          <w:rtl/>
        </w:rPr>
        <w:t>א</w:t>
      </w:r>
      <w:r>
        <w:rPr>
          <w:rFonts w:cs="FrankRuehl" w:hint="cs"/>
          <w:sz w:val="28"/>
          <w:szCs w:val="28"/>
          <w:rtl/>
        </w:rPr>
        <w:t>.</w:t>
      </w:r>
      <w:r w:rsidRPr="00EE35D5">
        <w:rPr>
          <w:rFonts w:cs="FrankRuehl" w:hint="cs"/>
          <w:sz w:val="28"/>
          <w:szCs w:val="28"/>
          <w:rtl/>
        </w:rPr>
        <w:t>ל</w:t>
      </w:r>
      <w:proofErr w:type="spellEnd"/>
      <w:r w:rsidRPr="00EE35D5">
        <w:rPr>
          <w:rFonts w:cs="FrankRuehl"/>
          <w:sz w:val="28"/>
          <w:szCs w:val="28"/>
          <w:rtl/>
        </w:rPr>
        <w:t xml:space="preserve">) </w:t>
      </w:r>
      <w:r w:rsidRPr="00EE35D5">
        <w:rPr>
          <w:rFonts w:cs="FrankRuehl" w:hint="cs"/>
          <w:sz w:val="28"/>
          <w:szCs w:val="28"/>
          <w:rtl/>
        </w:rPr>
        <w:t>בנפרד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ולא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לספור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במשותף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את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נתח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השוק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שלהם</w:t>
      </w:r>
      <w:r w:rsidRPr="00EE35D5">
        <w:rPr>
          <w:rFonts w:cs="FrankRuehl"/>
          <w:sz w:val="28"/>
          <w:szCs w:val="28"/>
          <w:rtl/>
        </w:rPr>
        <w:t>.</w:t>
      </w:r>
    </w:p>
    <w:p w:rsidR="00C817C0" w:rsidRPr="00EE35D5" w:rsidRDefault="00C817C0" w:rsidP="00C817C0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  <w:rtl/>
        </w:rPr>
      </w:pPr>
      <w:r>
        <w:rPr>
          <w:rFonts w:cs="FrankRuehl" w:hint="cs"/>
          <w:sz w:val="28"/>
          <w:szCs w:val="28"/>
          <w:rtl/>
        </w:rPr>
        <w:t>הוסבר כי מבחינת דיני התחרות ההסתכלות פעמים רבות היא כן על נתח שוק מצרפי של צדדים הפועלים בשיתוף פעולה.</w:t>
      </w:r>
    </w:p>
    <w:p w:rsidR="00EE35D5" w:rsidRPr="00EE35D5" w:rsidRDefault="00EE35D5" w:rsidP="00EE3699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  <w:rtl/>
        </w:rPr>
      </w:pPr>
      <w:r w:rsidRPr="00EE35D5">
        <w:rPr>
          <w:rFonts w:cs="FrankRuehl" w:hint="cs"/>
          <w:sz w:val="28"/>
          <w:szCs w:val="28"/>
          <w:rtl/>
        </w:rPr>
        <w:t>נאמר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כי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שני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נגידים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כבר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סברו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כי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אחזקה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של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דיסקונט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בבינלאומי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היא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לא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ראויה</w:t>
      </w:r>
      <w:r w:rsidRPr="00EE35D5">
        <w:rPr>
          <w:rFonts w:cs="FrankRuehl"/>
          <w:sz w:val="28"/>
          <w:szCs w:val="28"/>
          <w:rtl/>
        </w:rPr>
        <w:t xml:space="preserve">. </w:t>
      </w:r>
      <w:r w:rsidRPr="00EE35D5">
        <w:rPr>
          <w:rFonts w:cs="FrankRuehl" w:hint="cs"/>
          <w:sz w:val="28"/>
          <w:szCs w:val="28"/>
          <w:rtl/>
        </w:rPr>
        <w:t>האחזקה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המשותפת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היא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מחסום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לתחרות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ולכן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צריך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להפריד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כבר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עכשיו</w:t>
      </w:r>
      <w:r w:rsidRPr="00EE35D5">
        <w:rPr>
          <w:rFonts w:cs="FrankRuehl"/>
          <w:sz w:val="28"/>
          <w:szCs w:val="28"/>
          <w:rtl/>
        </w:rPr>
        <w:t>.</w:t>
      </w:r>
    </w:p>
    <w:p w:rsidR="00EE35D5" w:rsidRPr="00EE35D5" w:rsidRDefault="00EE35D5" w:rsidP="00272D33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  <w:rtl/>
        </w:rPr>
      </w:pPr>
      <w:r w:rsidRPr="00EE35D5">
        <w:rPr>
          <w:rFonts w:cs="FrankRuehl" w:hint="cs"/>
          <w:sz w:val="28"/>
          <w:szCs w:val="28"/>
          <w:rtl/>
        </w:rPr>
        <w:t>נאמר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כי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רוצים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לייצר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שחקנים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חדשים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ויש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ניגוד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אינטרסים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באחזקה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משותפת</w:t>
      </w:r>
      <w:r w:rsidRPr="00EE35D5">
        <w:rPr>
          <w:rFonts w:cs="FrankRuehl"/>
          <w:sz w:val="28"/>
          <w:szCs w:val="28"/>
          <w:rtl/>
        </w:rPr>
        <w:t xml:space="preserve">. </w:t>
      </w:r>
    </w:p>
    <w:p w:rsidR="00EE35D5" w:rsidRPr="00EE35D5" w:rsidRDefault="00C817C0" w:rsidP="00272D33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  <w:rtl/>
        </w:rPr>
      </w:pPr>
      <w:r>
        <w:rPr>
          <w:rFonts w:cs="FrankRuehl" w:hint="cs"/>
          <w:sz w:val="28"/>
          <w:szCs w:val="28"/>
          <w:rtl/>
        </w:rPr>
        <w:t>הודגש שוב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כי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כל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עוד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הנתח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הקמעונאי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של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שני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הבנקים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ששולטים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proofErr w:type="spellStart"/>
      <w:r w:rsidR="00EE35D5" w:rsidRPr="00EE35D5">
        <w:rPr>
          <w:rFonts w:cs="FrankRuehl" w:hint="cs"/>
          <w:sz w:val="28"/>
          <w:szCs w:val="28"/>
          <w:rtl/>
        </w:rPr>
        <w:t>בכא</w:t>
      </w:r>
      <w:r w:rsidR="00EE35D5" w:rsidRPr="00EE35D5">
        <w:rPr>
          <w:rFonts w:cs="FrankRuehl"/>
          <w:sz w:val="28"/>
          <w:szCs w:val="28"/>
          <w:rtl/>
        </w:rPr>
        <w:t>"</w:t>
      </w:r>
      <w:r w:rsidR="00EE35D5" w:rsidRPr="00EE35D5">
        <w:rPr>
          <w:rFonts w:cs="FrankRuehl" w:hint="cs"/>
          <w:sz w:val="28"/>
          <w:szCs w:val="28"/>
          <w:rtl/>
        </w:rPr>
        <w:t>ל</w:t>
      </w:r>
      <w:proofErr w:type="spellEnd"/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גבוה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מ</w:t>
      </w:r>
      <w:r w:rsidR="00EE35D5" w:rsidRPr="00EE35D5">
        <w:rPr>
          <w:rFonts w:cs="FrankRuehl"/>
          <w:sz w:val="28"/>
          <w:szCs w:val="28"/>
          <w:rtl/>
        </w:rPr>
        <w:t xml:space="preserve">-20% </w:t>
      </w:r>
      <w:r w:rsidR="00EE35D5" w:rsidRPr="00EE35D5">
        <w:rPr>
          <w:rFonts w:cs="FrankRuehl" w:hint="cs"/>
          <w:sz w:val="28"/>
          <w:szCs w:val="28"/>
          <w:rtl/>
        </w:rPr>
        <w:t>זה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יוצר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בעיה</w:t>
      </w:r>
      <w:r w:rsidR="00EE35D5" w:rsidRPr="00EE35D5">
        <w:rPr>
          <w:rFonts w:cs="FrankRuehl"/>
          <w:sz w:val="28"/>
          <w:szCs w:val="28"/>
          <w:rtl/>
        </w:rPr>
        <w:t xml:space="preserve">. </w:t>
      </w:r>
      <w:r w:rsidR="00EE35D5" w:rsidRPr="00EE35D5">
        <w:rPr>
          <w:rFonts w:cs="FrankRuehl" w:hint="cs"/>
          <w:sz w:val="28"/>
          <w:szCs w:val="28"/>
          <w:rtl/>
        </w:rPr>
        <w:t>אלא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אם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כן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האחזקה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של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הבינלאומי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היא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לחלוטין</w:t>
      </w:r>
      <w:r w:rsidR="00EE35D5" w:rsidRPr="00EE35D5">
        <w:rPr>
          <w:rFonts w:cs="FrankRuehl"/>
          <w:sz w:val="28"/>
          <w:szCs w:val="28"/>
          <w:rtl/>
        </w:rPr>
        <w:t xml:space="preserve"> </w:t>
      </w:r>
      <w:r w:rsidR="00EE35D5" w:rsidRPr="00EE35D5">
        <w:rPr>
          <w:rFonts w:cs="FrankRuehl" w:hint="cs"/>
          <w:sz w:val="28"/>
          <w:szCs w:val="28"/>
          <w:rtl/>
        </w:rPr>
        <w:t>פאסיבית</w:t>
      </w:r>
      <w:r w:rsidR="00EE35D5" w:rsidRPr="00EE35D5">
        <w:rPr>
          <w:rFonts w:cs="FrankRuehl"/>
          <w:sz w:val="28"/>
          <w:szCs w:val="28"/>
          <w:rtl/>
        </w:rPr>
        <w:t>.</w:t>
      </w:r>
    </w:p>
    <w:p w:rsidR="00EE35D5" w:rsidRDefault="00EE35D5" w:rsidP="00272D33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 w:rsidRPr="00EE35D5">
        <w:rPr>
          <w:rFonts w:cs="FrankRuehl" w:hint="cs"/>
          <w:sz w:val="28"/>
          <w:szCs w:val="28"/>
          <w:rtl/>
        </w:rPr>
        <w:t>ההחלטה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תלויה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בנתונים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שיוצגו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לגבי</w:t>
      </w:r>
      <w:r w:rsidRPr="00EE35D5">
        <w:rPr>
          <w:rFonts w:cs="FrankRuehl"/>
          <w:sz w:val="28"/>
          <w:szCs w:val="28"/>
          <w:rtl/>
        </w:rPr>
        <w:t xml:space="preserve"> </w:t>
      </w:r>
      <w:proofErr w:type="spellStart"/>
      <w:r w:rsidRPr="00EE35D5">
        <w:rPr>
          <w:rFonts w:cs="FrankRuehl" w:hint="cs"/>
          <w:sz w:val="28"/>
          <w:szCs w:val="28"/>
          <w:rtl/>
        </w:rPr>
        <w:t>כא</w:t>
      </w:r>
      <w:r w:rsidRPr="00EE35D5">
        <w:rPr>
          <w:rFonts w:cs="FrankRuehl"/>
          <w:sz w:val="28"/>
          <w:szCs w:val="28"/>
          <w:rtl/>
        </w:rPr>
        <w:t>"</w:t>
      </w:r>
      <w:r w:rsidRPr="00EE35D5">
        <w:rPr>
          <w:rFonts w:cs="FrankRuehl" w:hint="cs"/>
          <w:sz w:val="28"/>
          <w:szCs w:val="28"/>
          <w:rtl/>
        </w:rPr>
        <w:t>ל</w:t>
      </w:r>
      <w:proofErr w:type="spellEnd"/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וסוג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האחזקה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של</w:t>
      </w:r>
      <w:r w:rsidRPr="00EE35D5">
        <w:rPr>
          <w:rFonts w:cs="FrankRuehl"/>
          <w:sz w:val="28"/>
          <w:szCs w:val="28"/>
          <w:rtl/>
        </w:rPr>
        <w:t xml:space="preserve"> </w:t>
      </w:r>
      <w:r w:rsidRPr="00EE35D5">
        <w:rPr>
          <w:rFonts w:cs="FrankRuehl" w:hint="cs"/>
          <w:sz w:val="28"/>
          <w:szCs w:val="28"/>
          <w:rtl/>
        </w:rPr>
        <w:t>הבינלאומי</w:t>
      </w:r>
      <w:r w:rsidRPr="00EE35D5">
        <w:rPr>
          <w:rFonts w:cs="FrankRuehl"/>
          <w:sz w:val="28"/>
          <w:szCs w:val="28"/>
          <w:rtl/>
        </w:rPr>
        <w:t>.</w:t>
      </w:r>
      <w:r w:rsidR="00C817C0">
        <w:rPr>
          <w:rFonts w:cs="FrankRuehl" w:hint="cs"/>
          <w:sz w:val="28"/>
          <w:szCs w:val="28"/>
          <w:rtl/>
        </w:rPr>
        <w:t xml:space="preserve"> היו"ר ביקש לקבל הבהרות בנושא זה גם לגבי זכויות במינוי נושאי משרה וגם לגבי אופי השליטה (משותפת או נפרדת) ומינוי הדירקטורים.</w:t>
      </w:r>
    </w:p>
    <w:p w:rsidR="00272D33" w:rsidRDefault="00272D33" w:rsidP="00EE35D5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הועלתה סוגיית המעבר לסליקה יומית (מעבר ממצב עולם בו התשלום מהמנפיק עובר לסולק ואז לבית העסק פעם בחודש לפעם ביום)</w:t>
      </w:r>
      <w:r w:rsidR="00C817C0">
        <w:rPr>
          <w:rFonts w:cs="FrankRuehl" w:hint="cs"/>
          <w:sz w:val="28"/>
          <w:szCs w:val="28"/>
          <w:rtl/>
        </w:rPr>
        <w:t>.</w:t>
      </w:r>
      <w:r w:rsidR="00C817C0" w:rsidRPr="00C817C0">
        <w:rPr>
          <w:rFonts w:cs="FrankRuehl" w:hint="cs"/>
          <w:sz w:val="28"/>
          <w:szCs w:val="28"/>
          <w:rtl/>
        </w:rPr>
        <w:t xml:space="preserve"> </w:t>
      </w:r>
      <w:r w:rsidR="00C817C0">
        <w:rPr>
          <w:rFonts w:cs="FrankRuehl" w:hint="cs"/>
          <w:sz w:val="28"/>
          <w:szCs w:val="28"/>
          <w:rtl/>
        </w:rPr>
        <w:t xml:space="preserve">קיימת הסכמה בין כל חברי הועדה על הצורך לעבור לסליקה יומית אבל </w:t>
      </w:r>
      <w:proofErr w:type="spellStart"/>
      <w:r w:rsidR="00C817C0">
        <w:rPr>
          <w:rFonts w:cs="FrankRuehl" w:hint="cs"/>
          <w:sz w:val="28"/>
          <w:szCs w:val="28"/>
          <w:rtl/>
        </w:rPr>
        <w:t>הויכוח</w:t>
      </w:r>
      <w:proofErr w:type="spellEnd"/>
      <w:r w:rsidR="00C817C0">
        <w:rPr>
          <w:rFonts w:cs="FrankRuehl" w:hint="cs"/>
          <w:sz w:val="28"/>
          <w:szCs w:val="28"/>
          <w:rtl/>
        </w:rPr>
        <w:t xml:space="preserve"> הקיים הוא האם יש לעשות זאת </w:t>
      </w:r>
      <w:proofErr w:type="spellStart"/>
      <w:r w:rsidR="00C817C0">
        <w:rPr>
          <w:rFonts w:cs="FrankRuehl" w:hint="cs"/>
          <w:sz w:val="28"/>
          <w:szCs w:val="28"/>
          <w:rtl/>
        </w:rPr>
        <w:t>מיידית</w:t>
      </w:r>
      <w:proofErr w:type="spellEnd"/>
      <w:r w:rsidR="00C817C0">
        <w:rPr>
          <w:rFonts w:cs="FrankRuehl" w:hint="cs"/>
          <w:sz w:val="28"/>
          <w:szCs w:val="28"/>
          <w:rtl/>
        </w:rPr>
        <w:t xml:space="preserve"> טרם ביצוע ההפרדה או רק פרק זמן של שנתיים לאחריה.</w:t>
      </w:r>
    </w:p>
    <w:p w:rsidR="00272D33" w:rsidRDefault="00272D33" w:rsidP="00272D33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 w:rsidRPr="00272D33">
        <w:rPr>
          <w:rFonts w:cs="FrankRuehl" w:hint="cs"/>
          <w:sz w:val="28"/>
          <w:szCs w:val="28"/>
          <w:rtl/>
        </w:rPr>
        <w:lastRenderedPageBreak/>
        <w:t>נאמר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כי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חשוב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לתת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ודאות</w:t>
      </w:r>
      <w:r w:rsidRPr="00272D33">
        <w:rPr>
          <w:rFonts w:cs="FrankRuehl"/>
          <w:sz w:val="28"/>
          <w:szCs w:val="28"/>
          <w:rtl/>
        </w:rPr>
        <w:t xml:space="preserve"> </w:t>
      </w:r>
      <w:r>
        <w:rPr>
          <w:rFonts w:cs="FrankRuehl" w:hint="cs"/>
          <w:sz w:val="28"/>
          <w:szCs w:val="28"/>
          <w:rtl/>
        </w:rPr>
        <w:t>חברות כרטיסי האשראי</w:t>
      </w:r>
      <w:r w:rsidRPr="00272D33">
        <w:rPr>
          <w:rFonts w:cs="FrankRuehl"/>
          <w:sz w:val="28"/>
          <w:szCs w:val="28"/>
          <w:rtl/>
        </w:rPr>
        <w:t xml:space="preserve">. </w:t>
      </w:r>
      <w:r w:rsidRPr="00272D33">
        <w:rPr>
          <w:rFonts w:cs="FrankRuehl" w:hint="cs"/>
          <w:sz w:val="28"/>
          <w:szCs w:val="28"/>
          <w:rtl/>
        </w:rPr>
        <w:t>ישראל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נמצאת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בעולם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מעוות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שיוצר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חוסר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יעילות</w:t>
      </w:r>
      <w:r w:rsidRPr="00272D33">
        <w:rPr>
          <w:rFonts w:cs="FrankRuehl"/>
          <w:sz w:val="28"/>
          <w:szCs w:val="28"/>
          <w:rtl/>
        </w:rPr>
        <w:t xml:space="preserve">. </w:t>
      </w:r>
      <w:r w:rsidRPr="00272D33">
        <w:rPr>
          <w:rFonts w:cs="FrankRuehl" w:hint="cs"/>
          <w:sz w:val="28"/>
          <w:szCs w:val="28"/>
          <w:rtl/>
        </w:rPr>
        <w:t>בנוסף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הסליקה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החודשית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מגדילה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את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דרישות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ההון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של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הסולקים</w:t>
      </w:r>
      <w:r w:rsidRPr="00272D33">
        <w:rPr>
          <w:rFonts w:cs="FrankRuehl"/>
          <w:sz w:val="28"/>
          <w:szCs w:val="28"/>
          <w:rtl/>
        </w:rPr>
        <w:t xml:space="preserve">. </w:t>
      </w:r>
    </w:p>
    <w:p w:rsidR="00272D33" w:rsidRPr="00272D33" w:rsidRDefault="00272D33" w:rsidP="000B254D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  <w:rtl/>
        </w:rPr>
      </w:pPr>
      <w:r>
        <w:rPr>
          <w:rFonts w:cs="FrankRuehl" w:hint="cs"/>
          <w:sz w:val="28"/>
          <w:szCs w:val="28"/>
          <w:rtl/>
        </w:rPr>
        <w:t xml:space="preserve">נאמר כי </w:t>
      </w:r>
      <w:r w:rsidRPr="00272D33">
        <w:rPr>
          <w:rFonts w:cs="FrankRuehl" w:hint="cs"/>
          <w:sz w:val="28"/>
          <w:szCs w:val="28"/>
          <w:rtl/>
        </w:rPr>
        <w:t>כאשר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הסולקים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יעבירו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את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הכסף</w:t>
      </w:r>
      <w:r w:rsidRPr="00272D33">
        <w:rPr>
          <w:rFonts w:cs="FrankRuehl"/>
          <w:sz w:val="28"/>
          <w:szCs w:val="28"/>
          <w:rtl/>
        </w:rPr>
        <w:t xml:space="preserve"> </w:t>
      </w:r>
      <w:r w:rsidR="000B254D" w:rsidRPr="00272D33">
        <w:rPr>
          <w:rFonts w:cs="FrankRuehl" w:hint="cs"/>
          <w:sz w:val="28"/>
          <w:szCs w:val="28"/>
          <w:rtl/>
        </w:rPr>
        <w:t>מידית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לבתי</w:t>
      </w:r>
      <w:r w:rsidRPr="00272D33">
        <w:rPr>
          <w:rFonts w:cs="FrankRuehl"/>
          <w:sz w:val="28"/>
          <w:szCs w:val="28"/>
          <w:rtl/>
        </w:rPr>
        <w:t xml:space="preserve"> </w:t>
      </w:r>
      <w:r w:rsidRPr="00272D33">
        <w:rPr>
          <w:rFonts w:cs="FrankRuehl" w:hint="cs"/>
          <w:sz w:val="28"/>
          <w:szCs w:val="28"/>
          <w:rtl/>
        </w:rPr>
        <w:t>העסק</w:t>
      </w:r>
      <w:r w:rsidR="000B254D">
        <w:rPr>
          <w:rFonts w:cs="FrankRuehl" w:hint="cs"/>
          <w:sz w:val="28"/>
          <w:szCs w:val="28"/>
          <w:rtl/>
        </w:rPr>
        <w:t>, בסבירות גבוהה,</w:t>
      </w:r>
      <w:r w:rsidRPr="00272D33">
        <w:rPr>
          <w:rFonts w:cs="FrankRuehl"/>
          <w:sz w:val="28"/>
          <w:szCs w:val="28"/>
          <w:rtl/>
        </w:rPr>
        <w:t xml:space="preserve">  </w:t>
      </w:r>
      <w:r w:rsidR="000B254D">
        <w:rPr>
          <w:rFonts w:cs="FrankRuehl" w:hint="cs"/>
          <w:sz w:val="28"/>
          <w:szCs w:val="28"/>
          <w:rtl/>
        </w:rPr>
        <w:t>תינתן תקופת חסד ללא עלות ריבית אשר תמומן על ידי המנפיקים, כפי שקורה בעולם.</w:t>
      </w:r>
      <w:r w:rsidRPr="00272D33">
        <w:rPr>
          <w:rFonts w:cs="FrankRuehl"/>
          <w:sz w:val="28"/>
          <w:szCs w:val="28"/>
          <w:rtl/>
        </w:rPr>
        <w:t xml:space="preserve"> </w:t>
      </w:r>
    </w:p>
    <w:p w:rsidR="00C817C0" w:rsidRDefault="00C817C0" w:rsidP="00C817C0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מנגד</w:t>
      </w:r>
      <w:r w:rsidRPr="00272D33">
        <w:rPr>
          <w:rFonts w:cs="FrankRuehl" w:hint="cs"/>
          <w:sz w:val="28"/>
          <w:szCs w:val="28"/>
          <w:rtl/>
        </w:rPr>
        <w:t xml:space="preserve"> </w:t>
      </w:r>
      <w:r w:rsidR="00272D33" w:rsidRPr="00272D33">
        <w:rPr>
          <w:rFonts w:cs="FrankRuehl" w:hint="cs"/>
          <w:sz w:val="28"/>
          <w:szCs w:val="28"/>
          <w:rtl/>
        </w:rPr>
        <w:t>נאמר</w:t>
      </w:r>
      <w:r w:rsidR="00272D33" w:rsidRPr="00272D33">
        <w:rPr>
          <w:rFonts w:cs="FrankRuehl"/>
          <w:sz w:val="28"/>
          <w:szCs w:val="28"/>
          <w:rtl/>
        </w:rPr>
        <w:t xml:space="preserve"> </w:t>
      </w:r>
      <w:r w:rsidR="00272D33" w:rsidRPr="00272D33">
        <w:rPr>
          <w:rFonts w:cs="FrankRuehl" w:hint="cs"/>
          <w:sz w:val="28"/>
          <w:szCs w:val="28"/>
          <w:rtl/>
        </w:rPr>
        <w:t>כי</w:t>
      </w:r>
      <w:r w:rsidR="00272D33" w:rsidRPr="00272D33">
        <w:rPr>
          <w:rFonts w:cs="FrankRuehl"/>
          <w:sz w:val="28"/>
          <w:szCs w:val="28"/>
          <w:rtl/>
        </w:rPr>
        <w:t xml:space="preserve"> </w:t>
      </w:r>
      <w:r w:rsidR="00272D33" w:rsidRPr="00272D33">
        <w:rPr>
          <w:rFonts w:cs="FrankRuehl" w:hint="cs"/>
          <w:sz w:val="28"/>
          <w:szCs w:val="28"/>
          <w:rtl/>
        </w:rPr>
        <w:t>צריך</w:t>
      </w:r>
      <w:r w:rsidR="00272D33" w:rsidRPr="00272D33">
        <w:rPr>
          <w:rFonts w:cs="FrankRuehl"/>
          <w:sz w:val="28"/>
          <w:szCs w:val="28"/>
          <w:rtl/>
        </w:rPr>
        <w:t xml:space="preserve"> </w:t>
      </w:r>
      <w:r w:rsidR="00272D33" w:rsidRPr="00272D33">
        <w:rPr>
          <w:rFonts w:cs="FrankRuehl" w:hint="cs"/>
          <w:sz w:val="28"/>
          <w:szCs w:val="28"/>
          <w:rtl/>
        </w:rPr>
        <w:t>להסתכל</w:t>
      </w:r>
      <w:r w:rsidR="00272D33" w:rsidRPr="00272D33">
        <w:rPr>
          <w:rFonts w:cs="FrankRuehl"/>
          <w:sz w:val="28"/>
          <w:szCs w:val="28"/>
          <w:rtl/>
        </w:rPr>
        <w:t xml:space="preserve"> </w:t>
      </w:r>
      <w:r w:rsidR="00272D33" w:rsidRPr="00272D33">
        <w:rPr>
          <w:rFonts w:cs="FrankRuehl" w:hint="cs"/>
          <w:sz w:val="28"/>
          <w:szCs w:val="28"/>
          <w:rtl/>
        </w:rPr>
        <w:t>על</w:t>
      </w:r>
      <w:r w:rsidR="00272D33" w:rsidRPr="00272D33">
        <w:rPr>
          <w:rFonts w:cs="FrankRuehl"/>
          <w:sz w:val="28"/>
          <w:szCs w:val="28"/>
          <w:rtl/>
        </w:rPr>
        <w:t xml:space="preserve"> </w:t>
      </w:r>
      <w:r w:rsidR="00272D33" w:rsidRPr="00272D33">
        <w:rPr>
          <w:rFonts w:cs="FrankRuehl" w:hint="cs"/>
          <w:sz w:val="28"/>
          <w:szCs w:val="28"/>
          <w:rtl/>
        </w:rPr>
        <w:t>היתרון</w:t>
      </w:r>
      <w:r w:rsidR="00272D33" w:rsidRPr="00272D33">
        <w:rPr>
          <w:rFonts w:cs="FrankRuehl"/>
          <w:sz w:val="28"/>
          <w:szCs w:val="28"/>
          <w:rtl/>
        </w:rPr>
        <w:t xml:space="preserve"> </w:t>
      </w:r>
      <w:r w:rsidR="00272D33" w:rsidRPr="00272D33">
        <w:rPr>
          <w:rFonts w:cs="FrankRuehl" w:hint="cs"/>
          <w:sz w:val="28"/>
          <w:szCs w:val="28"/>
          <w:rtl/>
        </w:rPr>
        <w:t>היחסי</w:t>
      </w:r>
      <w:r w:rsidR="00272D33" w:rsidRPr="00272D33">
        <w:rPr>
          <w:rFonts w:cs="FrankRuehl"/>
          <w:sz w:val="28"/>
          <w:szCs w:val="28"/>
          <w:rtl/>
        </w:rPr>
        <w:t xml:space="preserve"> </w:t>
      </w:r>
      <w:r w:rsidR="00272D33" w:rsidRPr="00272D33">
        <w:rPr>
          <w:rFonts w:cs="FrankRuehl" w:hint="cs"/>
          <w:sz w:val="28"/>
          <w:szCs w:val="28"/>
          <w:rtl/>
        </w:rPr>
        <w:t>של</w:t>
      </w:r>
      <w:r w:rsidR="00272D33" w:rsidRPr="00272D33">
        <w:rPr>
          <w:rFonts w:cs="FrankRuehl"/>
          <w:sz w:val="28"/>
          <w:szCs w:val="28"/>
          <w:rtl/>
        </w:rPr>
        <w:t xml:space="preserve"> </w:t>
      </w:r>
      <w:r w:rsidR="000B254D">
        <w:rPr>
          <w:rFonts w:cs="FrankRuehl" w:hint="cs"/>
          <w:sz w:val="28"/>
          <w:szCs w:val="28"/>
          <w:rtl/>
        </w:rPr>
        <w:t>חברות כרטיסי אשראי</w:t>
      </w:r>
      <w:r w:rsidR="00272D33" w:rsidRPr="00272D33">
        <w:rPr>
          <w:rFonts w:cs="FrankRuehl"/>
          <w:sz w:val="28"/>
          <w:szCs w:val="28"/>
          <w:rtl/>
        </w:rPr>
        <w:t xml:space="preserve"> </w:t>
      </w:r>
      <w:r w:rsidR="00272D33" w:rsidRPr="00272D33">
        <w:rPr>
          <w:rFonts w:cs="FrankRuehl" w:hint="cs"/>
          <w:sz w:val="28"/>
          <w:szCs w:val="28"/>
          <w:rtl/>
        </w:rPr>
        <w:t>לעומת</w:t>
      </w:r>
      <w:r w:rsidR="00272D33" w:rsidRPr="00272D33">
        <w:rPr>
          <w:rFonts w:cs="FrankRuehl"/>
          <w:sz w:val="28"/>
          <w:szCs w:val="28"/>
          <w:rtl/>
        </w:rPr>
        <w:t xml:space="preserve"> </w:t>
      </w:r>
      <w:r w:rsidR="00272D33" w:rsidRPr="00272D33">
        <w:rPr>
          <w:rFonts w:cs="FrankRuehl" w:hint="cs"/>
          <w:sz w:val="28"/>
          <w:szCs w:val="28"/>
          <w:rtl/>
        </w:rPr>
        <w:t>הבנקים</w:t>
      </w:r>
      <w:r w:rsidR="00272D33" w:rsidRPr="00272D33">
        <w:rPr>
          <w:rFonts w:cs="FrankRuehl"/>
          <w:sz w:val="28"/>
          <w:szCs w:val="28"/>
          <w:rtl/>
        </w:rPr>
        <w:t xml:space="preserve">. </w:t>
      </w:r>
      <w:r w:rsidR="000B254D">
        <w:rPr>
          <w:rFonts w:cs="FrankRuehl" w:hint="cs"/>
          <w:sz w:val="28"/>
          <w:szCs w:val="28"/>
          <w:rtl/>
        </w:rPr>
        <w:t>המעבר לסליקה יומית יפחית את היתרון היחסי של חברות כרטיסי האשראי הניתן כיום באמצעות עסקאות החיוב הנדחה</w:t>
      </w:r>
      <w:r w:rsidRPr="00C817C0">
        <w:rPr>
          <w:rFonts w:cs="FrankRuehl" w:hint="cs"/>
          <w:sz w:val="28"/>
          <w:szCs w:val="28"/>
          <w:rtl/>
        </w:rPr>
        <w:t xml:space="preserve"> </w:t>
      </w:r>
      <w:r>
        <w:rPr>
          <w:rFonts w:cs="FrankRuehl" w:hint="cs"/>
          <w:sz w:val="28"/>
          <w:szCs w:val="28"/>
          <w:rtl/>
        </w:rPr>
        <w:t xml:space="preserve">ובכך יכרסם ביתרון תחרותי </w:t>
      </w:r>
      <w:proofErr w:type="spellStart"/>
      <w:r>
        <w:rPr>
          <w:rFonts w:cs="FrankRuehl" w:hint="cs"/>
          <w:sz w:val="28"/>
          <w:szCs w:val="28"/>
          <w:rtl/>
        </w:rPr>
        <w:t>מסויים</w:t>
      </w:r>
      <w:proofErr w:type="spellEnd"/>
      <w:r>
        <w:rPr>
          <w:rFonts w:cs="FrankRuehl" w:hint="cs"/>
          <w:sz w:val="28"/>
          <w:szCs w:val="28"/>
          <w:rtl/>
        </w:rPr>
        <w:t xml:space="preserve"> שכיום יש לחברות כרטיסי אשראי על פני ה"דביט". נימוק נוסף שנטען הוא שיש חשיבות לתת אופק למשקיעים ולרוכשים החדשים של חברות כרטיסי האשראי, לצד וודאות לגבי הכללים שיחולו בעתיד. </w:t>
      </w:r>
    </w:p>
    <w:p w:rsidR="00272D33" w:rsidRDefault="00272D33" w:rsidP="00E0794C">
      <w:pPr>
        <w:pStyle w:val="a3"/>
        <w:spacing w:line="360" w:lineRule="auto"/>
        <w:ind w:left="1440"/>
        <w:jc w:val="both"/>
        <w:rPr>
          <w:rFonts w:cs="FrankRuehl"/>
          <w:sz w:val="28"/>
          <w:szCs w:val="28"/>
        </w:rPr>
      </w:pPr>
    </w:p>
    <w:p w:rsidR="00641B6C" w:rsidRDefault="0086543F" w:rsidP="005E1504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עלתה הסוגיה של אפשרות שיתוף פעולה בין חברות כרטיסי האשראי לגופים פיננסים שונים</w:t>
      </w:r>
      <w:r w:rsidR="005E1504">
        <w:rPr>
          <w:rFonts w:cs="FrankRuehl" w:hint="cs"/>
          <w:sz w:val="28"/>
          <w:szCs w:val="28"/>
          <w:rtl/>
        </w:rPr>
        <w:t xml:space="preserve"> וקיימת הסכמה שיש לאפשר זאת</w:t>
      </w:r>
      <w:r>
        <w:rPr>
          <w:rFonts w:cs="FrankRuehl" w:hint="cs"/>
          <w:sz w:val="28"/>
          <w:szCs w:val="28"/>
          <w:rtl/>
        </w:rPr>
        <w:t>.</w:t>
      </w:r>
      <w:r w:rsidR="00641B6C">
        <w:rPr>
          <w:rFonts w:cs="FrankRuehl" w:hint="cs"/>
          <w:sz w:val="28"/>
          <w:szCs w:val="28"/>
          <w:rtl/>
        </w:rPr>
        <w:t xml:space="preserve"> הדיון נסוב סביב מה תהיה שיעור התקרה של הנפקות אותו חברת כרטיסי אשראי תוכל להשית על הגוף הפיננסי השני.</w:t>
      </w:r>
    </w:p>
    <w:p w:rsidR="00641B6C" w:rsidRDefault="00641B6C" w:rsidP="000B254D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נאמר כי יש לקבוע כללי לרישיון הנפקה בטרם גופים פיננסים שאינם בנקאיים יוכלו להיות שותפים להנפקה.</w:t>
      </w:r>
    </w:p>
    <w:p w:rsidR="00641B6C" w:rsidRDefault="00641B6C" w:rsidP="000B254D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 xml:space="preserve">עלתה הסוגיה של תיקון 21 לחוק הבנקאות רישוי בדבר קיום המגבלה על גיוס אג"ח לחברות נותנות אשראי. </w:t>
      </w:r>
    </w:p>
    <w:p w:rsidR="00641B6C" w:rsidRDefault="00641B6C" w:rsidP="00641B6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נאמר כי לגוף המפוקח על ידי רגולטור פיננסי</w:t>
      </w:r>
      <w:r w:rsidR="00C817C0">
        <w:rPr>
          <w:rFonts w:cs="FrankRuehl" w:hint="cs"/>
          <w:sz w:val="28"/>
          <w:szCs w:val="28"/>
          <w:rtl/>
        </w:rPr>
        <w:t>, אשר לו כלים לפיקוח יציבותי,</w:t>
      </w:r>
      <w:r>
        <w:rPr>
          <w:rFonts w:cs="FrankRuehl" w:hint="cs"/>
          <w:sz w:val="28"/>
          <w:szCs w:val="28"/>
          <w:rtl/>
        </w:rPr>
        <w:t xml:space="preserve"> לא צריכה להיות מגבלה כלל.</w:t>
      </w:r>
    </w:p>
    <w:p w:rsidR="00641B6C" w:rsidRDefault="00641B6C" w:rsidP="00641B6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מנגד נטען כי גוף המגייס מעל לחמישה מיליארד ₪ חייב להיות מפוקח ע"י בנק ישראל ולא אף גוף פיקוח אחר.</w:t>
      </w:r>
    </w:p>
    <w:p w:rsidR="000B254D" w:rsidRDefault="00641B6C" w:rsidP="00641B6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 xml:space="preserve">הוחלט על פי רוב כי בהינתן שיהיה פיקוח יציבותי אזי לא תחול המגבלה הכתובה בסעיף 21 לחוק הבנקאות רישוי.   </w:t>
      </w:r>
    </w:p>
    <w:p w:rsidR="00641B6C" w:rsidRDefault="00641B6C" w:rsidP="00103C9F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נאמר כי הרף לאגודות אשראי זעירות יהיה</w:t>
      </w:r>
      <w:r w:rsidR="00EE3699">
        <w:rPr>
          <w:rFonts w:cs="FrankRuehl" w:hint="cs"/>
          <w:sz w:val="28"/>
          <w:szCs w:val="28"/>
          <w:rtl/>
        </w:rPr>
        <w:t xml:space="preserve"> </w:t>
      </w:r>
      <w:r w:rsidR="00103C9F">
        <w:rPr>
          <w:rFonts w:cs="FrankRuehl" w:hint="cs"/>
          <w:sz w:val="28"/>
          <w:szCs w:val="28"/>
          <w:rtl/>
        </w:rPr>
        <w:t>עד</w:t>
      </w:r>
      <w:r>
        <w:rPr>
          <w:rFonts w:cs="FrankRuehl" w:hint="cs"/>
          <w:sz w:val="28"/>
          <w:szCs w:val="28"/>
          <w:rtl/>
        </w:rPr>
        <w:t xml:space="preserve"> 200 מיליון ₪ וכי תקבע לגביהן רגולציה מקילה.</w:t>
      </w:r>
    </w:p>
    <w:p w:rsidR="00591FC6" w:rsidRDefault="00591FC6" w:rsidP="00641B6C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לגבי הפצת מוצרי ביטוח על הבנקים נאמר כי הנושא לא עלה כלל לדיון בוועדה ויש להסירו מדו"ח הביניים. כמו כן, צוין כי הממונה על שוק ההון מתנגדת להצעה זו.</w:t>
      </w:r>
    </w:p>
    <w:p w:rsidR="00C817C0" w:rsidRDefault="00C817C0" w:rsidP="00641B6C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מנגד עלה הרעיון להותירו כדיון להמשך</w:t>
      </w:r>
    </w:p>
    <w:p w:rsidR="00591FC6" w:rsidRDefault="00591FC6" w:rsidP="00641B6C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lastRenderedPageBreak/>
        <w:t>יו"ר הוועדה סיכם את הדיון ונעל את הישיבה.</w:t>
      </w:r>
      <w:r w:rsidR="00FF6C03">
        <w:rPr>
          <w:rFonts w:cs="FrankRuehl" w:hint="cs"/>
          <w:sz w:val="28"/>
          <w:szCs w:val="28"/>
          <w:rtl/>
        </w:rPr>
        <w:t xml:space="preserve"> </w:t>
      </w:r>
    </w:p>
    <w:p w:rsidR="00641B6C" w:rsidRPr="00591FC6" w:rsidRDefault="00641B6C" w:rsidP="00591FC6">
      <w:pPr>
        <w:spacing w:line="360" w:lineRule="auto"/>
        <w:jc w:val="both"/>
        <w:rPr>
          <w:rFonts w:cs="FrankRuehl"/>
          <w:sz w:val="28"/>
          <w:szCs w:val="28"/>
        </w:rPr>
      </w:pPr>
      <w:r w:rsidRPr="00591FC6">
        <w:rPr>
          <w:rFonts w:cs="FrankRuehl" w:hint="cs"/>
          <w:sz w:val="28"/>
          <w:szCs w:val="28"/>
          <w:rtl/>
        </w:rPr>
        <w:t xml:space="preserve"> </w:t>
      </w:r>
    </w:p>
    <w:p w:rsidR="00C44F9A" w:rsidRPr="009D1384" w:rsidRDefault="00C44F9A"/>
    <w:sectPr w:rsidR="00C44F9A" w:rsidRPr="009D1384" w:rsidSect="005A3A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D6CB4"/>
    <w:multiLevelType w:val="hybridMultilevel"/>
    <w:tmpl w:val="5C9C48EA"/>
    <w:lvl w:ilvl="0" w:tplc="CB703D50">
      <w:numFmt w:val="bullet"/>
      <w:lvlText w:val=""/>
      <w:lvlJc w:val="left"/>
      <w:pPr>
        <w:ind w:left="720" w:hanging="360"/>
      </w:pPr>
      <w:rPr>
        <w:rFonts w:ascii="Symbol" w:eastAsiaTheme="minorHAnsi" w:hAnsi="Symbol" w:cs="FrankRuehl" w:hint="default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84"/>
    <w:rsid w:val="000B254D"/>
    <w:rsid w:val="00103C9F"/>
    <w:rsid w:val="00272D33"/>
    <w:rsid w:val="00591FC6"/>
    <w:rsid w:val="005A1B41"/>
    <w:rsid w:val="005A3A54"/>
    <w:rsid w:val="005E1504"/>
    <w:rsid w:val="00641B6C"/>
    <w:rsid w:val="0086543F"/>
    <w:rsid w:val="009D1384"/>
    <w:rsid w:val="00C44F9A"/>
    <w:rsid w:val="00C817C0"/>
    <w:rsid w:val="00E0794C"/>
    <w:rsid w:val="00EE35D5"/>
    <w:rsid w:val="00EE3699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EE3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EE3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ID xmlns="a46656d4-8850-49b3-aebd-68bd05f7f43d">25</GovXID>
    <o80fb9e8b9d445b0bb174fdcd68ee89c xmlns="a46656d4-8850-49b3-aebd-68bd05f7f43d">
      <Terms xmlns="http://schemas.microsoft.com/office/infopath/2007/PartnerControls"/>
    </o80fb9e8b9d445b0bb174fdcd68ee89c>
    <j92457fac7d145f98e698f5712f6a6a4 xmlns="a46656d4-8850-49b3-aebd-68bd05f7f43d">
      <Terms xmlns="http://schemas.microsoft.com/office/infopath/2007/PartnerControls"/>
    </j92457fac7d145f98e698f5712f6a6a4>
    <b76e59bb9f5947a781773f53cc6e9460 xmlns="a46656d4-8850-49b3-aebd-68bd05f7f43d">
      <Terms xmlns="http://schemas.microsoft.com/office/infopath/2007/PartnerControls"/>
    </b76e59bb9f5947a781773f53cc6e9460>
    <l34dc5595392493c8311535275827f74 xmlns="a46656d4-8850-49b3-aebd-68bd05f7f43d">
      <Terms xmlns="http://schemas.microsoft.com/office/infopath/2007/PartnerControls"/>
    </l34dc5595392493c8311535275827f74>
    <o68cd33f8d3a45abb273b6e406faee3d xmlns="a46656d4-8850-49b3-aebd-68bd05f7f43d">
      <Terms xmlns="http://schemas.microsoft.com/office/infopath/2007/PartnerControls"/>
    </o68cd33f8d3a45abb273b6e406faee3d>
    <TaxCatchAll xmlns="a46656d4-8850-49b3-aebd-68bd05f7f43d"/>
    <e09eddfac2354f9ab04a226e27f86f1f xmlns="a46656d4-8850-49b3-aebd-68bd05f7f43d">
      <Terms xmlns="http://schemas.microsoft.com/office/infopath/2007/PartnerControls"/>
    </e09eddfac2354f9ab04a226e27f86f1f>
    <aa1c885e8039426686f6c49672b09953 xmlns="a46656d4-8850-49b3-aebd-68bd05f7f43d">
      <Terms xmlns="http://schemas.microsoft.com/office/infopath/2007/PartnerControls"/>
    </aa1c885e8039426686f6c49672b09953>
    <_x05e9__x05d9__x05d5__x05da__x0020__x05dc__x05e0__x05d5__x05e9__x05d0_ xmlns="47aeb57d-f743-4542-a0d0-16c68b2994f6">סיכומי דיון</_x05e9__x05d9__x05d5__x05da__x0020__x05dc__x05e0__x05d5__x05e9__x05d0_>
    <e4b5484c9c824b148c38bfcb2bd74c0d xmlns="a46656d4-8850-49b3-aebd-68bd05f7f43d">
      <Terms xmlns="http://schemas.microsoft.com/office/infopath/2007/PartnerControls"/>
    </e4b5484c9c824b148c38bfcb2bd74c0d>
    <kb4cc1381c4248d7a2dfa3f1be0c86c0 xmlns="a46656d4-8850-49b3-aebd-68bd05f7f43d">
      <Terms xmlns="http://schemas.microsoft.com/office/infopath/2007/PartnerControls"/>
    </kb4cc1381c4248d7a2dfa3f1be0c86c0>
    <n612d9597dc7466f957352ce79be86f3 xmlns="a46656d4-8850-49b3-aebd-68bd05f7f43d">
      <Terms xmlns="http://schemas.microsoft.com/office/infopath/2007/PartnerControls"/>
    </n612d9597dc7466f957352ce79be86f3>
    <ia53b9f18d984e01914f4b79710425b7 xmlns="a46656d4-8850-49b3-aebd-68bd05f7f43d">
      <Terms xmlns="http://schemas.microsoft.com/office/infopath/2007/PartnerControls"/>
    </ia53b9f18d984e01914f4b79710425b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9D2433237DFF5428C9E5887A8C50414" ma:contentTypeVersion="2" ma:contentTypeDescription="צור מסמך חדש." ma:contentTypeScope="" ma:versionID="48860bf71c3e2a1bea0552dcaa211d11">
  <xsd:schema xmlns:xsd="http://www.w3.org/2001/XMLSchema" xmlns:xs="http://www.w3.org/2001/XMLSchema" xmlns:p="http://schemas.microsoft.com/office/2006/metadata/properties" xmlns:ns2="a46656d4-8850-49b3-aebd-68bd05f7f43d" xmlns:ns3="47aeb57d-f743-4542-a0d0-16c68b2994f6" targetNamespace="http://schemas.microsoft.com/office/2006/metadata/properties" ma:root="true" ma:fieldsID="e781744c035f65d92a82381bc150b978" ns2:_="" ns3:_="">
    <xsd:import namespace="a46656d4-8850-49b3-aebd-68bd05f7f43d"/>
    <xsd:import namespace="47aeb57d-f743-4542-a0d0-16c68b2994f6"/>
    <xsd:element name="properties">
      <xsd:complexType>
        <xsd:sequence>
          <xsd:element name="documentManagement">
            <xsd:complexType>
              <xsd:all>
                <xsd:element ref="ns2:ia53b9f18d984e01914f4b79710425b7" minOccurs="0"/>
                <xsd:element ref="ns2:TaxCatchAll" minOccurs="0"/>
                <xsd:element ref="ns2:TaxCatchAllLabel" minOccurs="0"/>
                <xsd:element ref="ns2:e4b5484c9c824b148c38bfcb2bd74c0d" minOccurs="0"/>
                <xsd:element ref="ns2:kb4cc1381c4248d7a2dfa3f1be0c86c0" minOccurs="0"/>
                <xsd:element ref="ns2:o80fb9e8b9d445b0bb174fdcd68ee89c" minOccurs="0"/>
                <xsd:element ref="ns2:l34dc5595392493c8311535275827f74" minOccurs="0"/>
                <xsd:element ref="ns2:j92457fac7d145f98e698f5712f6a6a4" minOccurs="0"/>
                <xsd:element ref="ns2:o68cd33f8d3a45abb273b6e406faee3d" minOccurs="0"/>
                <xsd:element ref="ns2:b76e59bb9f5947a781773f53cc6e9460" minOccurs="0"/>
                <xsd:element ref="ns2:e09eddfac2354f9ab04a226e27f86f1f" minOccurs="0"/>
                <xsd:element ref="ns2:aa1c885e8039426686f6c49672b09953" minOccurs="0"/>
                <xsd:element ref="ns2:n612d9597dc7466f957352ce79be86f3" minOccurs="0"/>
                <xsd:element ref="ns3:_x05e9__x05d9__x05d5__x05da__x0020__x05dc__x05e0__x05d5__x05e9__x05d0_" minOccurs="0"/>
                <xsd:element ref="ns2:GovX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ia53b9f18d984e01914f4b79710425b7" ma:index="8" nillable="true" ma:taxonomy="true" ma:internalName="ia53b9f18d984e01914f4b79710425b7" ma:taxonomyFieldName="MMDAudience" ma:displayName="MMDAudience" ma:default="" ma:fieldId="{2a53b9f1-8d98-4e01-914f-4b79710425b7}" ma:taxonomyMulti="true" ma:sspId="d827811f-dea7-4a29-b54a-c9228db73c39" ma:termSetId="81e45943-23c2-4109-8875-059bec4079da" ma:anchorId="34070f2b-4092-41f2-8b6e-c220ee347e2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b5484c9c824b148c38bfcb2bd74c0d" ma:index="12" nillable="true" ma:taxonomy="true" ma:internalName="e4b5484c9c824b148c38bfcb2bd74c0d" ma:taxonomyFieldName="MMDJobDescription" ma:displayName="MMDJobDescription" ma:default="" ma:fieldId="{e4b5484c-9c82-4b14-8c38-bfcb2bd74c0d}" ma:sspId="d827811f-dea7-4a29-b54a-c9228db73c39" ma:termSetId="81e45943-23c2-4109-8875-059bec4079da" ma:anchorId="1a909479-0b01-4d8f-8fb7-cbbc1687e8f1" ma:open="false" ma:isKeyword="false">
      <xsd:complexType>
        <xsd:sequence>
          <xsd:element ref="pc:Terms" minOccurs="0" maxOccurs="1"/>
        </xsd:sequence>
      </xsd:complexType>
    </xsd:element>
    <xsd:element name="kb4cc1381c4248d7a2dfa3f1be0c86c0" ma:index="14" nillable="true" ma:taxonomy="true" ma:internalName="kb4cc1381c4248d7a2dfa3f1be0c86c0" ma:taxonomyFieldName="MMDKeywords" ma:displayName="MMDKeywords" ma:default="" ma:fieldId="{4b4cc138-1c42-48d7-a2df-a3f1be0c86c0}" ma:taxonomyMulti="true" ma:sspId="d827811f-dea7-4a29-b54a-c9228db73c39" ma:termSetId="81e45943-23c2-4109-8875-059bec4079da" ma:anchorId="15d331fa-6baa-448e-8759-7c342d8402ea" ma:open="false" ma:isKeyword="false">
      <xsd:complexType>
        <xsd:sequence>
          <xsd:element ref="pc:Terms" minOccurs="0" maxOccurs="1"/>
        </xsd:sequence>
      </xsd:complexType>
    </xsd:element>
    <xsd:element name="o80fb9e8b9d445b0bb174fdcd68ee89c" ma:index="16" nillable="true" ma:taxonomy="true" ma:internalName="o80fb9e8b9d445b0bb174fdcd68ee89c" ma:taxonomyFieldName="MMDLiveEvent" ma:displayName="MMDLiveEvent" ma:default="" ma:fieldId="{880fb9e8-b9d4-45b0-bb17-4fdcd68ee89c}" ma:sspId="d827811f-dea7-4a29-b54a-c9228db73c39" ma:termSetId="81e45943-23c2-4109-8875-059bec4079da" ma:anchorId="5e8b8ad0-eeb0-4bda-9bef-7517a1f3340f" ma:open="false" ma:isKeyword="false">
      <xsd:complexType>
        <xsd:sequence>
          <xsd:element ref="pc:Terms" minOccurs="0" maxOccurs="1"/>
        </xsd:sequence>
      </xsd:complexType>
    </xsd:element>
    <xsd:element name="l34dc5595392493c8311535275827f74" ma:index="18" nillable="true" ma:taxonomy="true" ma:internalName="l34dc5595392493c8311535275827f74" ma:taxonomyFieldName="MMDResponsibleOffice" ma:displayName="MMDResponsibleOffice" ma:default="" ma:fieldId="{534dc559-5392-493c-8311-535275827f74}" ma:sspId="d827811f-dea7-4a29-b54a-c9228db73c39" ma:termSetId="81e45943-23c2-4109-8875-059bec4079da" ma:anchorId="23eeccfc-9988-4d51-b789-d1a77ea8348c" ma:open="false" ma:isKeyword="false">
      <xsd:complexType>
        <xsd:sequence>
          <xsd:element ref="pc:Terms" minOccurs="0" maxOccurs="1"/>
        </xsd:sequence>
      </xsd:complexType>
    </xsd:element>
    <xsd:element name="j92457fac7d145f98e698f5712f6a6a4" ma:index="20" nillable="true" ma:taxonomy="true" ma:internalName="j92457fac7d145f98e698f5712f6a6a4" ma:taxonomyFieldName="MMDResponsibleUnit" ma:displayName="MMDResponsibleUnit" ma:default="" ma:fieldId="{392457fa-c7d1-45f9-8e69-8f5712f6a6a4}" ma:sspId="d827811f-dea7-4a29-b54a-c9228db73c39" ma:termSetId="81e45943-23c2-4109-8875-059bec4079da" ma:anchorId="3bdf475d-e38d-4b34-8299-73c2066d8322" ma:open="false" ma:isKeyword="false">
      <xsd:complexType>
        <xsd:sequence>
          <xsd:element ref="pc:Terms" minOccurs="0" maxOccurs="1"/>
        </xsd:sequence>
      </xsd:complexType>
    </xsd:element>
    <xsd:element name="o68cd33f8d3a45abb273b6e406faee3d" ma:index="22" nillable="true" ma:taxonomy="true" ma:internalName="o68cd33f8d3a45abb273b6e406faee3d" ma:taxonomyFieldName="MMDServiceLang" ma:displayName="MMDServiceLang" ma:default="" ma:fieldId="{868cd33f-8d3a-45ab-b273-b6e406faee3d}" ma:sspId="d827811f-dea7-4a29-b54a-c9228db73c39" ma:termSetId="81e45943-23c2-4109-8875-059bec4079da" ma:anchorId="f399919e-8697-409a-aaea-d4e5d2844d8b" ma:open="false" ma:isKeyword="false">
      <xsd:complexType>
        <xsd:sequence>
          <xsd:element ref="pc:Terms" minOccurs="0" maxOccurs="1"/>
        </xsd:sequence>
      </xsd:complexType>
    </xsd:element>
    <xsd:element name="b76e59bb9f5947a781773f53cc6e9460" ma:index="24" nillable="true" ma:taxonomy="true" ma:internalName="b76e59bb9f5947a781773f53cc6e9460" ma:taxonomyFieldName="MMDStatus" ma:displayName="MMDStatus" ma:default="" ma:fieldId="{b76e59bb-9f59-47a7-8177-3f53cc6e9460}" ma:sspId="d827811f-dea7-4a29-b54a-c9228db73c39" ma:termSetId="81e45943-23c2-4109-8875-059bec4079da" ma:anchorId="16fb90fa-07e3-45cb-b262-12779a7ad9f7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26" nillable="true" ma:taxonomy="true" ma:internalName="e09eddfac2354f9ab04a226e27f86f1f" ma:taxonomyFieldName="MMDSubjects" ma:displayName="MMD נושאים" ma:default="" ma:fieldId="{e09eddfa-c235-4f9a-b04a-226e27f86f1f}" ma:taxonomyMulti="true" ma:sspId="d827811f-dea7-4a29-b54a-c9228db73c39" ma:termSetId="81e45943-23c2-4109-8875-059bec4079da" ma:anchorId="fe51dda7-6a1b-4b64-af2c-7200e1ef7e7a" ma:open="true" ma:isKeyword="false">
      <xsd:complexType>
        <xsd:sequence>
          <xsd:element ref="pc:Terms" minOccurs="0" maxOccurs="1"/>
        </xsd:sequence>
      </xsd:complexType>
    </xsd:element>
    <xsd:element name="aa1c885e8039426686f6c49672b09953" ma:index="28" nillable="true" ma:taxonomy="true" ma:internalName="aa1c885e8039426686f6c49672b09953" ma:taxonomyFieldName="MMDTypes" ma:displayName="MMDTypes" ma:default="" ma:fieldId="{aa1c885e-8039-4266-86f6-c49672b09953}" ma:sspId="d827811f-dea7-4a29-b54a-c9228db73c39" ma:termSetId="81e45943-23c2-4109-8875-059bec4079da" ma:anchorId="226f2308-be0c-4e06-b36e-423ee4befb74" ma:open="false" ma:isKeyword="false">
      <xsd:complexType>
        <xsd:sequence>
          <xsd:element ref="pc:Terms" minOccurs="0" maxOccurs="1"/>
        </xsd:sequence>
      </xsd:complexType>
    </xsd:element>
    <xsd:element name="n612d9597dc7466f957352ce79be86f3" ma:index="30" nillable="true" ma:taxonomy="true" ma:internalName="n612d9597dc7466f957352ce79be86f3" ma:taxonomyFieldName="MMDUnitsName" ma:displayName="MMDUnitsName" ma:default="" ma:fieldId="{7612d959-7dc7-466f-9573-52ce79be86f3}" ma:sspId="d827811f-dea7-4a29-b54a-c9228db73c39" ma:termSetId="81e45943-23c2-4109-8875-059bec4079da" ma:anchorId="625c2686-859d-4ced-94f0-7dded8208e47" ma:open="false" ma:isKeyword="false">
      <xsd:complexType>
        <xsd:sequence>
          <xsd:element ref="pc:Terms" minOccurs="0" maxOccurs="1"/>
        </xsd:sequence>
      </xsd:complexType>
    </xsd:element>
    <xsd:element name="GovXID" ma:index="33" nillable="true" ma:displayName="מיון" ma:internalName="GovX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eb57d-f743-4542-a0d0-16c68b2994f6" elementFormDefault="qualified">
    <xsd:import namespace="http://schemas.microsoft.com/office/2006/documentManagement/types"/>
    <xsd:import namespace="http://schemas.microsoft.com/office/infopath/2007/PartnerControls"/>
    <xsd:element name="_x05e9__x05d9__x05d5__x05da__x0020__x05dc__x05e0__x05d5__x05e9__x05d0_" ma:index="32" nillable="true" ma:displayName="שיוך לנושא" ma:default="ניירות עמדה 2" ma:format="Dropdown" ma:internalName="_x05e9__x05d9__x05d5__x05da__x0020__x05dc__x05e0__x05d5__x05e9__x05d0_">
      <xsd:simpleType>
        <xsd:restriction base="dms:Choice">
          <xsd:enumeration value="כתב מינוי"/>
          <xsd:enumeration value="דוח הביניים"/>
          <xsd:enumeration value="פניה לקבלת עמדות"/>
          <xsd:enumeration value="סיכומי דיון"/>
          <xsd:enumeration value="ניירות עמדה"/>
          <xsd:enumeration value="ניירות עמדה 2"/>
          <xsd:enumeration value="מצגות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98991-F7DE-46AC-8167-613F569D373E}"/>
</file>

<file path=customXml/itemProps2.xml><?xml version="1.0" encoding="utf-8"?>
<ds:datastoreItem xmlns:ds="http://schemas.openxmlformats.org/officeDocument/2006/customXml" ds:itemID="{C40200AF-679C-492A-A2CE-DE0DF438370E}"/>
</file>

<file path=customXml/itemProps3.xml><?xml version="1.0" encoding="utf-8"?>
<ds:datastoreItem xmlns:ds="http://schemas.openxmlformats.org/officeDocument/2006/customXml" ds:itemID="{41B8607C-0080-40E7-9498-E06FAF8DEF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סיכום דיון 13.12.2015</dc:title>
  <dc:creator>אבי כהן</dc:creator>
  <cp:lastModifiedBy>אבי כהן</cp:lastModifiedBy>
  <cp:revision>7</cp:revision>
  <dcterms:created xsi:type="dcterms:W3CDTF">2015-12-16T16:07:00Z</dcterms:created>
  <dcterms:modified xsi:type="dcterms:W3CDTF">2016-01-10T15:18:00Z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UnitsName">
    <vt:lpwstr/>
  </property>
  <property fmtid="{D5CDD505-2E9C-101B-9397-08002B2CF9AE}" pid="3" name="MMDServiceLang">
    <vt:lpwstr/>
  </property>
  <property fmtid="{D5CDD505-2E9C-101B-9397-08002B2CF9AE}" pid="4" name="MMDResponsibleUnit">
    <vt:lpwstr/>
  </property>
  <property fmtid="{D5CDD505-2E9C-101B-9397-08002B2CF9AE}" pid="5" name="ContentTypeId">
    <vt:lpwstr>0x010100D9D2433237DFF5428C9E5887A8C50414</vt:lpwstr>
  </property>
  <property fmtid="{D5CDD505-2E9C-101B-9397-08002B2CF9AE}" pid="6" name="MMDJobDescription">
    <vt:lpwstr/>
  </property>
  <property fmtid="{D5CDD505-2E9C-101B-9397-08002B2CF9AE}" pid="7" name="MMDKeywords">
    <vt:lpwstr/>
  </property>
  <property fmtid="{D5CDD505-2E9C-101B-9397-08002B2CF9AE}" pid="8" name="MMDStatus">
    <vt:lpwstr/>
  </property>
  <property fmtid="{D5CDD505-2E9C-101B-9397-08002B2CF9AE}" pid="9" name="MMDAudience">
    <vt:lpwstr/>
  </property>
  <property fmtid="{D5CDD505-2E9C-101B-9397-08002B2CF9AE}" pid="10" name="MMDLiveEvent">
    <vt:lpwstr/>
  </property>
  <property fmtid="{D5CDD505-2E9C-101B-9397-08002B2CF9AE}" pid="11" name="MMDTypes">
    <vt:lpwstr/>
  </property>
  <property fmtid="{D5CDD505-2E9C-101B-9397-08002B2CF9AE}" pid="12" name="MMDSubjects">
    <vt:lpwstr/>
  </property>
  <property fmtid="{D5CDD505-2E9C-101B-9397-08002B2CF9AE}" pid="13" name="MMDResponsibleOffice">
    <vt:lpwstr/>
  </property>
</Properties>
</file>