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F2A" w:rsidRPr="003F2328" w:rsidRDefault="00044F2A" w:rsidP="00044F2A">
      <w:pPr>
        <w:rPr>
          <w:rFonts w:cs="FrankRuehl"/>
          <w:rtl/>
        </w:rPr>
      </w:pPr>
      <w:bookmarkStart w:id="0" w:name="DocNum"/>
      <w:bookmarkEnd w:id="0"/>
    </w:p>
    <w:p w:rsidR="00044F2A" w:rsidRPr="003F2328" w:rsidRDefault="00044F2A" w:rsidP="00044F2A">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044F2A" w:rsidRPr="003F2328" w:rsidRDefault="00044F2A" w:rsidP="00044F2A">
      <w:pPr>
        <w:spacing w:line="360" w:lineRule="auto"/>
        <w:jc w:val="both"/>
        <w:rPr>
          <w:rFonts w:cs="FrankRuehl"/>
          <w:b/>
          <w:bCs/>
          <w:sz w:val="28"/>
          <w:szCs w:val="28"/>
          <w:u w:val="single"/>
          <w:rtl/>
        </w:rPr>
      </w:pPr>
      <w:r>
        <w:rPr>
          <w:rFonts w:cs="FrankRuehl" w:hint="cs"/>
          <w:b/>
          <w:bCs/>
          <w:sz w:val="28"/>
          <w:szCs w:val="28"/>
          <w:u w:val="single"/>
          <w:rtl/>
        </w:rPr>
        <w:t>12/08/2015</w:t>
      </w:r>
    </w:p>
    <w:p w:rsidR="00044F2A" w:rsidRPr="003F2328" w:rsidRDefault="00044F2A" w:rsidP="00044F2A">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044F2A" w:rsidRDefault="00044F2A" w:rsidP="00044F2A">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044F2A" w:rsidRPr="003F2328" w:rsidRDefault="00044F2A" w:rsidP="00044F2A">
      <w:pPr>
        <w:spacing w:line="240" w:lineRule="exact"/>
        <w:jc w:val="both"/>
        <w:rPr>
          <w:rFonts w:cs="FrankRuehl"/>
          <w:sz w:val="26"/>
          <w:szCs w:val="26"/>
          <w:rtl/>
        </w:rPr>
      </w:pPr>
      <w:r>
        <w:rPr>
          <w:rFonts w:cs="FrankRuehl" w:hint="cs"/>
          <w:sz w:val="26"/>
          <w:szCs w:val="26"/>
          <w:rtl/>
        </w:rPr>
        <w:t>פרופ', אבי בן בסט, האוניברסיטה העברית והמכללה למנהל</w:t>
      </w:r>
    </w:p>
    <w:p w:rsidR="00492C38" w:rsidRPr="003F2328" w:rsidRDefault="00492C38" w:rsidP="00492C38">
      <w:pPr>
        <w:spacing w:line="240" w:lineRule="exact"/>
        <w:jc w:val="both"/>
        <w:rPr>
          <w:rFonts w:cs="FrankRuehl"/>
          <w:sz w:val="26"/>
          <w:szCs w:val="26"/>
          <w:rtl/>
        </w:rPr>
      </w:pPr>
      <w:r w:rsidRPr="003F2328">
        <w:rPr>
          <w:rFonts w:cs="FrankRuehl" w:hint="cs"/>
          <w:sz w:val="26"/>
          <w:szCs w:val="26"/>
          <w:rtl/>
        </w:rPr>
        <w:t>ד"ר נדין בודו-טרכטנברג, המשנה לנגידת בנק ישראל, בנק ישראל</w:t>
      </w:r>
    </w:p>
    <w:p w:rsidR="00492C38" w:rsidRDefault="00492C38" w:rsidP="00492C38">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044F2A" w:rsidRDefault="00044F2A" w:rsidP="00044F2A">
      <w:pPr>
        <w:spacing w:line="240" w:lineRule="exact"/>
        <w:jc w:val="both"/>
        <w:rPr>
          <w:rFonts w:cs="FrankRuehl"/>
          <w:sz w:val="26"/>
          <w:szCs w:val="26"/>
          <w:rtl/>
        </w:rPr>
      </w:pPr>
      <w:r w:rsidRPr="003F2328">
        <w:rPr>
          <w:rFonts w:cs="FrankRuehl" w:hint="cs"/>
          <w:sz w:val="26"/>
          <w:szCs w:val="26"/>
          <w:rtl/>
        </w:rPr>
        <w:t>פרופ' נתן זוסמן, ראש חטיבת המחקר, בנק ישראל</w:t>
      </w:r>
    </w:p>
    <w:p w:rsidR="00492C38" w:rsidRDefault="00044F2A" w:rsidP="00492C38">
      <w:pPr>
        <w:spacing w:line="240" w:lineRule="exact"/>
        <w:jc w:val="both"/>
        <w:rPr>
          <w:rFonts w:cs="FrankRuehl"/>
          <w:sz w:val="26"/>
          <w:szCs w:val="26"/>
          <w:rtl/>
        </w:rPr>
      </w:pPr>
      <w:r>
        <w:rPr>
          <w:rFonts w:cs="FrankRuehl" w:hint="cs"/>
          <w:sz w:val="26"/>
          <w:szCs w:val="26"/>
          <w:rtl/>
        </w:rPr>
        <w:t>גב' יעל מבורך, סגנית הממונה על התקציבים</w:t>
      </w:r>
    </w:p>
    <w:p w:rsidR="00492C38" w:rsidRPr="003F2328" w:rsidRDefault="00492C38" w:rsidP="00044F2A">
      <w:pPr>
        <w:spacing w:line="240" w:lineRule="exact"/>
        <w:jc w:val="both"/>
        <w:rPr>
          <w:rFonts w:cs="FrankRuehl"/>
          <w:sz w:val="26"/>
          <w:szCs w:val="26"/>
          <w:rtl/>
        </w:rPr>
      </w:pPr>
    </w:p>
    <w:p w:rsidR="00044F2A" w:rsidRPr="003F2328" w:rsidRDefault="00044F2A" w:rsidP="00044F2A">
      <w:pPr>
        <w:spacing w:line="240" w:lineRule="exact"/>
        <w:jc w:val="both"/>
        <w:rPr>
          <w:rFonts w:cs="FrankRuehl"/>
          <w:sz w:val="26"/>
          <w:szCs w:val="26"/>
          <w:u w:val="single"/>
          <w:rtl/>
        </w:rPr>
      </w:pPr>
      <w:r w:rsidRPr="003F2328">
        <w:rPr>
          <w:rFonts w:cs="FrankRuehl" w:hint="cs"/>
          <w:sz w:val="26"/>
          <w:szCs w:val="26"/>
          <w:u w:val="single"/>
          <w:rtl/>
        </w:rPr>
        <w:t>נציגים:</w:t>
      </w:r>
    </w:p>
    <w:p w:rsidR="006904B3" w:rsidRPr="003F2328" w:rsidRDefault="00044F2A" w:rsidP="006904B3">
      <w:pPr>
        <w:spacing w:line="240" w:lineRule="exact"/>
        <w:jc w:val="both"/>
        <w:rPr>
          <w:rFonts w:cs="FrankRuehl"/>
          <w:sz w:val="26"/>
          <w:szCs w:val="26"/>
          <w:rtl/>
        </w:rPr>
      </w:pPr>
      <w:r>
        <w:rPr>
          <w:rFonts w:cs="FrankRuehl" w:hint="cs"/>
          <w:sz w:val="26"/>
          <w:szCs w:val="26"/>
          <w:rtl/>
        </w:rPr>
        <w:t>יואל בריס, משרד האוצר</w:t>
      </w:r>
    </w:p>
    <w:p w:rsidR="006904B3" w:rsidRPr="003F2328" w:rsidRDefault="006904B3" w:rsidP="006904B3">
      <w:pPr>
        <w:spacing w:line="240" w:lineRule="exact"/>
        <w:jc w:val="both"/>
        <w:rPr>
          <w:rFonts w:cs="FrankRuehl"/>
          <w:sz w:val="26"/>
          <w:szCs w:val="26"/>
          <w:rtl/>
        </w:rPr>
      </w:pPr>
      <w:r>
        <w:rPr>
          <w:rFonts w:cs="FrankRuehl" w:hint="cs"/>
          <w:sz w:val="26"/>
          <w:szCs w:val="26"/>
          <w:rtl/>
        </w:rPr>
        <w:t>יואב גפני, אגף שוק ההון ביטוח וחיסכון</w:t>
      </w:r>
    </w:p>
    <w:p w:rsidR="00492C38" w:rsidRDefault="00044F2A" w:rsidP="00492C38">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044F2A" w:rsidRDefault="00044F2A" w:rsidP="00044F2A">
      <w:pPr>
        <w:spacing w:line="240" w:lineRule="exact"/>
        <w:jc w:val="both"/>
        <w:rPr>
          <w:rFonts w:cs="FrankRuehl"/>
          <w:sz w:val="26"/>
          <w:szCs w:val="26"/>
          <w:rtl/>
        </w:rPr>
      </w:pPr>
      <w:r w:rsidRPr="003F2328">
        <w:rPr>
          <w:rFonts w:cs="FrankRuehl" w:hint="cs"/>
          <w:sz w:val="26"/>
          <w:szCs w:val="26"/>
          <w:rtl/>
        </w:rPr>
        <w:t>כפיר בטט, משרד האוצר</w:t>
      </w:r>
    </w:p>
    <w:p w:rsidR="00044F2A" w:rsidRPr="003F2328" w:rsidRDefault="00044F2A" w:rsidP="00044F2A">
      <w:pPr>
        <w:spacing w:line="240" w:lineRule="exact"/>
        <w:jc w:val="both"/>
        <w:rPr>
          <w:rFonts w:cs="FrankRuehl"/>
          <w:sz w:val="26"/>
          <w:szCs w:val="26"/>
          <w:rtl/>
        </w:rPr>
      </w:pPr>
      <w:r>
        <w:rPr>
          <w:rFonts w:cs="FrankRuehl" w:hint="cs"/>
          <w:sz w:val="26"/>
          <w:szCs w:val="26"/>
          <w:rtl/>
        </w:rPr>
        <w:t>ברוך לוברט, משרד האוצר</w:t>
      </w:r>
    </w:p>
    <w:p w:rsidR="00044F2A" w:rsidRPr="003F2328" w:rsidRDefault="00044F2A" w:rsidP="00044F2A">
      <w:pPr>
        <w:spacing w:line="240" w:lineRule="exact"/>
        <w:jc w:val="both"/>
        <w:rPr>
          <w:rFonts w:cs="FrankRuehl"/>
          <w:sz w:val="26"/>
          <w:szCs w:val="26"/>
          <w:rtl/>
        </w:rPr>
      </w:pPr>
      <w:r w:rsidRPr="003F2328">
        <w:rPr>
          <w:rFonts w:cs="FrankRuehl" w:hint="cs"/>
          <w:sz w:val="26"/>
          <w:szCs w:val="26"/>
          <w:rtl/>
        </w:rPr>
        <w:t>רויטל קיסר, בנק ישראל</w:t>
      </w:r>
    </w:p>
    <w:p w:rsidR="00044F2A" w:rsidRPr="003F2328" w:rsidRDefault="00044F2A" w:rsidP="00044F2A">
      <w:pPr>
        <w:spacing w:line="240" w:lineRule="exact"/>
        <w:jc w:val="both"/>
        <w:rPr>
          <w:rFonts w:cs="FrankRuehl"/>
          <w:sz w:val="26"/>
          <w:szCs w:val="26"/>
          <w:rtl/>
        </w:rPr>
      </w:pPr>
      <w:r w:rsidRPr="003F2328">
        <w:rPr>
          <w:rFonts w:cs="FrankRuehl" w:hint="cs"/>
          <w:sz w:val="26"/>
          <w:szCs w:val="26"/>
          <w:rtl/>
        </w:rPr>
        <w:t>מיקי קהן, בנק ישראל</w:t>
      </w:r>
    </w:p>
    <w:p w:rsidR="00044F2A" w:rsidRPr="003F2328" w:rsidRDefault="00044F2A" w:rsidP="00044F2A">
      <w:pPr>
        <w:spacing w:line="240" w:lineRule="exact"/>
        <w:jc w:val="both"/>
        <w:rPr>
          <w:rFonts w:cs="FrankRuehl"/>
          <w:sz w:val="26"/>
          <w:szCs w:val="26"/>
          <w:rtl/>
        </w:rPr>
      </w:pPr>
      <w:r w:rsidRPr="003F2328">
        <w:rPr>
          <w:rFonts w:cs="FrankRuehl" w:hint="cs"/>
          <w:sz w:val="26"/>
          <w:szCs w:val="26"/>
          <w:rtl/>
        </w:rPr>
        <w:t>סטיב לב, בנק ישראל</w:t>
      </w:r>
    </w:p>
    <w:p w:rsidR="00044F2A" w:rsidRDefault="00637EFB" w:rsidP="00044F2A">
      <w:pPr>
        <w:spacing w:line="240" w:lineRule="exact"/>
        <w:jc w:val="both"/>
        <w:rPr>
          <w:rFonts w:cs="FrankRuehl"/>
          <w:sz w:val="26"/>
          <w:szCs w:val="26"/>
          <w:rtl/>
        </w:rPr>
      </w:pPr>
      <w:r>
        <w:rPr>
          <w:rFonts w:cs="FrankRuehl" w:hint="cs"/>
          <w:sz w:val="26"/>
          <w:szCs w:val="26"/>
          <w:rtl/>
        </w:rPr>
        <w:t xml:space="preserve">ד"ר </w:t>
      </w:r>
      <w:r w:rsidR="00044F2A">
        <w:rPr>
          <w:rFonts w:cs="FrankRuehl" w:hint="cs"/>
          <w:sz w:val="26"/>
          <w:szCs w:val="26"/>
          <w:rtl/>
        </w:rPr>
        <w:t>אסף אילת, הרשות להגבלים עסקיים</w:t>
      </w:r>
    </w:p>
    <w:p w:rsidR="00044F2A" w:rsidRDefault="00637EFB" w:rsidP="00044F2A">
      <w:pPr>
        <w:spacing w:line="240" w:lineRule="exact"/>
        <w:jc w:val="both"/>
        <w:rPr>
          <w:rFonts w:cs="FrankRuehl"/>
          <w:sz w:val="26"/>
          <w:szCs w:val="26"/>
          <w:rtl/>
        </w:rPr>
      </w:pPr>
      <w:r>
        <w:rPr>
          <w:rFonts w:cs="FrankRuehl" w:hint="cs"/>
          <w:sz w:val="26"/>
          <w:szCs w:val="26"/>
          <w:rtl/>
        </w:rPr>
        <w:t xml:space="preserve">ד"ר </w:t>
      </w:r>
      <w:bookmarkStart w:id="1" w:name="_GoBack"/>
      <w:bookmarkEnd w:id="1"/>
      <w:r w:rsidR="00044F2A">
        <w:rPr>
          <w:rFonts w:cs="FrankRuehl" w:hint="cs"/>
          <w:sz w:val="26"/>
          <w:szCs w:val="26"/>
          <w:rtl/>
        </w:rPr>
        <w:t>דנה הלר, הרשות להגבלים עסקיים</w:t>
      </w:r>
    </w:p>
    <w:p w:rsidR="00044F2A" w:rsidRDefault="00044F2A" w:rsidP="00044F2A">
      <w:pPr>
        <w:spacing w:line="240" w:lineRule="exact"/>
        <w:jc w:val="both"/>
        <w:rPr>
          <w:rFonts w:cs="FrankRuehl"/>
          <w:sz w:val="26"/>
          <w:szCs w:val="26"/>
          <w:rtl/>
        </w:rPr>
      </w:pPr>
      <w:r>
        <w:rPr>
          <w:rFonts w:cs="FrankRuehl" w:hint="cs"/>
          <w:sz w:val="26"/>
          <w:szCs w:val="26"/>
          <w:rtl/>
        </w:rPr>
        <w:t>אורי שרף, הרשות להגבלים עסקיים</w:t>
      </w:r>
    </w:p>
    <w:p w:rsidR="00044F2A" w:rsidRPr="003F2328" w:rsidRDefault="00044F2A" w:rsidP="006904B3">
      <w:pPr>
        <w:spacing w:line="240" w:lineRule="exact"/>
        <w:jc w:val="both"/>
        <w:rPr>
          <w:rFonts w:cs="FrankRuehl"/>
          <w:sz w:val="26"/>
          <w:szCs w:val="26"/>
          <w:rtl/>
        </w:rPr>
      </w:pPr>
      <w:r w:rsidRPr="003F2328">
        <w:rPr>
          <w:rFonts w:cs="FrankRuehl" w:hint="cs"/>
          <w:sz w:val="26"/>
          <w:szCs w:val="26"/>
          <w:rtl/>
        </w:rPr>
        <w:t>אלעד מקדסי, הרשות להגבלים עסקיים</w:t>
      </w:r>
    </w:p>
    <w:p w:rsidR="00044F2A" w:rsidRPr="003F2328" w:rsidRDefault="00044F2A" w:rsidP="00044F2A">
      <w:pPr>
        <w:spacing w:line="240" w:lineRule="exact"/>
        <w:jc w:val="both"/>
        <w:rPr>
          <w:rFonts w:cs="FrankRuehl"/>
          <w:sz w:val="26"/>
          <w:szCs w:val="26"/>
          <w:rtl/>
        </w:rPr>
      </w:pPr>
      <w:r w:rsidRPr="003F2328">
        <w:rPr>
          <w:rFonts w:cs="FrankRuehl" w:hint="cs"/>
          <w:sz w:val="26"/>
          <w:szCs w:val="26"/>
          <w:rtl/>
        </w:rPr>
        <w:t>ליאור תבורי</w:t>
      </w:r>
    </w:p>
    <w:p w:rsidR="00044F2A" w:rsidRDefault="00044F2A" w:rsidP="00044F2A">
      <w:pPr>
        <w:spacing w:line="240" w:lineRule="exact"/>
        <w:jc w:val="both"/>
        <w:rPr>
          <w:rFonts w:cs="FrankRuehl"/>
          <w:sz w:val="26"/>
          <w:szCs w:val="26"/>
          <w:rtl/>
        </w:rPr>
      </w:pPr>
    </w:p>
    <w:p w:rsidR="00044F2A" w:rsidRDefault="00044F2A" w:rsidP="00044F2A">
      <w:pPr>
        <w:spacing w:line="240" w:lineRule="exact"/>
        <w:jc w:val="both"/>
        <w:rPr>
          <w:rFonts w:cs="FrankRuehl"/>
          <w:sz w:val="26"/>
          <w:szCs w:val="26"/>
          <w:rtl/>
        </w:rPr>
      </w:pPr>
    </w:p>
    <w:p w:rsidR="00044F2A" w:rsidRDefault="00044F2A" w:rsidP="00044F2A">
      <w:pPr>
        <w:spacing w:line="240" w:lineRule="exact"/>
        <w:jc w:val="both"/>
        <w:rPr>
          <w:rFonts w:cs="FrankRuehl"/>
          <w:sz w:val="26"/>
          <w:szCs w:val="26"/>
          <w:rtl/>
        </w:rPr>
      </w:pPr>
    </w:p>
    <w:p w:rsidR="00044F2A" w:rsidRDefault="00044F2A" w:rsidP="00044F2A">
      <w:pPr>
        <w:spacing w:line="240" w:lineRule="exact"/>
        <w:jc w:val="both"/>
        <w:rPr>
          <w:rFonts w:cs="FrankRuehl"/>
          <w:sz w:val="26"/>
          <w:szCs w:val="26"/>
          <w:rtl/>
        </w:rPr>
      </w:pPr>
    </w:p>
    <w:p w:rsidR="00EE67F3" w:rsidRDefault="00EE67F3" w:rsidP="00044F2A">
      <w:pPr>
        <w:spacing w:line="240" w:lineRule="exact"/>
        <w:jc w:val="both"/>
        <w:rPr>
          <w:rFonts w:cs="FrankRuehl"/>
          <w:sz w:val="26"/>
          <w:szCs w:val="26"/>
          <w:rtl/>
        </w:rPr>
      </w:pPr>
    </w:p>
    <w:p w:rsidR="00044F2A" w:rsidRDefault="00044F2A" w:rsidP="00044F2A">
      <w:pPr>
        <w:spacing w:line="360" w:lineRule="auto"/>
        <w:jc w:val="both"/>
        <w:rPr>
          <w:rFonts w:cs="FrankRuehl"/>
          <w:b/>
          <w:bCs/>
          <w:sz w:val="26"/>
          <w:szCs w:val="26"/>
          <w:u w:val="single"/>
          <w:rtl/>
        </w:rPr>
      </w:pPr>
      <w:r>
        <w:rPr>
          <w:rFonts w:cs="FrankRuehl" w:hint="cs"/>
          <w:b/>
          <w:bCs/>
          <w:sz w:val="26"/>
          <w:szCs w:val="26"/>
          <w:u w:val="single"/>
          <w:rtl/>
        </w:rPr>
        <w:lastRenderedPageBreak/>
        <w:t xml:space="preserve">סיכום דיון </w:t>
      </w:r>
    </w:p>
    <w:p w:rsidR="00044F2A" w:rsidRDefault="00044F2A" w:rsidP="00492C38">
      <w:pPr>
        <w:pStyle w:val="a3"/>
        <w:numPr>
          <w:ilvl w:val="0"/>
          <w:numId w:val="1"/>
        </w:numPr>
        <w:spacing w:line="360" w:lineRule="auto"/>
        <w:jc w:val="both"/>
        <w:rPr>
          <w:rFonts w:cs="FrankRuehl"/>
          <w:sz w:val="26"/>
          <w:szCs w:val="26"/>
        </w:rPr>
      </w:pPr>
      <w:r w:rsidRPr="003F2328">
        <w:rPr>
          <w:rFonts w:cs="FrankRuehl" w:hint="cs"/>
          <w:sz w:val="26"/>
          <w:szCs w:val="26"/>
          <w:rtl/>
        </w:rPr>
        <w:t xml:space="preserve">יו"ר הוועדה, דרור שטרום, פתח והציג את נושא הדיון להיום, </w:t>
      </w:r>
      <w:r w:rsidR="00492C38">
        <w:rPr>
          <w:rFonts w:cs="FrankRuehl" w:hint="cs"/>
          <w:sz w:val="26"/>
          <w:szCs w:val="26"/>
          <w:rtl/>
        </w:rPr>
        <w:t>עמדת בנק ישראל לגבי רגולציה עתידית על המערכת הפיננסית וגיבוש מסקנות מהשימועים לציבור שנערכו במסגרת הוועדה.</w:t>
      </w:r>
    </w:p>
    <w:p w:rsidR="00044F2A" w:rsidRDefault="00044F2A" w:rsidP="00044F2A">
      <w:pPr>
        <w:pStyle w:val="a3"/>
        <w:numPr>
          <w:ilvl w:val="0"/>
          <w:numId w:val="1"/>
        </w:numPr>
        <w:spacing w:line="360" w:lineRule="auto"/>
        <w:jc w:val="both"/>
        <w:rPr>
          <w:rFonts w:cs="FrankRuehl"/>
          <w:sz w:val="26"/>
          <w:szCs w:val="26"/>
        </w:rPr>
      </w:pPr>
      <w:r>
        <w:rPr>
          <w:rFonts w:cs="FrankRuehl" w:hint="cs"/>
          <w:sz w:val="26"/>
          <w:szCs w:val="26"/>
          <w:rtl/>
        </w:rPr>
        <w:t>נציגי בנק ישראל פתחו את הישיבה והציגו את עמדתם לגבי רגולציה ופיקוח על הגופים הפיננסים השונים:</w:t>
      </w:r>
    </w:p>
    <w:p w:rsidR="00446380" w:rsidRDefault="00044F2A" w:rsidP="00044F2A">
      <w:pPr>
        <w:pStyle w:val="a3"/>
        <w:numPr>
          <w:ilvl w:val="1"/>
          <w:numId w:val="1"/>
        </w:numPr>
        <w:spacing w:line="360" w:lineRule="auto"/>
        <w:jc w:val="both"/>
        <w:rPr>
          <w:rFonts w:cs="FrankRuehl"/>
          <w:sz w:val="26"/>
          <w:szCs w:val="26"/>
        </w:rPr>
      </w:pPr>
      <w:r>
        <w:rPr>
          <w:rFonts w:cs="FrankRuehl" w:hint="cs"/>
          <w:sz w:val="26"/>
          <w:szCs w:val="26"/>
          <w:rtl/>
        </w:rPr>
        <w:t>נציגי בנק ישראל הציגו מודל תלת שלבי לפיקוח ורגולציה</w:t>
      </w:r>
      <w:r w:rsidR="00446380">
        <w:rPr>
          <w:rFonts w:cs="FrankRuehl" w:hint="cs"/>
          <w:sz w:val="26"/>
          <w:szCs w:val="26"/>
          <w:rtl/>
        </w:rPr>
        <w:t xml:space="preserve"> על שירותים פיננסים.</w:t>
      </w:r>
    </w:p>
    <w:p w:rsidR="00446380" w:rsidRDefault="00446380" w:rsidP="00446380">
      <w:pPr>
        <w:pStyle w:val="a3"/>
        <w:numPr>
          <w:ilvl w:val="2"/>
          <w:numId w:val="1"/>
        </w:numPr>
        <w:spacing w:line="360" w:lineRule="auto"/>
        <w:jc w:val="both"/>
        <w:rPr>
          <w:rFonts w:cs="FrankRuehl"/>
          <w:sz w:val="26"/>
          <w:szCs w:val="26"/>
        </w:rPr>
      </w:pPr>
      <w:r>
        <w:rPr>
          <w:rFonts w:cs="FrankRuehl" w:hint="cs"/>
          <w:sz w:val="26"/>
          <w:szCs w:val="26"/>
          <w:rtl/>
        </w:rPr>
        <w:t>הרובד הראשון הינו פיקוח על בנקים אצל יחידת הפיקוח על הבנקים בבנק ישראל</w:t>
      </w:r>
      <w:r w:rsidR="00044F2A">
        <w:rPr>
          <w:rFonts w:cs="FrankRuehl" w:hint="cs"/>
          <w:sz w:val="26"/>
          <w:szCs w:val="26"/>
          <w:rtl/>
        </w:rPr>
        <w:t xml:space="preserve"> </w:t>
      </w:r>
    </w:p>
    <w:p w:rsidR="00FA20AE" w:rsidRDefault="00446380" w:rsidP="00FA20AE">
      <w:pPr>
        <w:pStyle w:val="a3"/>
        <w:numPr>
          <w:ilvl w:val="2"/>
          <w:numId w:val="1"/>
        </w:numPr>
        <w:spacing w:line="360" w:lineRule="auto"/>
        <w:jc w:val="both"/>
        <w:rPr>
          <w:rFonts w:cs="FrankRuehl"/>
          <w:sz w:val="26"/>
          <w:szCs w:val="26"/>
        </w:rPr>
      </w:pPr>
      <w:r>
        <w:rPr>
          <w:rFonts w:cs="FrankRuehl" w:hint="cs"/>
          <w:sz w:val="26"/>
          <w:szCs w:val="26"/>
          <w:rtl/>
        </w:rPr>
        <w:t>הרובד השני</w:t>
      </w:r>
      <w:r w:rsidR="00FA20AE">
        <w:rPr>
          <w:rFonts w:cs="FrankRuehl" w:hint="cs"/>
          <w:sz w:val="26"/>
          <w:szCs w:val="26"/>
          <w:rtl/>
        </w:rPr>
        <w:t xml:space="preserve"> של הפיקוח</w:t>
      </w:r>
      <w:r>
        <w:rPr>
          <w:rFonts w:cs="FrankRuehl" w:hint="cs"/>
          <w:sz w:val="26"/>
          <w:szCs w:val="26"/>
          <w:rtl/>
        </w:rPr>
        <w:t xml:space="preserve"> </w:t>
      </w:r>
      <w:r w:rsidR="00FA20AE">
        <w:rPr>
          <w:rFonts w:cs="FrankRuehl" w:hint="cs"/>
          <w:sz w:val="26"/>
          <w:szCs w:val="26"/>
          <w:rtl/>
        </w:rPr>
        <w:t>יחול על גופים פיננסים אשר מהווים סכנה יציבותית למערכת הפיננסית. לגישת בנק ישראל אלו</w:t>
      </w:r>
      <w:r>
        <w:rPr>
          <w:rFonts w:cs="FrankRuehl" w:hint="cs"/>
          <w:sz w:val="26"/>
          <w:szCs w:val="26"/>
          <w:rtl/>
        </w:rPr>
        <w:t xml:space="preserve"> נותני אשראי אשר סך הא</w:t>
      </w:r>
      <w:r w:rsidR="00FA20AE">
        <w:rPr>
          <w:rFonts w:cs="FrankRuehl" w:hint="cs"/>
          <w:sz w:val="26"/>
          <w:szCs w:val="26"/>
          <w:rtl/>
        </w:rPr>
        <w:t>שראי שנתנו לציבור עובר סף מסוים, אשר טרם נקבע. רובד זה של הפיקוח יהיה קל יותר בהשוואה לפיקוח על הבנקים אך טרם ניתן לקבוע את אופיו. על פי נציגי בנק ישראל גם פיקוח זה יהיה תחת המפקח על הבנקים בבנק ישראל.</w:t>
      </w:r>
    </w:p>
    <w:p w:rsidR="00FA20AE" w:rsidRDefault="00FA20AE" w:rsidP="00FA20AE">
      <w:pPr>
        <w:pStyle w:val="a3"/>
        <w:numPr>
          <w:ilvl w:val="2"/>
          <w:numId w:val="1"/>
        </w:numPr>
        <w:spacing w:line="360" w:lineRule="auto"/>
        <w:jc w:val="both"/>
        <w:rPr>
          <w:rFonts w:cs="FrankRuehl"/>
          <w:sz w:val="26"/>
          <w:szCs w:val="26"/>
        </w:rPr>
      </w:pPr>
      <w:r>
        <w:rPr>
          <w:rFonts w:cs="FrankRuehl" w:hint="cs"/>
          <w:sz w:val="26"/>
          <w:szCs w:val="26"/>
          <w:rtl/>
        </w:rPr>
        <w:t>הרובד השלישי של הפיקוח יכיל גופים פיננסים אשר מפאת גודלם או אופי עיסוקם אינם מהווים כלל סיכון יציבותי על המערכת. פיקוח זה יהיה תחת הרגולטור הפיננסי החדש אשר יקום בהמשך להמלצות "וועדת בריס".</w:t>
      </w:r>
    </w:p>
    <w:p w:rsidR="00FA20AE" w:rsidRDefault="00FA20AE" w:rsidP="00FA20AE">
      <w:pPr>
        <w:pStyle w:val="a3"/>
        <w:numPr>
          <w:ilvl w:val="1"/>
          <w:numId w:val="1"/>
        </w:numPr>
        <w:spacing w:line="360" w:lineRule="auto"/>
        <w:jc w:val="both"/>
        <w:rPr>
          <w:rFonts w:cs="FrankRuehl"/>
          <w:sz w:val="26"/>
          <w:szCs w:val="26"/>
        </w:rPr>
      </w:pPr>
      <w:r>
        <w:rPr>
          <w:rFonts w:cs="FrankRuehl" w:hint="cs"/>
          <w:sz w:val="26"/>
          <w:szCs w:val="26"/>
          <w:rtl/>
        </w:rPr>
        <w:t xml:space="preserve">חברי הוועדה העלו מספר שאלות לגבי אופי הפיקוח ואופן היישום של מעבר גוף מסוים מפיקוח אחד למשנהו. </w:t>
      </w:r>
    </w:p>
    <w:p w:rsidR="007F4A5B" w:rsidRDefault="00FA20AE" w:rsidP="00FA20AE">
      <w:pPr>
        <w:pStyle w:val="a3"/>
        <w:numPr>
          <w:ilvl w:val="1"/>
          <w:numId w:val="1"/>
        </w:numPr>
        <w:spacing w:line="360" w:lineRule="auto"/>
        <w:jc w:val="both"/>
        <w:rPr>
          <w:rFonts w:cs="FrankRuehl"/>
          <w:sz w:val="26"/>
          <w:szCs w:val="26"/>
        </w:rPr>
      </w:pPr>
      <w:r>
        <w:rPr>
          <w:rFonts w:cs="FrankRuehl" w:hint="cs"/>
          <w:sz w:val="26"/>
          <w:szCs w:val="26"/>
          <w:rtl/>
        </w:rPr>
        <w:t>עמדת בנק ישראל הינה שזהו רעיון ראשוני עליו יש לעשות עוד חושבים בכדי לקבוע את הקריטריונים המדויקים ואופי הפיקוח אשר יחול ברובד השני.</w:t>
      </w:r>
      <w:r w:rsidR="00044F2A">
        <w:rPr>
          <w:rFonts w:cs="FrankRuehl" w:hint="cs"/>
          <w:sz w:val="26"/>
          <w:szCs w:val="26"/>
          <w:rtl/>
        </w:rPr>
        <w:t xml:space="preserve">  </w:t>
      </w:r>
    </w:p>
    <w:p w:rsidR="00FA20AE" w:rsidRDefault="00FA20AE" w:rsidP="00FA20AE">
      <w:pPr>
        <w:pStyle w:val="a3"/>
        <w:numPr>
          <w:ilvl w:val="0"/>
          <w:numId w:val="1"/>
        </w:numPr>
        <w:spacing w:line="360" w:lineRule="auto"/>
        <w:jc w:val="both"/>
        <w:rPr>
          <w:rFonts w:cs="FrankRuehl"/>
          <w:sz w:val="26"/>
          <w:szCs w:val="26"/>
        </w:rPr>
      </w:pPr>
      <w:r>
        <w:rPr>
          <w:rFonts w:cs="FrankRuehl" w:hint="cs"/>
          <w:sz w:val="26"/>
          <w:szCs w:val="26"/>
          <w:rtl/>
        </w:rPr>
        <w:t>בשלב ז</w:t>
      </w:r>
      <w:r w:rsidR="004B1DA9">
        <w:rPr>
          <w:rFonts w:cs="FrankRuehl" w:hint="cs"/>
          <w:sz w:val="26"/>
          <w:szCs w:val="26"/>
          <w:rtl/>
        </w:rPr>
        <w:t>ה, יו"ר הוועדה, הציג כמה תובנות מרכזיות מהשימועים לציבור שנערכו במסגרת הוועדה.</w:t>
      </w:r>
    </w:p>
    <w:p w:rsidR="004B1DA9" w:rsidRDefault="004B1DA9" w:rsidP="004B1DA9">
      <w:pPr>
        <w:pStyle w:val="a3"/>
        <w:numPr>
          <w:ilvl w:val="1"/>
          <w:numId w:val="1"/>
        </w:numPr>
        <w:spacing w:line="360" w:lineRule="auto"/>
        <w:jc w:val="both"/>
        <w:rPr>
          <w:rFonts w:cs="FrankRuehl"/>
          <w:sz w:val="26"/>
          <w:szCs w:val="26"/>
        </w:rPr>
      </w:pPr>
      <w:r>
        <w:rPr>
          <w:rFonts w:cs="FrankRuehl" w:hint="cs"/>
          <w:sz w:val="26"/>
          <w:szCs w:val="26"/>
          <w:rtl/>
        </w:rPr>
        <w:t xml:space="preserve">הוצגה מטרת הוועדה </w:t>
      </w:r>
      <w:r>
        <w:rPr>
          <w:rFonts w:cs="FrankRuehl"/>
          <w:sz w:val="26"/>
          <w:szCs w:val="26"/>
          <w:rtl/>
        </w:rPr>
        <w:t>–</w:t>
      </w:r>
      <w:r>
        <w:rPr>
          <w:rFonts w:cs="FrankRuehl" w:hint="cs"/>
          <w:sz w:val="26"/>
          <w:szCs w:val="26"/>
          <w:rtl/>
        </w:rPr>
        <w:t xml:space="preserve"> הגברת התחרות בשירותים פיננסים נפוצים, קרי, אשראי, ניהול פיקדונות ואמצעי תשלום.</w:t>
      </w:r>
    </w:p>
    <w:p w:rsidR="004B1DA9" w:rsidRDefault="004B1DA9" w:rsidP="004B1DA9">
      <w:pPr>
        <w:pStyle w:val="a3"/>
        <w:numPr>
          <w:ilvl w:val="1"/>
          <w:numId w:val="1"/>
        </w:numPr>
        <w:spacing w:line="360" w:lineRule="auto"/>
        <w:jc w:val="both"/>
        <w:rPr>
          <w:rFonts w:cs="FrankRuehl"/>
          <w:sz w:val="26"/>
          <w:szCs w:val="26"/>
        </w:rPr>
      </w:pPr>
      <w:r>
        <w:rPr>
          <w:rFonts w:cs="FrankRuehl" w:hint="cs"/>
          <w:sz w:val="26"/>
          <w:szCs w:val="26"/>
          <w:rtl/>
        </w:rPr>
        <w:t>נאמר כי חוסר יעילות הינה בעיית יסוד נמשכת במערכת הבנקאית.</w:t>
      </w:r>
    </w:p>
    <w:p w:rsidR="004B1DA9" w:rsidRDefault="004B1DA9" w:rsidP="004B1DA9">
      <w:pPr>
        <w:pStyle w:val="a3"/>
        <w:numPr>
          <w:ilvl w:val="1"/>
          <w:numId w:val="1"/>
        </w:numPr>
        <w:spacing w:line="360" w:lineRule="auto"/>
        <w:jc w:val="both"/>
        <w:rPr>
          <w:rFonts w:cs="FrankRuehl"/>
          <w:sz w:val="26"/>
          <w:szCs w:val="26"/>
        </w:rPr>
      </w:pPr>
      <w:r>
        <w:rPr>
          <w:rFonts w:cs="FrankRuehl" w:hint="cs"/>
          <w:sz w:val="26"/>
          <w:szCs w:val="26"/>
          <w:rtl/>
        </w:rPr>
        <w:t>נאמר כי אותרו אינדיקציות ממשיות לחוסר תחרות בשני סקטורים עיקריים</w:t>
      </w:r>
      <w:r>
        <w:rPr>
          <w:rFonts w:cs="FrankRuehl"/>
          <w:sz w:val="26"/>
          <w:szCs w:val="26"/>
        </w:rPr>
        <w:t>;</w:t>
      </w:r>
      <w:r>
        <w:rPr>
          <w:rFonts w:cs="FrankRuehl" w:hint="cs"/>
          <w:sz w:val="26"/>
          <w:szCs w:val="26"/>
          <w:rtl/>
        </w:rPr>
        <w:t xml:space="preserve"> משקי בית ועסקים קטנים. התסמינים לחוסר התחרות במגזרים אלו הינם שיעור הריבית והמרווח, הרווח הבנקאי על מגזרים אלו והיעדר אלטרנטיבות לתחרות.</w:t>
      </w:r>
    </w:p>
    <w:p w:rsidR="004B1DA9" w:rsidRDefault="004B1DA9" w:rsidP="004B1DA9">
      <w:pPr>
        <w:pStyle w:val="a3"/>
        <w:numPr>
          <w:ilvl w:val="1"/>
          <w:numId w:val="1"/>
        </w:numPr>
        <w:spacing w:line="360" w:lineRule="auto"/>
        <w:jc w:val="both"/>
        <w:rPr>
          <w:rFonts w:cs="FrankRuehl"/>
          <w:sz w:val="26"/>
          <w:szCs w:val="26"/>
        </w:rPr>
      </w:pPr>
      <w:r>
        <w:rPr>
          <w:rFonts w:cs="FrankRuehl" w:hint="cs"/>
          <w:sz w:val="26"/>
          <w:szCs w:val="26"/>
          <w:rtl/>
        </w:rPr>
        <w:t>בשלב זה נסק</w:t>
      </w:r>
      <w:r w:rsidR="00637EFB">
        <w:rPr>
          <w:rFonts w:cs="FrankRuehl" w:hint="cs"/>
          <w:sz w:val="26"/>
          <w:szCs w:val="26"/>
          <w:rtl/>
        </w:rPr>
        <w:t>ר</w:t>
      </w:r>
      <w:r>
        <w:rPr>
          <w:rFonts w:cs="FrankRuehl" w:hint="cs"/>
          <w:sz w:val="26"/>
          <w:szCs w:val="26"/>
          <w:rtl/>
        </w:rPr>
        <w:t>ו המתחרים הפו</w:t>
      </w:r>
      <w:r w:rsidR="00906F65">
        <w:rPr>
          <w:rFonts w:cs="FrankRuehl" w:hint="cs"/>
          <w:sz w:val="26"/>
          <w:szCs w:val="26"/>
          <w:rtl/>
        </w:rPr>
        <w:t>טנציאלים והכלים אשר עשויים לייצר תחרות.</w:t>
      </w:r>
    </w:p>
    <w:p w:rsidR="004B1DA9" w:rsidRDefault="004B1DA9" w:rsidP="004B1DA9">
      <w:pPr>
        <w:pStyle w:val="a3"/>
        <w:numPr>
          <w:ilvl w:val="1"/>
          <w:numId w:val="1"/>
        </w:numPr>
        <w:spacing w:line="360" w:lineRule="auto"/>
        <w:jc w:val="both"/>
        <w:rPr>
          <w:rFonts w:cs="FrankRuehl"/>
          <w:sz w:val="26"/>
          <w:szCs w:val="26"/>
        </w:rPr>
      </w:pPr>
      <w:r>
        <w:rPr>
          <w:rFonts w:cs="FrankRuehl" w:hint="cs"/>
          <w:sz w:val="26"/>
          <w:szCs w:val="26"/>
          <w:rtl/>
        </w:rPr>
        <w:t>המתחרים הפוטנציאלים הינם:</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t>בנקים קיימים</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t xml:space="preserve">גופים מוסדיים </w:t>
      </w:r>
      <w:r>
        <w:rPr>
          <w:rFonts w:cs="FrankRuehl"/>
          <w:sz w:val="26"/>
          <w:szCs w:val="26"/>
          <w:rtl/>
        </w:rPr>
        <w:t>–</w:t>
      </w:r>
      <w:r>
        <w:rPr>
          <w:rFonts w:cs="FrankRuehl" w:hint="cs"/>
          <w:sz w:val="26"/>
          <w:szCs w:val="26"/>
          <w:rtl/>
        </w:rPr>
        <w:t xml:space="preserve"> מתן אשראי בדרך עקיפה או ישירה</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lastRenderedPageBreak/>
        <w:t>חברות כרטיסי אשראי</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t>חברות מימון ישיר</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t xml:space="preserve">חברות </w:t>
      </w:r>
      <w:r>
        <w:rPr>
          <w:rFonts w:cs="FrankRuehl"/>
          <w:sz w:val="26"/>
          <w:szCs w:val="26"/>
        </w:rPr>
        <w:t>Fin Tech</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t>מנפיקים חדשים של כרטיסי אשראי</w:t>
      </w:r>
    </w:p>
    <w:p w:rsidR="004B1DA9" w:rsidRDefault="004B1DA9" w:rsidP="004B1DA9">
      <w:pPr>
        <w:pStyle w:val="a3"/>
        <w:numPr>
          <w:ilvl w:val="1"/>
          <w:numId w:val="1"/>
        </w:numPr>
        <w:spacing w:line="360" w:lineRule="auto"/>
        <w:jc w:val="both"/>
        <w:rPr>
          <w:rFonts w:cs="FrankRuehl"/>
          <w:sz w:val="26"/>
          <w:szCs w:val="26"/>
        </w:rPr>
      </w:pPr>
      <w:r>
        <w:rPr>
          <w:rFonts w:cs="FrankRuehl" w:hint="cs"/>
          <w:sz w:val="26"/>
          <w:szCs w:val="26"/>
          <w:rtl/>
        </w:rPr>
        <w:t>כמו כן, עלתה השאלה, בעקבות עבודת הוועדה עד כה, האם אגודות אשראי ובנקים אינטרנטיים הינם בעלי פוטנציאל תחרותי בענף.</w:t>
      </w:r>
    </w:p>
    <w:p w:rsidR="004B1DA9" w:rsidRDefault="00906F65" w:rsidP="004B1DA9">
      <w:pPr>
        <w:pStyle w:val="a3"/>
        <w:numPr>
          <w:ilvl w:val="1"/>
          <w:numId w:val="1"/>
        </w:numPr>
        <w:spacing w:line="360" w:lineRule="auto"/>
        <w:jc w:val="both"/>
        <w:rPr>
          <w:rFonts w:cs="FrankRuehl"/>
          <w:sz w:val="26"/>
          <w:szCs w:val="26"/>
        </w:rPr>
      </w:pPr>
      <w:r>
        <w:rPr>
          <w:rFonts w:cs="FrankRuehl" w:hint="cs"/>
          <w:sz w:val="26"/>
          <w:szCs w:val="26"/>
          <w:rtl/>
        </w:rPr>
        <w:t>הכלים אשר עשויים ליצור תחרות במערכת</w:t>
      </w:r>
      <w:r w:rsidR="004B1DA9">
        <w:rPr>
          <w:rFonts w:cs="FrankRuehl" w:hint="cs"/>
          <w:sz w:val="26"/>
          <w:szCs w:val="26"/>
          <w:rtl/>
        </w:rPr>
        <w:t>:</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t xml:space="preserve">מערכת לשיתוף מידע </w:t>
      </w:r>
    </w:p>
    <w:p w:rsidR="004B1DA9" w:rsidRDefault="004B1DA9" w:rsidP="004B1DA9">
      <w:pPr>
        <w:pStyle w:val="a3"/>
        <w:numPr>
          <w:ilvl w:val="2"/>
          <w:numId w:val="1"/>
        </w:numPr>
        <w:spacing w:line="360" w:lineRule="auto"/>
        <w:jc w:val="both"/>
        <w:rPr>
          <w:rFonts w:cs="FrankRuehl"/>
          <w:sz w:val="26"/>
          <w:szCs w:val="26"/>
        </w:rPr>
      </w:pPr>
      <w:r>
        <w:rPr>
          <w:rFonts w:cs="FrankRuehl" w:hint="cs"/>
          <w:sz w:val="26"/>
          <w:szCs w:val="26"/>
          <w:rtl/>
        </w:rPr>
        <w:t>קישוריות בין השחקנים השונים והמערכות השונות במערכת הפיננסית</w:t>
      </w:r>
    </w:p>
    <w:p w:rsidR="00906F65" w:rsidRDefault="00906F65" w:rsidP="004B1DA9">
      <w:pPr>
        <w:pStyle w:val="a3"/>
        <w:numPr>
          <w:ilvl w:val="2"/>
          <w:numId w:val="1"/>
        </w:numPr>
        <w:spacing w:line="360" w:lineRule="auto"/>
        <w:jc w:val="both"/>
        <w:rPr>
          <w:rFonts w:cs="FrankRuehl"/>
          <w:sz w:val="26"/>
          <w:szCs w:val="26"/>
        </w:rPr>
      </w:pPr>
      <w:r>
        <w:rPr>
          <w:rFonts w:cs="FrankRuehl" w:hint="cs"/>
          <w:sz w:val="26"/>
          <w:szCs w:val="26"/>
          <w:rtl/>
        </w:rPr>
        <w:t>יכולת השוואה בין השירותים לצרכן</w:t>
      </w:r>
    </w:p>
    <w:p w:rsidR="00906F65" w:rsidRDefault="00906F65" w:rsidP="004B1DA9">
      <w:pPr>
        <w:pStyle w:val="a3"/>
        <w:numPr>
          <w:ilvl w:val="2"/>
          <w:numId w:val="1"/>
        </w:numPr>
        <w:spacing w:line="360" w:lineRule="auto"/>
        <w:jc w:val="both"/>
        <w:rPr>
          <w:rFonts w:cs="FrankRuehl"/>
          <w:sz w:val="26"/>
          <w:szCs w:val="26"/>
        </w:rPr>
      </w:pPr>
      <w:r>
        <w:rPr>
          <w:rFonts w:cs="FrankRuehl" w:hint="cs"/>
          <w:sz w:val="26"/>
          <w:szCs w:val="26"/>
          <w:rtl/>
        </w:rPr>
        <w:t>איגו"ח</w:t>
      </w:r>
    </w:p>
    <w:p w:rsidR="00906F65" w:rsidRDefault="00906F65" w:rsidP="004B1DA9">
      <w:pPr>
        <w:pStyle w:val="a3"/>
        <w:numPr>
          <w:ilvl w:val="2"/>
          <w:numId w:val="1"/>
        </w:numPr>
        <w:spacing w:line="360" w:lineRule="auto"/>
        <w:jc w:val="both"/>
        <w:rPr>
          <w:rFonts w:cs="FrankRuehl"/>
          <w:sz w:val="26"/>
          <w:szCs w:val="26"/>
        </w:rPr>
      </w:pPr>
      <w:r>
        <w:rPr>
          <w:rFonts w:cs="FrankRuehl" w:hint="cs"/>
          <w:sz w:val="26"/>
          <w:szCs w:val="26"/>
          <w:rtl/>
        </w:rPr>
        <w:t>ביטוח פיקדונות</w:t>
      </w:r>
    </w:p>
    <w:p w:rsidR="004B1DA9" w:rsidRDefault="004B1DA9" w:rsidP="004B1DA9">
      <w:pPr>
        <w:pStyle w:val="a3"/>
        <w:numPr>
          <w:ilvl w:val="2"/>
          <w:numId w:val="1"/>
        </w:numPr>
        <w:spacing w:line="360" w:lineRule="auto"/>
        <w:jc w:val="both"/>
        <w:rPr>
          <w:rFonts w:cs="FrankRuehl"/>
          <w:sz w:val="26"/>
          <w:szCs w:val="26"/>
        </w:rPr>
      </w:pPr>
      <w:r w:rsidRPr="004B1DA9">
        <w:rPr>
          <w:rFonts w:cs="FrankRuehl" w:hint="cs"/>
          <w:sz w:val="26"/>
          <w:szCs w:val="26"/>
          <w:rtl/>
        </w:rPr>
        <w:t xml:space="preserve"> </w:t>
      </w:r>
      <w:r w:rsidR="00906F65">
        <w:rPr>
          <w:rFonts w:cs="FrankRuehl" w:hint="cs"/>
          <w:sz w:val="26"/>
          <w:szCs w:val="26"/>
          <w:rtl/>
        </w:rPr>
        <w:t xml:space="preserve">תשתית </w:t>
      </w:r>
      <w:r w:rsidR="00906F65">
        <w:rPr>
          <w:rFonts w:cs="FrankRuehl"/>
          <w:sz w:val="26"/>
          <w:szCs w:val="26"/>
        </w:rPr>
        <w:t>IT</w:t>
      </w:r>
    </w:p>
    <w:p w:rsidR="00906F65" w:rsidRDefault="00906F65" w:rsidP="004B1DA9">
      <w:pPr>
        <w:pStyle w:val="a3"/>
        <w:numPr>
          <w:ilvl w:val="2"/>
          <w:numId w:val="1"/>
        </w:numPr>
        <w:spacing w:line="360" w:lineRule="auto"/>
        <w:jc w:val="both"/>
        <w:rPr>
          <w:rFonts w:cs="FrankRuehl"/>
          <w:sz w:val="26"/>
          <w:szCs w:val="26"/>
        </w:rPr>
      </w:pPr>
      <w:r>
        <w:rPr>
          <w:rFonts w:cs="FrankRuehl" w:hint="cs"/>
          <w:sz w:val="26"/>
          <w:szCs w:val="26"/>
          <w:rtl/>
        </w:rPr>
        <w:t xml:space="preserve">הסדרה רגולטורית של השחקנים הפיננסים השונים </w:t>
      </w:r>
    </w:p>
    <w:p w:rsidR="006929A1" w:rsidRDefault="006929A1" w:rsidP="006929A1">
      <w:pPr>
        <w:pStyle w:val="a3"/>
        <w:numPr>
          <w:ilvl w:val="1"/>
          <w:numId w:val="1"/>
        </w:numPr>
        <w:spacing w:line="360" w:lineRule="auto"/>
        <w:jc w:val="both"/>
        <w:rPr>
          <w:rFonts w:cs="FrankRuehl"/>
          <w:sz w:val="26"/>
          <w:szCs w:val="26"/>
        </w:rPr>
      </w:pPr>
      <w:r>
        <w:rPr>
          <w:rFonts w:cs="FrankRuehl" w:hint="cs"/>
          <w:sz w:val="26"/>
          <w:szCs w:val="26"/>
          <w:rtl/>
        </w:rPr>
        <w:t>בשלב זה יו"ר הוועדה נעל את הדיון ואמר כי הסקירה של השחקנים הפוטנציאלים והצעדים הנדרשים ליצירת התחרות תימשך בדיונים הבאים.</w:t>
      </w:r>
    </w:p>
    <w:p w:rsidR="006929A1" w:rsidRPr="00C62BBB" w:rsidRDefault="006929A1" w:rsidP="006929A1">
      <w:pPr>
        <w:spacing w:line="360" w:lineRule="auto"/>
        <w:jc w:val="both"/>
        <w:rPr>
          <w:rFonts w:cs="FrankRuehl"/>
          <w:sz w:val="26"/>
          <w:szCs w:val="26"/>
        </w:rPr>
      </w:pPr>
    </w:p>
    <w:p w:rsidR="006929A1" w:rsidRDefault="006929A1" w:rsidP="006929A1">
      <w:pPr>
        <w:pStyle w:val="a3"/>
        <w:numPr>
          <w:ilvl w:val="0"/>
          <w:numId w:val="1"/>
        </w:numPr>
        <w:spacing w:line="360" w:lineRule="auto"/>
        <w:jc w:val="both"/>
        <w:rPr>
          <w:rFonts w:cs="FrankRuehl"/>
          <w:sz w:val="26"/>
          <w:szCs w:val="26"/>
        </w:rPr>
      </w:pPr>
      <w:r>
        <w:rPr>
          <w:rFonts w:cs="FrankRuehl" w:hint="cs"/>
          <w:sz w:val="26"/>
          <w:szCs w:val="26"/>
          <w:rtl/>
        </w:rPr>
        <w:t>יו"ר הוועדה, דרור שטרום, הודה למשתתפים ונעל את הישיבה.</w:t>
      </w:r>
    </w:p>
    <w:p w:rsidR="006929A1" w:rsidRDefault="006929A1" w:rsidP="006929A1">
      <w:pPr>
        <w:pStyle w:val="a3"/>
        <w:spacing w:line="360" w:lineRule="auto"/>
        <w:jc w:val="both"/>
        <w:rPr>
          <w:rFonts w:cs="FrankRuehl"/>
          <w:sz w:val="26"/>
          <w:szCs w:val="26"/>
        </w:rPr>
      </w:pPr>
    </w:p>
    <w:p w:rsidR="00906F65" w:rsidRDefault="00906F65" w:rsidP="00906F65">
      <w:pPr>
        <w:spacing w:line="360" w:lineRule="auto"/>
        <w:jc w:val="both"/>
        <w:rPr>
          <w:rFonts w:cs="FrankRuehl"/>
          <w:sz w:val="26"/>
          <w:szCs w:val="26"/>
          <w:rtl/>
        </w:rPr>
      </w:pPr>
    </w:p>
    <w:p w:rsidR="00906F65" w:rsidRPr="00906F65" w:rsidRDefault="00906F65" w:rsidP="00906F65">
      <w:pPr>
        <w:spacing w:line="360" w:lineRule="auto"/>
        <w:jc w:val="both"/>
        <w:rPr>
          <w:rFonts w:cs="FrankRuehl"/>
          <w:sz w:val="26"/>
          <w:szCs w:val="26"/>
        </w:rPr>
      </w:pPr>
    </w:p>
    <w:sectPr w:rsidR="00906F65" w:rsidRPr="00906F65"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1619"/>
    <w:multiLevelType w:val="hybridMultilevel"/>
    <w:tmpl w:val="F962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772E1C"/>
    <w:multiLevelType w:val="hybridMultilevel"/>
    <w:tmpl w:val="24146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2A"/>
    <w:rsid w:val="00044F2A"/>
    <w:rsid w:val="00446380"/>
    <w:rsid w:val="00492C38"/>
    <w:rsid w:val="004B1DA9"/>
    <w:rsid w:val="005A7B94"/>
    <w:rsid w:val="00637EFB"/>
    <w:rsid w:val="006904B3"/>
    <w:rsid w:val="006929A1"/>
    <w:rsid w:val="00905581"/>
    <w:rsid w:val="00906F65"/>
    <w:rsid w:val="00EE67F3"/>
    <w:rsid w:val="00FA20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F2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F2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9</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8135E-5A1A-4841-8807-92D977EF5FE7}"/>
</file>

<file path=customXml/itemProps2.xml><?xml version="1.0" encoding="utf-8"?>
<ds:datastoreItem xmlns:ds="http://schemas.openxmlformats.org/officeDocument/2006/customXml" ds:itemID="{270D4316-B0B4-4B8C-A447-36456F81C5D0}"/>
</file>

<file path=customXml/itemProps3.xml><?xml version="1.0" encoding="utf-8"?>
<ds:datastoreItem xmlns:ds="http://schemas.openxmlformats.org/officeDocument/2006/customXml" ds:itemID="{C0351168-5346-41E0-BB89-D67F4573C109}"/>
</file>

<file path=docProps/app.xml><?xml version="1.0" encoding="utf-8"?>
<Properties xmlns="http://schemas.openxmlformats.org/officeDocument/2006/extended-properties" xmlns:vt="http://schemas.openxmlformats.org/officeDocument/2006/docPropsVTypes">
  <Template>Normal</Template>
  <TotalTime>66</TotalTime>
  <Pages>3</Pages>
  <Words>511</Words>
  <Characters>2558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12.08.2015</dc:title>
  <dc:creator>מעבדה טכני</dc:creator>
  <cp:lastModifiedBy>אבי כהן</cp:lastModifiedBy>
  <cp:revision>7</cp:revision>
  <dcterms:created xsi:type="dcterms:W3CDTF">2015-08-19T13:52:00Z</dcterms:created>
  <dcterms:modified xsi:type="dcterms:W3CDTF">2015-12-30T08:18:00Z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