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99" w:rsidRPr="00C0712C" w:rsidRDefault="00281199" w:rsidP="00C0712C">
      <w:pPr>
        <w:spacing w:line="360" w:lineRule="auto"/>
        <w:jc w:val="both"/>
        <w:rPr>
          <w:rFonts w:cs="FrankRuehl"/>
          <w:b/>
          <w:bCs/>
          <w:sz w:val="26"/>
          <w:szCs w:val="26"/>
          <w:u w:val="single"/>
          <w:rtl/>
        </w:rPr>
      </w:pPr>
      <w:r w:rsidRPr="00C0712C">
        <w:rPr>
          <w:rFonts w:cs="FrankRuehl" w:hint="cs"/>
          <w:b/>
          <w:bCs/>
          <w:sz w:val="26"/>
          <w:szCs w:val="26"/>
          <w:u w:val="single"/>
          <w:rtl/>
        </w:rPr>
        <w:t xml:space="preserve">הוועדה להגברת התחרות בשירותים בנקאיים ופיננסים נפוצים 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b/>
          <w:bCs/>
          <w:sz w:val="26"/>
          <w:szCs w:val="26"/>
          <w:u w:val="single"/>
          <w:rtl/>
        </w:rPr>
      </w:pPr>
    </w:p>
    <w:p w:rsidR="00281199" w:rsidRPr="00C0712C" w:rsidRDefault="00281199" w:rsidP="00C0712C">
      <w:pPr>
        <w:spacing w:line="360" w:lineRule="auto"/>
        <w:jc w:val="both"/>
        <w:rPr>
          <w:rFonts w:cs="FrankRuehl"/>
          <w:b/>
          <w:bCs/>
          <w:sz w:val="26"/>
          <w:szCs w:val="26"/>
          <w:u w:val="single"/>
          <w:rtl/>
        </w:rPr>
      </w:pPr>
      <w:r w:rsidRPr="00C0712C">
        <w:rPr>
          <w:rFonts w:cs="FrankRuehl" w:hint="cs"/>
          <w:b/>
          <w:bCs/>
          <w:sz w:val="26"/>
          <w:szCs w:val="26"/>
          <w:u w:val="single"/>
          <w:rtl/>
        </w:rPr>
        <w:t>2015\9\6: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t>חברי הוועדה המשתתפים: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מר דרור שטרום, יושב ראש הוועדה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proofErr w:type="spellStart"/>
      <w:r w:rsidRPr="00C0712C">
        <w:rPr>
          <w:rFonts w:cs="FrankRuehl" w:hint="cs"/>
          <w:sz w:val="26"/>
          <w:szCs w:val="26"/>
          <w:rtl/>
        </w:rPr>
        <w:t>פרופ</w:t>
      </w:r>
      <w:proofErr w:type="spellEnd"/>
      <w:r w:rsidRPr="00C0712C">
        <w:rPr>
          <w:rFonts w:cs="FrankRuehl" w:hint="cs"/>
          <w:sz w:val="26"/>
          <w:szCs w:val="26"/>
          <w:rtl/>
        </w:rPr>
        <w:t>', אבי בן בסט, האוניברסיטה העברית והמכללה למנהל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ד"ר נדין בודו-טרכטנברג, המשנה לנגידת בנק ישראל, בנק ישראל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פרופ' נתן זוסמן, ראש חטיבת המחקר, בנק ישראל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גב' יעל מבורך, סגנית הממונה על התקציבים</w:t>
      </w:r>
    </w:p>
    <w:p w:rsidR="00281199" w:rsidRPr="00C0712C" w:rsidRDefault="0071057A" w:rsidP="0071057A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</w:t>
      </w:r>
      <w:r w:rsidRPr="00C0712C">
        <w:rPr>
          <w:rFonts w:cs="FrankRuehl" w:hint="cs"/>
          <w:sz w:val="26"/>
          <w:szCs w:val="26"/>
          <w:rtl/>
        </w:rPr>
        <w:t>אסף אילת, הרשות להגבלים עסקיים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t>נציגים: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יואל בריס, משרד האוצר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יואב גפני, משרד האוצר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יונתן בר סימן טוב, משרד האוצר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כפיר </w:t>
      </w:r>
      <w:proofErr w:type="spellStart"/>
      <w:r w:rsidRPr="00C0712C">
        <w:rPr>
          <w:rFonts w:cs="FrankRuehl" w:hint="cs"/>
          <w:sz w:val="26"/>
          <w:szCs w:val="26"/>
          <w:rtl/>
        </w:rPr>
        <w:t>בטט</w:t>
      </w:r>
      <w:proofErr w:type="spellEnd"/>
      <w:r w:rsidRPr="00C0712C">
        <w:rPr>
          <w:rFonts w:cs="FrankRuehl" w:hint="cs"/>
          <w:sz w:val="26"/>
          <w:szCs w:val="26"/>
          <w:rtl/>
        </w:rPr>
        <w:t>, משרד האוצר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ברוך </w:t>
      </w:r>
      <w:proofErr w:type="spellStart"/>
      <w:r w:rsidRPr="00C0712C">
        <w:rPr>
          <w:rFonts w:cs="FrankRuehl" w:hint="cs"/>
          <w:sz w:val="26"/>
          <w:szCs w:val="26"/>
          <w:rtl/>
        </w:rPr>
        <w:t>לוברט</w:t>
      </w:r>
      <w:proofErr w:type="spellEnd"/>
      <w:r w:rsidRPr="00C0712C">
        <w:rPr>
          <w:rFonts w:cs="FrankRuehl" w:hint="cs"/>
          <w:sz w:val="26"/>
          <w:szCs w:val="26"/>
          <w:rtl/>
        </w:rPr>
        <w:t>, משרד האוצר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רויטל קיסר, בנק ישראל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מיקי </w:t>
      </w:r>
      <w:proofErr w:type="spellStart"/>
      <w:r w:rsidRPr="00C0712C">
        <w:rPr>
          <w:rFonts w:cs="FrankRuehl" w:hint="cs"/>
          <w:sz w:val="26"/>
          <w:szCs w:val="26"/>
          <w:rtl/>
        </w:rPr>
        <w:t>קהן</w:t>
      </w:r>
      <w:proofErr w:type="spellEnd"/>
      <w:r w:rsidRPr="00C0712C">
        <w:rPr>
          <w:rFonts w:cs="FrankRuehl" w:hint="cs"/>
          <w:sz w:val="26"/>
          <w:szCs w:val="26"/>
          <w:rtl/>
        </w:rPr>
        <w:t>, בנק ישראל</w:t>
      </w:r>
    </w:p>
    <w:p w:rsidR="00281199" w:rsidRPr="00C0712C" w:rsidRDefault="006B123C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</w:t>
      </w:r>
      <w:r w:rsidR="00281199" w:rsidRPr="00C0712C">
        <w:rPr>
          <w:rFonts w:cs="FrankRuehl" w:hint="cs"/>
          <w:sz w:val="26"/>
          <w:szCs w:val="26"/>
          <w:rtl/>
        </w:rPr>
        <w:t>דנה הלר, הרשות להגבלים עסקיים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אורי שרף, הרשות להגבלים עסקיים</w:t>
      </w:r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אלעד </w:t>
      </w:r>
      <w:proofErr w:type="spellStart"/>
      <w:r w:rsidRPr="00C0712C">
        <w:rPr>
          <w:rFonts w:cs="FrankRuehl" w:hint="cs"/>
          <w:sz w:val="26"/>
          <w:szCs w:val="26"/>
          <w:rtl/>
        </w:rPr>
        <w:t>מקדסי</w:t>
      </w:r>
      <w:proofErr w:type="spellEnd"/>
      <w:r w:rsidRPr="00C0712C">
        <w:rPr>
          <w:rFonts w:cs="FrankRuehl" w:hint="cs"/>
          <w:sz w:val="26"/>
          <w:szCs w:val="26"/>
          <w:rtl/>
        </w:rPr>
        <w:t>, הרשות להגבלים עסקיים</w:t>
      </w:r>
    </w:p>
    <w:p w:rsidR="00C0712C" w:rsidRPr="00C0712C" w:rsidRDefault="00C0712C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יעל רגב, משרד האוצר</w:t>
      </w:r>
    </w:p>
    <w:p w:rsidR="00C0712C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ליאור </w:t>
      </w:r>
      <w:proofErr w:type="spellStart"/>
      <w:r w:rsidRPr="00C0712C">
        <w:rPr>
          <w:rFonts w:cs="FrankRuehl" w:hint="cs"/>
          <w:sz w:val="26"/>
          <w:szCs w:val="26"/>
          <w:rtl/>
        </w:rPr>
        <w:t>תבורי</w:t>
      </w:r>
      <w:proofErr w:type="spellEnd"/>
    </w:p>
    <w:p w:rsidR="00281199" w:rsidRPr="00C0712C" w:rsidRDefault="00281199" w:rsidP="00C0712C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t>סיכום דיון</w:t>
      </w:r>
    </w:p>
    <w:p w:rsidR="00C0712C" w:rsidRDefault="00C0712C" w:rsidP="00C0712C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lastRenderedPageBreak/>
        <w:t>יו"ר הוועדה</w:t>
      </w:r>
      <w:r w:rsidR="00281199" w:rsidRPr="00C0712C">
        <w:rPr>
          <w:rFonts w:cs="FrankRuehl" w:hint="cs"/>
          <w:sz w:val="26"/>
          <w:szCs w:val="26"/>
          <w:rtl/>
        </w:rPr>
        <w:t>,</w:t>
      </w:r>
      <w:r>
        <w:rPr>
          <w:rFonts w:cs="FrankRuehl" w:hint="cs"/>
          <w:sz w:val="26"/>
          <w:szCs w:val="26"/>
          <w:rtl/>
        </w:rPr>
        <w:t xml:space="preserve"> דרור שטרום, פתח והציג</w:t>
      </w:r>
      <w:r w:rsidRPr="00C0712C">
        <w:rPr>
          <w:rFonts w:cs="FrankRuehl" w:hint="cs"/>
          <w:sz w:val="26"/>
          <w:szCs w:val="26"/>
          <w:rtl/>
        </w:rPr>
        <w:t xml:space="preserve"> את נושא הדיון, </w:t>
      </w:r>
      <w:r w:rsidR="0007190E" w:rsidRPr="00C0712C">
        <w:rPr>
          <w:rFonts w:cs="FrankRuehl" w:hint="cs"/>
          <w:sz w:val="26"/>
          <w:szCs w:val="26"/>
          <w:rtl/>
        </w:rPr>
        <w:t xml:space="preserve">הפרדת </w:t>
      </w:r>
      <w:proofErr w:type="spellStart"/>
      <w:r w:rsidR="0007190E" w:rsidRPr="00C0712C">
        <w:rPr>
          <w:rFonts w:cs="FrankRuehl" w:hint="cs"/>
          <w:sz w:val="26"/>
          <w:szCs w:val="26"/>
          <w:rtl/>
        </w:rPr>
        <w:t>חכ"א</w:t>
      </w:r>
      <w:proofErr w:type="spellEnd"/>
      <w:r w:rsidR="0007190E" w:rsidRPr="00C0712C">
        <w:rPr>
          <w:rFonts w:cs="FrankRuehl" w:hint="cs"/>
          <w:sz w:val="26"/>
          <w:szCs w:val="26"/>
          <w:rtl/>
        </w:rPr>
        <w:t xml:space="preserve"> מהבנקים.</w:t>
      </w:r>
      <w:r w:rsidR="00281199" w:rsidRPr="00C0712C">
        <w:rPr>
          <w:rFonts w:cs="FrankRuehl" w:hint="cs"/>
          <w:sz w:val="26"/>
          <w:szCs w:val="26"/>
          <w:rtl/>
        </w:rPr>
        <w:t xml:space="preserve"> </w:t>
      </w:r>
    </w:p>
    <w:p w:rsidR="00C0712C" w:rsidRDefault="00C0712C" w:rsidP="00C0712C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המפקחת על הבנקים הציגה את עמדת בנק ישראל בעניין.</w:t>
      </w:r>
    </w:p>
    <w:p w:rsidR="007008C6" w:rsidRPr="00C0712C" w:rsidRDefault="00C0712C" w:rsidP="004039A6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 xml:space="preserve">צוין כי </w:t>
      </w:r>
      <w:r w:rsidR="0007190E" w:rsidRPr="00C0712C">
        <w:rPr>
          <w:rFonts w:cs="FrankRuehl" w:hint="cs"/>
          <w:sz w:val="26"/>
          <w:szCs w:val="26"/>
          <w:rtl/>
        </w:rPr>
        <w:t xml:space="preserve">תחילה </w:t>
      </w:r>
      <w:r>
        <w:rPr>
          <w:rFonts w:cs="FrankRuehl" w:hint="cs"/>
          <w:sz w:val="26"/>
          <w:szCs w:val="26"/>
          <w:rtl/>
        </w:rPr>
        <w:t>נציגי הבנק סברו</w:t>
      </w:r>
      <w:r w:rsidR="0007190E" w:rsidRPr="00C0712C">
        <w:rPr>
          <w:rFonts w:cs="FrankRuehl" w:hint="cs"/>
          <w:sz w:val="26"/>
          <w:szCs w:val="26"/>
          <w:rtl/>
        </w:rPr>
        <w:t xml:space="preserve"> שהפרדה של </w:t>
      </w:r>
      <w:proofErr w:type="spellStart"/>
      <w:r w:rsidR="0007190E" w:rsidRPr="00C0712C">
        <w:rPr>
          <w:rFonts w:cs="FrankRuehl" w:hint="cs"/>
          <w:sz w:val="26"/>
          <w:szCs w:val="26"/>
          <w:rtl/>
        </w:rPr>
        <w:t>חכ"א</w:t>
      </w:r>
      <w:proofErr w:type="spellEnd"/>
      <w:r w:rsidR="0007190E" w:rsidRPr="00C0712C">
        <w:rPr>
          <w:rFonts w:cs="FrankRuehl" w:hint="cs"/>
          <w:sz w:val="26"/>
          <w:szCs w:val="26"/>
          <w:rtl/>
        </w:rPr>
        <w:t xml:space="preserve"> מהבנקים </w:t>
      </w:r>
      <w:r w:rsidR="004039A6">
        <w:rPr>
          <w:rFonts w:cs="FrankRuehl" w:hint="cs"/>
          <w:sz w:val="26"/>
          <w:szCs w:val="26"/>
          <w:rtl/>
        </w:rPr>
        <w:t xml:space="preserve">לא תפעל לטובת הצרכן אך החשיבה שונתה </w:t>
      </w:r>
      <w:proofErr w:type="spellStart"/>
      <w:r w:rsidR="004039A6">
        <w:rPr>
          <w:rFonts w:cs="FrankRuehl" w:hint="cs"/>
          <w:sz w:val="26"/>
          <w:szCs w:val="26"/>
          <w:rtl/>
        </w:rPr>
        <w:t>לכיצד</w:t>
      </w:r>
      <w:proofErr w:type="spellEnd"/>
      <w:r w:rsidR="004039A6">
        <w:rPr>
          <w:rFonts w:cs="FrankRuehl" w:hint="cs"/>
          <w:sz w:val="26"/>
          <w:szCs w:val="26"/>
          <w:rtl/>
        </w:rPr>
        <w:t xml:space="preserve"> ניתן לבצע זאת בצורה נכונה שתעבוד לטובת הצרכן</w:t>
      </w:r>
      <w:r w:rsidR="004039A6" w:rsidRPr="00C0712C">
        <w:rPr>
          <w:rFonts w:cs="FrankRuehl" w:hint="cs"/>
          <w:sz w:val="26"/>
          <w:szCs w:val="26"/>
          <w:rtl/>
        </w:rPr>
        <w:t>.</w:t>
      </w:r>
    </w:p>
    <w:p w:rsidR="00C0712C" w:rsidRDefault="007008C6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הוצגו המטרות של הרפורמה בתחום</w:t>
      </w:r>
      <w:r w:rsidR="0007190E" w:rsidRPr="00C0712C">
        <w:rPr>
          <w:rFonts w:cs="FrankRuehl" w:hint="cs"/>
          <w:sz w:val="26"/>
          <w:szCs w:val="26"/>
          <w:rtl/>
        </w:rPr>
        <w:t>:</w:t>
      </w:r>
    </w:p>
    <w:p w:rsidR="0007190E" w:rsidRDefault="00C0712C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הגברת תחרות, בין אם בתוך המערכת הבנקאית ובין אם מחוצה לה.</w:t>
      </w:r>
    </w:p>
    <w:p w:rsidR="0007190E" w:rsidRDefault="0007190E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הורדת מחירים.</w:t>
      </w:r>
    </w:p>
    <w:p w:rsidR="00C0712C" w:rsidRDefault="00C0712C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הגדלת נגישות לאשראי</w:t>
      </w:r>
      <w:r w:rsidR="007E6674">
        <w:rPr>
          <w:rFonts w:cs="FrankRuehl" w:hint="cs"/>
          <w:sz w:val="26"/>
          <w:szCs w:val="26"/>
          <w:rtl/>
        </w:rPr>
        <w:t>.</w:t>
      </w:r>
    </w:p>
    <w:p w:rsidR="007008C6" w:rsidRPr="00C0712C" w:rsidRDefault="0007190E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שמירה על יציבות.</w:t>
      </w:r>
    </w:p>
    <w:p w:rsidR="00FC36CE" w:rsidRPr="00C0712C" w:rsidRDefault="007008C6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הוצגו העלויות הכרוכות בניתוק החברות מהבנקים.</w:t>
      </w:r>
    </w:p>
    <w:p w:rsidR="00FC36CE" w:rsidRPr="00C0712C" w:rsidRDefault="007008C6" w:rsidP="00921E09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הוצגו הפעיל</w:t>
      </w:r>
      <w:r w:rsidR="00921E09">
        <w:rPr>
          <w:rFonts w:cs="FrankRuehl" w:hint="cs"/>
          <w:sz w:val="26"/>
          <w:szCs w:val="26"/>
          <w:rtl/>
        </w:rPr>
        <w:t xml:space="preserve">ויות של </w:t>
      </w:r>
      <w:proofErr w:type="spellStart"/>
      <w:r w:rsidR="00921E09">
        <w:rPr>
          <w:rFonts w:cs="FrankRuehl" w:hint="cs"/>
          <w:sz w:val="26"/>
          <w:szCs w:val="26"/>
          <w:rtl/>
        </w:rPr>
        <w:t>חכ"א</w:t>
      </w:r>
      <w:proofErr w:type="spellEnd"/>
      <w:r w:rsidR="00921E09">
        <w:rPr>
          <w:rFonts w:cs="FrankRuehl" w:hint="cs"/>
          <w:sz w:val="26"/>
          <w:szCs w:val="26"/>
          <w:rtl/>
        </w:rPr>
        <w:t>. (הגדרות, ראו מצגת)</w:t>
      </w:r>
    </w:p>
    <w:p w:rsidR="0007190E" w:rsidRPr="00C0712C" w:rsidRDefault="0007190E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</w:t>
      </w:r>
      <w:r w:rsidR="00C56B9D" w:rsidRPr="00C0712C">
        <w:rPr>
          <w:rFonts w:cs="FrankRuehl" w:hint="cs"/>
          <w:sz w:val="26"/>
          <w:szCs w:val="26"/>
          <w:rtl/>
        </w:rPr>
        <w:t>צגו שלוש</w:t>
      </w:r>
      <w:r w:rsidRPr="00C0712C">
        <w:rPr>
          <w:rFonts w:cs="FrankRuehl" w:hint="cs"/>
          <w:sz w:val="26"/>
          <w:szCs w:val="26"/>
          <w:rtl/>
        </w:rPr>
        <w:t xml:space="preserve"> חלופות קיימות:</w:t>
      </w:r>
    </w:p>
    <w:p w:rsidR="0007190E" w:rsidRPr="00C0712C" w:rsidRDefault="004D56C5" w:rsidP="00C0712C">
      <w:pPr>
        <w:pStyle w:val="a3"/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1.</w:t>
      </w:r>
      <w:r w:rsidR="00FC36CE" w:rsidRPr="00C0712C">
        <w:rPr>
          <w:rFonts w:cs="FrankRuehl" w:hint="cs"/>
          <w:sz w:val="26"/>
          <w:szCs w:val="26"/>
          <w:rtl/>
        </w:rPr>
        <w:t xml:space="preserve"> </w:t>
      </w:r>
      <w:r w:rsidRPr="00C0712C">
        <w:rPr>
          <w:rFonts w:cs="FrankRuehl" w:hint="cs"/>
          <w:sz w:val="26"/>
          <w:szCs w:val="26"/>
          <w:rtl/>
        </w:rPr>
        <w:t xml:space="preserve">לא להפריד, תוך מתן </w:t>
      </w:r>
      <w:r w:rsidR="007E6674">
        <w:rPr>
          <w:rFonts w:cs="FrankRuehl" w:hint="cs"/>
          <w:sz w:val="26"/>
          <w:szCs w:val="26"/>
          <w:rtl/>
        </w:rPr>
        <w:t xml:space="preserve">זמן </w:t>
      </w:r>
      <w:r w:rsidRPr="00C0712C">
        <w:rPr>
          <w:rFonts w:cs="FrankRuehl" w:hint="cs"/>
          <w:sz w:val="26"/>
          <w:szCs w:val="26"/>
          <w:rtl/>
        </w:rPr>
        <w:t>לכוחות השוק לפעול מתוך חשש שהפרדה לא תשרת את המטרה.</w:t>
      </w:r>
    </w:p>
    <w:p w:rsidR="00C56B9D" w:rsidRPr="00C0712C" w:rsidRDefault="004D56C5" w:rsidP="00C0712C">
      <w:pPr>
        <w:pStyle w:val="a3"/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rtl/>
        </w:rPr>
        <w:t>2.</w:t>
      </w:r>
      <w:r w:rsidR="00FC36CE" w:rsidRPr="00C0712C">
        <w:rPr>
          <w:rFonts w:cs="FrankRuehl" w:hint="cs"/>
          <w:sz w:val="26"/>
          <w:szCs w:val="26"/>
          <w:rtl/>
        </w:rPr>
        <w:t xml:space="preserve"> </w:t>
      </w:r>
      <w:r w:rsidRPr="00C0712C">
        <w:rPr>
          <w:rFonts w:cs="FrankRuehl" w:hint="cs"/>
          <w:sz w:val="26"/>
          <w:szCs w:val="26"/>
          <w:rtl/>
        </w:rPr>
        <w:t xml:space="preserve"> להפריד חברות כרטיסי אשראי </w:t>
      </w:r>
      <w:r w:rsidR="00C0712C">
        <w:rPr>
          <w:rFonts w:cs="FrankRuehl" w:hint="cs"/>
          <w:sz w:val="26"/>
          <w:szCs w:val="26"/>
          <w:u w:val="single"/>
          <w:rtl/>
        </w:rPr>
        <w:t>מכל הבנקים</w:t>
      </w:r>
      <w:r w:rsidR="007E6674">
        <w:rPr>
          <w:rFonts w:cs="FrankRuehl" w:hint="cs"/>
          <w:sz w:val="26"/>
          <w:szCs w:val="26"/>
          <w:u w:val="single"/>
          <w:rtl/>
        </w:rPr>
        <w:t>.</w:t>
      </w:r>
    </w:p>
    <w:p w:rsidR="0041460E" w:rsidRPr="00C0712C" w:rsidRDefault="004D56C5" w:rsidP="007E6674">
      <w:pPr>
        <w:pStyle w:val="a3"/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3. החלופה המומלצת: לא לאפשר </w:t>
      </w:r>
      <w:r w:rsidR="007E6674" w:rsidRPr="00C0712C">
        <w:rPr>
          <w:rFonts w:cs="FrankRuehl" w:hint="cs"/>
          <w:sz w:val="26"/>
          <w:szCs w:val="26"/>
          <w:rtl/>
        </w:rPr>
        <w:t>לש</w:t>
      </w:r>
      <w:r w:rsidR="007E6674">
        <w:rPr>
          <w:rFonts w:cs="FrankRuehl" w:hint="cs"/>
          <w:sz w:val="26"/>
          <w:szCs w:val="26"/>
          <w:rtl/>
        </w:rPr>
        <w:t>נ</w:t>
      </w:r>
      <w:r w:rsidR="007E6674" w:rsidRPr="00C0712C">
        <w:rPr>
          <w:rFonts w:cs="FrankRuehl" w:hint="cs"/>
          <w:sz w:val="26"/>
          <w:szCs w:val="26"/>
          <w:rtl/>
        </w:rPr>
        <w:t xml:space="preserve">י </w:t>
      </w:r>
      <w:r w:rsidR="007E6674">
        <w:rPr>
          <w:rFonts w:cs="FrankRuehl" w:hint="cs"/>
          <w:sz w:val="26"/>
          <w:szCs w:val="26"/>
          <w:rtl/>
        </w:rPr>
        <w:t>הבנקים הגדולים</w:t>
      </w:r>
      <w:r w:rsidRPr="00C0712C">
        <w:rPr>
          <w:rFonts w:cs="FrankRuehl" w:hint="cs"/>
          <w:sz w:val="26"/>
          <w:szCs w:val="26"/>
          <w:rtl/>
        </w:rPr>
        <w:t xml:space="preserve"> להחזיק בחברות האשראי.</w:t>
      </w:r>
    </w:p>
    <w:p w:rsidR="00EC0EC6" w:rsidRPr="00C0712C" w:rsidRDefault="00EC0EC6" w:rsidP="00C0712C">
      <w:pPr>
        <w:pStyle w:val="a3"/>
        <w:spacing w:line="360" w:lineRule="auto"/>
        <w:jc w:val="both"/>
        <w:rPr>
          <w:rFonts w:cs="FrankRuehl"/>
          <w:sz w:val="26"/>
          <w:szCs w:val="26"/>
          <w:rtl/>
        </w:rPr>
      </w:pPr>
    </w:p>
    <w:p w:rsidR="007008C6" w:rsidRDefault="0041460E" w:rsidP="00C0712C">
      <w:pPr>
        <w:pStyle w:val="a3"/>
        <w:numPr>
          <w:ilvl w:val="0"/>
          <w:numId w:val="4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הוצג מבנה</w:t>
      </w:r>
      <w:r w:rsidR="00C0712C">
        <w:rPr>
          <w:rFonts w:cs="FrankRuehl" w:hint="cs"/>
          <w:sz w:val="26"/>
          <w:szCs w:val="26"/>
          <w:rtl/>
        </w:rPr>
        <w:t xml:space="preserve"> החלופה</w:t>
      </w:r>
      <w:r w:rsidR="007E6674">
        <w:rPr>
          <w:rFonts w:cs="FrankRuehl" w:hint="cs"/>
          <w:sz w:val="26"/>
          <w:szCs w:val="26"/>
          <w:rtl/>
        </w:rPr>
        <w:t>.</w:t>
      </w:r>
      <w:r w:rsidR="00C0712C">
        <w:rPr>
          <w:rFonts w:cs="FrankRuehl" w:hint="cs"/>
          <w:sz w:val="26"/>
          <w:szCs w:val="26"/>
          <w:rtl/>
        </w:rPr>
        <w:t xml:space="preserve"> </w:t>
      </w:r>
    </w:p>
    <w:p w:rsidR="0041460E" w:rsidRPr="00C0712C" w:rsidRDefault="00C0712C" w:rsidP="00C0712C">
      <w:pPr>
        <w:pStyle w:val="a3"/>
        <w:numPr>
          <w:ilvl w:val="0"/>
          <w:numId w:val="4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נטען שהפרדת </w:t>
      </w:r>
      <w:proofErr w:type="spellStart"/>
      <w:r w:rsidRPr="00C0712C">
        <w:rPr>
          <w:rFonts w:cs="FrankRuehl" w:hint="cs"/>
          <w:sz w:val="26"/>
          <w:szCs w:val="26"/>
          <w:rtl/>
        </w:rPr>
        <w:t>חכ"א</w:t>
      </w:r>
      <w:proofErr w:type="spellEnd"/>
      <w:r w:rsidRPr="00C0712C">
        <w:rPr>
          <w:rFonts w:cs="FrankRuehl" w:hint="cs"/>
          <w:sz w:val="26"/>
          <w:szCs w:val="26"/>
          <w:rtl/>
        </w:rPr>
        <w:t xml:space="preserve"> מהבנקים הגדולים (מעל 20% מהשוק.) בלבד, תביא לחיזוק התחרות בתוך המערכת</w:t>
      </w:r>
      <w:r w:rsidR="007E6674">
        <w:rPr>
          <w:rFonts w:cs="FrankRuehl" w:hint="cs"/>
          <w:sz w:val="26"/>
          <w:szCs w:val="26"/>
          <w:rtl/>
        </w:rPr>
        <w:t>.</w:t>
      </w:r>
    </w:p>
    <w:p w:rsidR="00EC0EC6" w:rsidRPr="00C0712C" w:rsidRDefault="0041460E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הוצג נתחי שוק האשרא</w:t>
      </w:r>
      <w:r w:rsidR="00EC0EC6" w:rsidRPr="00C0712C">
        <w:rPr>
          <w:rFonts w:cs="FrankRuehl" w:hint="cs"/>
          <w:sz w:val="26"/>
          <w:szCs w:val="26"/>
          <w:rtl/>
        </w:rPr>
        <w:t xml:space="preserve">י הקמעונאי (כולל הלוואות לדיור, </w:t>
      </w:r>
      <w:r w:rsidRPr="00C0712C">
        <w:rPr>
          <w:rFonts w:cs="FrankRuehl" w:hint="cs"/>
          <w:sz w:val="26"/>
          <w:szCs w:val="26"/>
          <w:rtl/>
        </w:rPr>
        <w:t>הבנקים הבולטים היו פועלים, לאומי ומזרחי</w:t>
      </w:r>
      <w:r w:rsidR="00EC0EC6" w:rsidRPr="00C0712C">
        <w:rPr>
          <w:rFonts w:cs="FrankRuehl" w:hint="cs"/>
          <w:sz w:val="26"/>
          <w:szCs w:val="26"/>
          <w:rtl/>
        </w:rPr>
        <w:t>)</w:t>
      </w:r>
      <w:r w:rsidRPr="00C0712C">
        <w:rPr>
          <w:rFonts w:cs="FrankRuehl" w:hint="cs"/>
          <w:sz w:val="26"/>
          <w:szCs w:val="26"/>
          <w:rtl/>
        </w:rPr>
        <w:t>.</w:t>
      </w:r>
    </w:p>
    <w:p w:rsidR="00C0712C" w:rsidRDefault="0041460E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נאמר שחברות כרטיסי האשראי מהוות פל</w:t>
      </w:r>
      <w:r w:rsidR="00EC0EC6" w:rsidRPr="00C0712C">
        <w:rPr>
          <w:rFonts w:cs="FrankRuehl" w:hint="cs"/>
          <w:sz w:val="26"/>
          <w:szCs w:val="26"/>
          <w:rtl/>
        </w:rPr>
        <w:t>טפורמה להרחבת נתח השוק הקמעונאי.</w:t>
      </w:r>
    </w:p>
    <w:p w:rsidR="00C0712C" w:rsidRDefault="0041460E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 xml:space="preserve">הוצגו על פי החלופה המומלצת הפעילויות האסורות ומותרות לבנקים בעלי נתח שוק של מעל 20%. </w:t>
      </w:r>
    </w:p>
    <w:p w:rsidR="00EC0EC6" w:rsidRDefault="00355794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הוצגו שיקולים בעד פיצול חברות כרטיסי אשראי משני הבנקים.</w:t>
      </w:r>
    </w:p>
    <w:p w:rsidR="00355794" w:rsidRDefault="00355794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ההפרדה לא תפגע ביציבות.</w:t>
      </w:r>
    </w:p>
    <w:p w:rsidR="00355794" w:rsidRDefault="00355794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החברות בנו פלטפורמה שיכולה להביא להגדלת היצע האשראי</w:t>
      </w:r>
      <w:r w:rsidR="0041460E" w:rsidRPr="00C0712C">
        <w:rPr>
          <w:rFonts w:cs="FrankRuehl" w:hint="cs"/>
          <w:sz w:val="26"/>
          <w:szCs w:val="26"/>
          <w:rtl/>
        </w:rPr>
        <w:t xml:space="preserve"> </w:t>
      </w:r>
      <w:r w:rsidR="00C0712C">
        <w:rPr>
          <w:rFonts w:cs="FrankRuehl" w:hint="cs"/>
          <w:sz w:val="26"/>
          <w:szCs w:val="26"/>
          <w:rtl/>
        </w:rPr>
        <w:t>הקמעונאי.</w:t>
      </w:r>
    </w:p>
    <w:p w:rsidR="00C0712C" w:rsidRDefault="00921E09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לחברות האשראי יש מאגר מידע איכותי שיכול לשרת אותן כחברות מופרדות</w:t>
      </w:r>
      <w:r w:rsidR="00355794" w:rsidRPr="00C0712C">
        <w:rPr>
          <w:rFonts w:cs="FrankRuehl" w:hint="cs"/>
          <w:sz w:val="26"/>
          <w:szCs w:val="26"/>
          <w:rtl/>
        </w:rPr>
        <w:t xml:space="preserve"> כבר היום.</w:t>
      </w:r>
    </w:p>
    <w:p w:rsidR="00355794" w:rsidRDefault="00355794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הפרדה של פעילות התפעול מהבנקים עשויה לתרום לכניסת שחקנים חדשים לתחום ההנפקה והסליקה.</w:t>
      </w:r>
    </w:p>
    <w:p w:rsidR="00355794" w:rsidRDefault="00C0712C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י</w:t>
      </w:r>
      <w:r w:rsidR="00355794" w:rsidRPr="00C0712C">
        <w:rPr>
          <w:rFonts w:cs="FrankRuehl" w:hint="cs"/>
          <w:sz w:val="26"/>
          <w:szCs w:val="26"/>
          <w:rtl/>
        </w:rPr>
        <w:t>צירת</w:t>
      </w:r>
      <w:r w:rsidR="00921E09">
        <w:rPr>
          <w:rFonts w:cs="FrankRuehl" w:hint="cs"/>
          <w:sz w:val="26"/>
          <w:szCs w:val="26"/>
          <w:rtl/>
        </w:rPr>
        <w:t xml:space="preserve"> גופים פיננסים שאינם קשורים לבנקים צפויה</w:t>
      </w:r>
      <w:r w:rsidR="00355794" w:rsidRPr="00C0712C">
        <w:rPr>
          <w:rFonts w:cs="FrankRuehl" w:hint="cs"/>
          <w:sz w:val="26"/>
          <w:szCs w:val="26"/>
          <w:rtl/>
        </w:rPr>
        <w:t xml:space="preserve"> לשכלל את התחרות.</w:t>
      </w:r>
    </w:p>
    <w:p w:rsidR="00355794" w:rsidRPr="001F29FC" w:rsidRDefault="00355794" w:rsidP="001F29F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הגופים החדשים יוכלו </w:t>
      </w:r>
      <w:r w:rsidR="00C0712C" w:rsidRPr="00C0712C">
        <w:rPr>
          <w:rFonts w:cs="FrankRuehl" w:hint="cs"/>
          <w:sz w:val="26"/>
          <w:szCs w:val="26"/>
          <w:rtl/>
        </w:rPr>
        <w:t>בעתיד</w:t>
      </w:r>
      <w:r w:rsidRPr="00C0712C">
        <w:rPr>
          <w:rFonts w:cs="FrankRuehl" w:hint="cs"/>
          <w:sz w:val="26"/>
          <w:szCs w:val="26"/>
          <w:rtl/>
        </w:rPr>
        <w:t xml:space="preserve"> להתפתח לבנק.</w:t>
      </w:r>
    </w:p>
    <w:p w:rsidR="00EC0EC6" w:rsidRPr="00C0712C" w:rsidRDefault="00C0712C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lastRenderedPageBreak/>
        <w:t>צוין שבנק ישראל רואה חשיבות רבה בכך ש</w:t>
      </w:r>
      <w:r w:rsidR="00355794" w:rsidRPr="00C0712C">
        <w:rPr>
          <w:rFonts w:cs="FrankRuehl" w:hint="cs"/>
          <w:sz w:val="26"/>
          <w:szCs w:val="26"/>
          <w:rtl/>
        </w:rPr>
        <w:t>הבנקים ימשיכו לעסוק בפעילות ההנפקה.</w:t>
      </w:r>
    </w:p>
    <w:p w:rsidR="00C0712C" w:rsidRDefault="00355794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 xml:space="preserve">הוצגו הסיכונים בפיצול חברות כרטיסי האשראי משני הבנקים. </w:t>
      </w:r>
      <w:r w:rsidR="006317B5" w:rsidRPr="00C0712C">
        <w:rPr>
          <w:rFonts w:cs="FrankRuehl" w:hint="cs"/>
          <w:sz w:val="26"/>
          <w:szCs w:val="26"/>
          <w:rtl/>
        </w:rPr>
        <w:t>(</w:t>
      </w:r>
      <w:r w:rsidRPr="00C0712C">
        <w:rPr>
          <w:rFonts w:cs="FrankRuehl" w:hint="cs"/>
          <w:sz w:val="26"/>
          <w:szCs w:val="26"/>
          <w:rtl/>
        </w:rPr>
        <w:t xml:space="preserve">סיכון לעליית </w:t>
      </w:r>
      <w:r w:rsidR="006317B5" w:rsidRPr="00C0712C">
        <w:rPr>
          <w:rFonts w:cs="FrankRuehl" w:hint="cs"/>
          <w:sz w:val="26"/>
          <w:szCs w:val="26"/>
          <w:rtl/>
        </w:rPr>
        <w:t>מחירים,</w:t>
      </w:r>
      <w:r w:rsidR="00C0712C">
        <w:rPr>
          <w:rFonts w:cs="FrankRuehl" w:hint="cs"/>
          <w:sz w:val="26"/>
          <w:szCs w:val="26"/>
          <w:rtl/>
        </w:rPr>
        <w:t xml:space="preserve"> </w:t>
      </w:r>
      <w:r w:rsidRPr="00C0712C">
        <w:rPr>
          <w:rFonts w:cs="FrankRuehl" w:hint="cs"/>
          <w:sz w:val="26"/>
          <w:szCs w:val="26"/>
          <w:rtl/>
        </w:rPr>
        <w:t>סיכון יציבות החברות המופ</w:t>
      </w:r>
      <w:r w:rsidR="006317B5" w:rsidRPr="00C0712C">
        <w:rPr>
          <w:rFonts w:cs="FrankRuehl" w:hint="cs"/>
          <w:sz w:val="26"/>
          <w:szCs w:val="26"/>
          <w:rtl/>
        </w:rPr>
        <w:t xml:space="preserve">רדות, </w:t>
      </w:r>
      <w:r w:rsidRPr="00C0712C">
        <w:rPr>
          <w:rFonts w:cs="FrankRuehl" w:hint="cs"/>
          <w:sz w:val="26"/>
          <w:szCs w:val="26"/>
          <w:rtl/>
        </w:rPr>
        <w:t>חוזק הבעלים</w:t>
      </w:r>
      <w:r w:rsidR="00C0712C">
        <w:rPr>
          <w:rFonts w:cs="FrankRuehl" w:hint="cs"/>
          <w:sz w:val="26"/>
          <w:szCs w:val="26"/>
          <w:rtl/>
        </w:rPr>
        <w:t xml:space="preserve"> החדשים,</w:t>
      </w:r>
      <w:r w:rsidR="006317B5" w:rsidRPr="00C0712C">
        <w:rPr>
          <w:rFonts w:cs="FrankRuehl" w:hint="cs"/>
          <w:sz w:val="26"/>
          <w:szCs w:val="26"/>
          <w:rtl/>
        </w:rPr>
        <w:t xml:space="preserve"> </w:t>
      </w:r>
      <w:r w:rsidR="00C0712C">
        <w:rPr>
          <w:rFonts w:cs="FrankRuehl" w:hint="cs"/>
          <w:sz w:val="26"/>
          <w:szCs w:val="26"/>
          <w:rtl/>
        </w:rPr>
        <w:t>סיכוני מיקור חוץ).</w:t>
      </w:r>
    </w:p>
    <w:p w:rsidR="007E6674" w:rsidRPr="00C0712C" w:rsidRDefault="007E6674" w:rsidP="007E6674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הוצג החשש כי </w:t>
      </w:r>
      <w:r w:rsidRPr="007E6674">
        <w:rPr>
          <w:rFonts w:cs="FrankRuehl" w:hint="cs"/>
          <w:sz w:val="26"/>
          <w:szCs w:val="26"/>
          <w:rtl/>
        </w:rPr>
        <w:t>אם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הח</w:t>
      </w:r>
      <w:r>
        <w:rPr>
          <w:rFonts w:cs="FrankRuehl" w:hint="cs"/>
          <w:sz w:val="26"/>
          <w:szCs w:val="26"/>
          <w:rtl/>
        </w:rPr>
        <w:t>בר</w:t>
      </w:r>
      <w:r w:rsidRPr="007E6674">
        <w:rPr>
          <w:rFonts w:cs="FrankRuehl" w:hint="cs"/>
          <w:sz w:val="26"/>
          <w:szCs w:val="26"/>
          <w:rtl/>
        </w:rPr>
        <w:t>ות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לא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יהיו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קשורות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לבנקים</w:t>
      </w:r>
      <w:r>
        <w:rPr>
          <w:rFonts w:cs="FrankRuehl" w:hint="cs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התנאים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של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החברות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הבינלאומיות</w:t>
      </w:r>
      <w:r>
        <w:rPr>
          <w:rFonts w:cs="FrankRuehl" w:hint="cs"/>
          <w:sz w:val="26"/>
          <w:szCs w:val="26"/>
          <w:rtl/>
        </w:rPr>
        <w:t xml:space="preserve"> (ויזה ומסטרקארד)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יהיו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הרבה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יותר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נוקשים</w:t>
      </w:r>
      <w:r w:rsidRPr="007E6674">
        <w:rPr>
          <w:rFonts w:cs="FrankRuehl"/>
          <w:sz w:val="26"/>
          <w:szCs w:val="26"/>
          <w:rtl/>
        </w:rPr>
        <w:t xml:space="preserve">. </w:t>
      </w:r>
      <w:r w:rsidRPr="007E6674">
        <w:rPr>
          <w:rFonts w:cs="FrankRuehl" w:hint="cs"/>
          <w:sz w:val="26"/>
          <w:szCs w:val="26"/>
          <w:rtl/>
        </w:rPr>
        <w:t>זה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יכול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לדרוש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מ</w:t>
      </w:r>
      <w:r>
        <w:rPr>
          <w:rFonts w:cs="FrankRuehl" w:hint="cs"/>
          <w:sz w:val="26"/>
          <w:szCs w:val="26"/>
          <w:rtl/>
        </w:rPr>
        <w:t>חברות האשראי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ערבות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או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אפילו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הפקדת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כספים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בחברה</w:t>
      </w:r>
      <w:r w:rsidRPr="007E6674">
        <w:rPr>
          <w:rFonts w:cs="FrankRuehl"/>
          <w:sz w:val="26"/>
          <w:szCs w:val="26"/>
          <w:rtl/>
        </w:rPr>
        <w:t xml:space="preserve"> </w:t>
      </w:r>
      <w:r w:rsidRPr="007E6674">
        <w:rPr>
          <w:rFonts w:cs="FrankRuehl" w:hint="cs"/>
          <w:sz w:val="26"/>
          <w:szCs w:val="26"/>
          <w:rtl/>
        </w:rPr>
        <w:t>הבינלאומית</w:t>
      </w:r>
      <w:r w:rsidRPr="007E6674">
        <w:rPr>
          <w:rFonts w:cs="FrankRuehl"/>
          <w:sz w:val="26"/>
          <w:szCs w:val="26"/>
          <w:rtl/>
        </w:rPr>
        <w:t>.</w:t>
      </w:r>
    </w:p>
    <w:p w:rsidR="006317B5" w:rsidRDefault="00355794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הוצגו התנאים ההכרחיים</w:t>
      </w:r>
      <w:r w:rsidR="00C0712C">
        <w:rPr>
          <w:rFonts w:cs="FrankRuehl" w:hint="cs"/>
          <w:sz w:val="26"/>
          <w:szCs w:val="26"/>
          <w:rtl/>
        </w:rPr>
        <w:t xml:space="preserve"> על פי בנק ישראל</w:t>
      </w:r>
      <w:r w:rsidRPr="00C0712C">
        <w:rPr>
          <w:rFonts w:cs="FrankRuehl" w:hint="cs"/>
          <w:sz w:val="26"/>
          <w:szCs w:val="26"/>
          <w:rtl/>
        </w:rPr>
        <w:t xml:space="preserve"> להצלחת המהלך.</w:t>
      </w:r>
    </w:p>
    <w:p w:rsidR="00C0712C" w:rsidRDefault="002024DD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הפיקוח על החברות המופרדות ימשיך להתבצע על ידי הפיקוח על הבנקים, תוך התאמת הפיקוח לסיכון.</w:t>
      </w:r>
    </w:p>
    <w:p w:rsidR="00C0712C" w:rsidRDefault="00FC36CE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לחייב את כל הבנקים להנפיק את הכרטיסים של כל החברות.</w:t>
      </w:r>
    </w:p>
    <w:p w:rsidR="00C0712C" w:rsidRDefault="00FC36CE" w:rsidP="007E667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 xml:space="preserve">מכירת </w:t>
      </w:r>
      <w:r w:rsidR="007E6674">
        <w:rPr>
          <w:rFonts w:cs="FrankRuehl" w:hint="cs"/>
          <w:sz w:val="26"/>
          <w:szCs w:val="26"/>
          <w:rtl/>
        </w:rPr>
        <w:t>כלל הפעילות והמידע</w:t>
      </w:r>
      <w:r w:rsidRPr="00C0712C">
        <w:rPr>
          <w:rFonts w:cs="FrankRuehl" w:hint="cs"/>
          <w:sz w:val="26"/>
          <w:szCs w:val="26"/>
          <w:rtl/>
        </w:rPr>
        <w:t>.</w:t>
      </w:r>
    </w:p>
    <w:p w:rsidR="00C0712C" w:rsidRDefault="00C0712C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הקמת המערכת לשיתוף בנתוני אשראי</w:t>
      </w:r>
      <w:r w:rsidR="00FC36CE" w:rsidRPr="00C0712C">
        <w:rPr>
          <w:rFonts w:cs="FrankRuehl" w:hint="cs"/>
          <w:sz w:val="26"/>
          <w:szCs w:val="26"/>
          <w:rtl/>
        </w:rPr>
        <w:t>.</w:t>
      </w:r>
    </w:p>
    <w:p w:rsidR="00FC36CE" w:rsidRDefault="00FC36CE" w:rsidP="00C0712C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מתן אפשרות לחברות הנרכשות לגייס מקו</w:t>
      </w:r>
      <w:r w:rsidR="00C0712C">
        <w:rPr>
          <w:rFonts w:cs="FrankRuehl" w:hint="cs"/>
          <w:sz w:val="26"/>
          <w:szCs w:val="26"/>
          <w:rtl/>
        </w:rPr>
        <w:t>רות עצמאיים (מצריך תיקון חקיקה</w:t>
      </w:r>
      <w:r w:rsidRPr="00C0712C">
        <w:rPr>
          <w:rFonts w:cs="FrankRuehl" w:hint="cs"/>
          <w:sz w:val="26"/>
          <w:szCs w:val="26"/>
          <w:rtl/>
        </w:rPr>
        <w:t>)</w:t>
      </w:r>
      <w:r w:rsidR="00C0712C">
        <w:rPr>
          <w:rFonts w:cs="FrankRuehl" w:hint="cs"/>
          <w:sz w:val="26"/>
          <w:szCs w:val="26"/>
          <w:rtl/>
        </w:rPr>
        <w:t>.</w:t>
      </w:r>
    </w:p>
    <w:p w:rsidR="00C0712C" w:rsidRDefault="00FC36CE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הוצגו תנאים משלימים לחלופה</w:t>
      </w:r>
    </w:p>
    <w:p w:rsidR="00C0712C" w:rsidRDefault="00FC36CE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הוצגו הגורמים שיכולים לרכוש (גורם פרטי, ביזור אמצעי שליטה, מוסדיים קטנים).</w:t>
      </w:r>
    </w:p>
    <w:p w:rsidR="00C0712C" w:rsidRDefault="00FC36CE" w:rsidP="00C0712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C0712C">
        <w:rPr>
          <w:rFonts w:cs="FrankRuehl" w:hint="cs"/>
          <w:sz w:val="26"/>
          <w:szCs w:val="26"/>
          <w:rtl/>
        </w:rPr>
        <w:t>עוד צוין שהפיקוח עובד בימים אלה על הגד</w:t>
      </w:r>
      <w:r w:rsidR="006317B5" w:rsidRPr="00C0712C">
        <w:rPr>
          <w:rFonts w:cs="FrankRuehl" w:hint="cs"/>
          <w:sz w:val="26"/>
          <w:szCs w:val="26"/>
          <w:rtl/>
        </w:rPr>
        <w:t>רת קריטריונים לרכישת גרעין שליט</w:t>
      </w:r>
      <w:r w:rsidRPr="00C0712C">
        <w:rPr>
          <w:rFonts w:cs="FrankRuehl" w:hint="cs"/>
          <w:sz w:val="26"/>
          <w:szCs w:val="26"/>
          <w:rtl/>
        </w:rPr>
        <w:t>ה.</w:t>
      </w:r>
    </w:p>
    <w:p w:rsidR="006317B5" w:rsidRPr="001F29FC" w:rsidRDefault="007E6674" w:rsidP="001F29F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נאמר שמעבר לסליקה יומית (דביט) תוזיל מאוד את ההון הנדרש מסולקים, </w:t>
      </w:r>
      <w:r w:rsidR="004039A6">
        <w:rPr>
          <w:rFonts w:cs="FrankRuehl" w:hint="cs"/>
          <w:sz w:val="26"/>
          <w:szCs w:val="26"/>
          <w:rtl/>
        </w:rPr>
        <w:t xml:space="preserve">תקטין </w:t>
      </w:r>
      <w:r>
        <w:rPr>
          <w:rFonts w:cs="FrankRuehl" w:hint="cs"/>
          <w:sz w:val="26"/>
          <w:szCs w:val="26"/>
          <w:rtl/>
        </w:rPr>
        <w:t xml:space="preserve">את הסיכונים למערכת, </w:t>
      </w:r>
      <w:r w:rsidR="004039A6">
        <w:rPr>
          <w:rFonts w:cs="FrankRuehl" w:hint="cs"/>
          <w:sz w:val="26"/>
          <w:szCs w:val="26"/>
          <w:rtl/>
        </w:rPr>
        <w:t xml:space="preserve">תאפשר </w:t>
      </w:r>
      <w:r>
        <w:rPr>
          <w:rFonts w:cs="FrankRuehl" w:hint="cs"/>
          <w:sz w:val="26"/>
          <w:szCs w:val="26"/>
          <w:rtl/>
        </w:rPr>
        <w:t xml:space="preserve">הגדלה של האשראי הקמעונאי </w:t>
      </w:r>
      <w:r w:rsidR="004039A6">
        <w:rPr>
          <w:rFonts w:cs="FrankRuehl" w:hint="cs"/>
          <w:sz w:val="26"/>
          <w:szCs w:val="26"/>
          <w:rtl/>
        </w:rPr>
        <w:t xml:space="preserve">ותפחית </w:t>
      </w:r>
      <w:r>
        <w:rPr>
          <w:rFonts w:cs="FrankRuehl" w:hint="cs"/>
          <w:sz w:val="26"/>
          <w:szCs w:val="26"/>
          <w:rtl/>
        </w:rPr>
        <w:t xml:space="preserve">את המחירים במשק. </w:t>
      </w:r>
      <w:r w:rsidR="004039A6">
        <w:rPr>
          <w:rFonts w:cs="FrankRuehl" w:hint="cs"/>
          <w:sz w:val="26"/>
          <w:szCs w:val="26"/>
          <w:rtl/>
        </w:rPr>
        <w:t>מנגד נטעו כי ניתן לא בהכרח שהמעבר לסליקה יומית בעסקאות חיוב נדחה יגדילו את תועלת הצרכן. עוד נאמר כי בעסקאות חיוב מידי הסליקה תהיה יומית.</w:t>
      </w:r>
      <w:bookmarkStart w:id="0" w:name="_GoBack"/>
      <w:bookmarkEnd w:id="0"/>
    </w:p>
    <w:p w:rsidR="006317B5" w:rsidRPr="00C0712C" w:rsidRDefault="006317B5" w:rsidP="00C0712C">
      <w:pPr>
        <w:pStyle w:val="a3"/>
        <w:spacing w:line="360" w:lineRule="auto"/>
        <w:ind w:left="1440"/>
        <w:jc w:val="both"/>
        <w:rPr>
          <w:rFonts w:cs="FrankRuehl"/>
          <w:sz w:val="26"/>
          <w:szCs w:val="26"/>
        </w:rPr>
      </w:pPr>
    </w:p>
    <w:p w:rsidR="00FC36CE" w:rsidRPr="00C0712C" w:rsidRDefault="00FC36CE" w:rsidP="00C0712C">
      <w:pPr>
        <w:pStyle w:val="a3"/>
        <w:numPr>
          <w:ilvl w:val="0"/>
          <w:numId w:val="9"/>
        </w:num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יו"ר הוועדה, דרור שטרום הודה למשתתפים ונעל את הישיבה.</w:t>
      </w:r>
      <w:r w:rsidR="00EB6C8B">
        <w:rPr>
          <w:rFonts w:cs="FrankRuehl" w:hint="cs"/>
          <w:sz w:val="26"/>
          <w:szCs w:val="26"/>
          <w:rtl/>
        </w:rPr>
        <w:t xml:space="preserve"> </w:t>
      </w:r>
    </w:p>
    <w:p w:rsidR="002024DD" w:rsidRPr="00C0712C" w:rsidRDefault="002024DD" w:rsidP="00C0712C">
      <w:pPr>
        <w:pStyle w:val="a3"/>
        <w:spacing w:line="360" w:lineRule="auto"/>
        <w:jc w:val="both"/>
        <w:rPr>
          <w:rFonts w:cs="FrankRuehl"/>
          <w:sz w:val="26"/>
          <w:szCs w:val="26"/>
          <w:rtl/>
        </w:rPr>
      </w:pPr>
    </w:p>
    <w:p w:rsidR="00807A43" w:rsidRPr="00C0712C" w:rsidRDefault="001F29FC" w:rsidP="00C0712C">
      <w:pPr>
        <w:spacing w:line="360" w:lineRule="auto"/>
        <w:jc w:val="both"/>
        <w:rPr>
          <w:rFonts w:cs="FrankRuehl"/>
          <w:sz w:val="26"/>
          <w:szCs w:val="26"/>
        </w:rPr>
      </w:pPr>
    </w:p>
    <w:sectPr w:rsidR="00807A43" w:rsidRPr="00C0712C" w:rsidSect="00A540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37C"/>
    <w:multiLevelType w:val="hybridMultilevel"/>
    <w:tmpl w:val="D1A66A9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2E580C"/>
    <w:multiLevelType w:val="hybridMultilevel"/>
    <w:tmpl w:val="F5EE55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1566EA"/>
    <w:multiLevelType w:val="hybridMultilevel"/>
    <w:tmpl w:val="D658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E0D68"/>
    <w:multiLevelType w:val="hybridMultilevel"/>
    <w:tmpl w:val="E1A8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804147"/>
    <w:multiLevelType w:val="hybridMultilevel"/>
    <w:tmpl w:val="E716D6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62F3CBE"/>
    <w:multiLevelType w:val="hybridMultilevel"/>
    <w:tmpl w:val="F3D2435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FF939BB"/>
    <w:multiLevelType w:val="hybridMultilevel"/>
    <w:tmpl w:val="CE96D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43943"/>
    <w:multiLevelType w:val="hybridMultilevel"/>
    <w:tmpl w:val="2232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84920"/>
    <w:multiLevelType w:val="hybridMultilevel"/>
    <w:tmpl w:val="4C12D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9"/>
    <w:rsid w:val="0007190E"/>
    <w:rsid w:val="001F29FC"/>
    <w:rsid w:val="002024DD"/>
    <w:rsid w:val="00281199"/>
    <w:rsid w:val="00355794"/>
    <w:rsid w:val="003E06A2"/>
    <w:rsid w:val="004039A6"/>
    <w:rsid w:val="0041460E"/>
    <w:rsid w:val="004D56C5"/>
    <w:rsid w:val="005741F8"/>
    <w:rsid w:val="006317B5"/>
    <w:rsid w:val="00664BDD"/>
    <w:rsid w:val="006B123C"/>
    <w:rsid w:val="007008C6"/>
    <w:rsid w:val="0071057A"/>
    <w:rsid w:val="007224EB"/>
    <w:rsid w:val="007E6674"/>
    <w:rsid w:val="00921E09"/>
    <w:rsid w:val="00A540C0"/>
    <w:rsid w:val="00A65E1F"/>
    <w:rsid w:val="00C0712C"/>
    <w:rsid w:val="00C56B9D"/>
    <w:rsid w:val="00E56DB9"/>
    <w:rsid w:val="00EB6C8B"/>
    <w:rsid w:val="00EC0EC6"/>
    <w:rsid w:val="00FC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E6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E6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GovXID xmlns="a46656d4-8850-49b3-aebd-68bd05f7f43d">12</GovXID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_x05e9__x05d9__x05d5__x05da__x0020__x05dc__x05e0__x05d5__x05e9__x05d0_ xmlns="47aeb57d-f743-4542-a0d0-16c68b2994f6">סיכומי דיון</_x05e9__x05d9__x05d5__x05da__x0020__x05dc__x05e0__x05d5__x05e9__x05d0_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9D2433237DFF5428C9E5887A8C50414" ma:contentTypeVersion="2" ma:contentTypeDescription="צור מסמך חדש." ma:contentTypeScope="" ma:versionID="48860bf71c3e2a1bea0552dcaa211d11">
  <xsd:schema xmlns:xsd="http://www.w3.org/2001/XMLSchema" xmlns:xs="http://www.w3.org/2001/XMLSchema" xmlns:p="http://schemas.microsoft.com/office/2006/metadata/properties" xmlns:ns2="a46656d4-8850-49b3-aebd-68bd05f7f43d" xmlns:ns3="47aeb57d-f743-4542-a0d0-16c68b2994f6" targetNamespace="http://schemas.microsoft.com/office/2006/metadata/properties" ma:root="true" ma:fieldsID="e781744c035f65d92a82381bc150b978" ns2:_="" ns3:_="">
    <xsd:import namespace="a46656d4-8850-49b3-aebd-68bd05f7f43d"/>
    <xsd:import namespace="47aeb57d-f743-4542-a0d0-16c68b2994f6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3:_x05e9__x05d9__x05d5__x05da__x0020__x05dc__x05e0__x05d5__x05e9__x05d0_" minOccurs="0"/>
                <xsd:element ref="ns2:Gov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  <xsd:element name="GovXID" ma:index="33" nillable="true" ma:displayName="מיון" ma:internalName="GovX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b57d-f743-4542-a0d0-16c68b2994f6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dc__x05e0__x05d5__x05e9__x05d0_" ma:index="32" nillable="true" ma:displayName="שיוך לנושא" ma:default="ניירות עמדה 2" ma:format="Dropdown" ma:internalName="_x05e9__x05d9__x05d5__x05da__x0020__x05dc__x05e0__x05d5__x05e9__x05d0_">
      <xsd:simpleType>
        <xsd:restriction base="dms:Choice">
          <xsd:enumeration value="כתב מינוי"/>
          <xsd:enumeration value="דוח הביניים"/>
          <xsd:enumeration value="פניה לקבלת עמדות"/>
          <xsd:enumeration value="סיכומי דיון"/>
          <xsd:enumeration value="ניירות עמדה"/>
          <xsd:enumeration value="ניירות עמדה 2"/>
          <xsd:enumeration value="מצג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84989-A48A-4836-BDE6-35E8F9D5EC0B}"/>
</file>

<file path=customXml/itemProps2.xml><?xml version="1.0" encoding="utf-8"?>
<ds:datastoreItem xmlns:ds="http://schemas.openxmlformats.org/officeDocument/2006/customXml" ds:itemID="{077FC6A6-6571-4206-B423-F06196F822ED}"/>
</file>

<file path=customXml/itemProps3.xml><?xml version="1.0" encoding="utf-8"?>
<ds:datastoreItem xmlns:ds="http://schemas.openxmlformats.org/officeDocument/2006/customXml" ds:itemID="{EC0BA159-F1FD-4516-9547-E4FA611E2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דיון 06.09.2015</dc:title>
  <dc:creator>מעבדה טכני</dc:creator>
  <cp:lastModifiedBy>אבי כהן</cp:lastModifiedBy>
  <cp:revision>7</cp:revision>
  <dcterms:created xsi:type="dcterms:W3CDTF">2015-10-19T12:19:00Z</dcterms:created>
  <dcterms:modified xsi:type="dcterms:W3CDTF">2016-01-05T17:55:00Z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0x010100D9D2433237DFF5428C9E5887A8C50414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JobDescription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LiveEvent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ResponsibleOffice">
    <vt:lpwstr/>
  </property>
</Properties>
</file>