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71C" w:rsidRPr="00C36EC2" w:rsidRDefault="0062371C" w:rsidP="0062371C">
      <w:pPr>
        <w:jc w:val="both"/>
        <w:rPr>
          <w:rFonts w:cs="FrankRuehl"/>
          <w:b/>
          <w:bCs/>
          <w:sz w:val="28"/>
          <w:szCs w:val="28"/>
          <w:u w:val="single"/>
          <w:rtl/>
        </w:rPr>
      </w:pPr>
      <w:r w:rsidRPr="00C36EC2">
        <w:rPr>
          <w:rFonts w:cs="FrankRuehl" w:hint="cs"/>
          <w:b/>
          <w:bCs/>
          <w:sz w:val="28"/>
          <w:szCs w:val="28"/>
          <w:u w:val="single"/>
          <w:rtl/>
        </w:rPr>
        <w:t xml:space="preserve">הוועדה להגברת התחרות בשירותים בנקאיים ופיננסים נפוצים </w:t>
      </w:r>
    </w:p>
    <w:p w:rsidR="0062371C" w:rsidRPr="00C36EC2" w:rsidRDefault="009137C2" w:rsidP="0062371C">
      <w:pPr>
        <w:jc w:val="both"/>
        <w:rPr>
          <w:rFonts w:cs="FrankRuehl"/>
          <w:b/>
          <w:bCs/>
          <w:sz w:val="28"/>
          <w:szCs w:val="28"/>
          <w:u w:val="single"/>
          <w:rtl/>
        </w:rPr>
      </w:pPr>
      <w:r>
        <w:rPr>
          <w:rFonts w:cs="FrankRuehl" w:hint="cs"/>
          <w:b/>
          <w:bCs/>
          <w:sz w:val="28"/>
          <w:szCs w:val="28"/>
          <w:u w:val="single"/>
          <w:rtl/>
        </w:rPr>
        <w:t>1.11.2015</w:t>
      </w:r>
    </w:p>
    <w:p w:rsidR="0062371C" w:rsidRPr="00C36EC2" w:rsidRDefault="0062371C" w:rsidP="0062371C">
      <w:pPr>
        <w:jc w:val="both"/>
        <w:rPr>
          <w:rFonts w:cs="FrankRuehl"/>
          <w:sz w:val="28"/>
          <w:szCs w:val="28"/>
          <w:u w:val="single"/>
          <w:rtl/>
        </w:rPr>
      </w:pPr>
      <w:r w:rsidRPr="00C36EC2">
        <w:rPr>
          <w:rFonts w:cs="FrankRuehl" w:hint="cs"/>
          <w:sz w:val="28"/>
          <w:szCs w:val="28"/>
          <w:u w:val="single"/>
          <w:rtl/>
        </w:rPr>
        <w:t>חברי הוועדה המשתתפים:</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מר דרור שטרום, יושב ראש הוועדה</w:t>
      </w:r>
    </w:p>
    <w:p w:rsidR="0062371C" w:rsidRPr="00C0712C" w:rsidRDefault="0062371C" w:rsidP="0062371C">
      <w:pPr>
        <w:spacing w:line="360" w:lineRule="auto"/>
        <w:jc w:val="both"/>
        <w:rPr>
          <w:rFonts w:cs="FrankRuehl"/>
          <w:sz w:val="26"/>
          <w:szCs w:val="26"/>
          <w:rtl/>
        </w:rPr>
      </w:pPr>
      <w:proofErr w:type="spellStart"/>
      <w:r w:rsidRPr="00C0712C">
        <w:rPr>
          <w:rFonts w:cs="FrankRuehl" w:hint="cs"/>
          <w:sz w:val="26"/>
          <w:szCs w:val="26"/>
          <w:rtl/>
        </w:rPr>
        <w:t>פרופ</w:t>
      </w:r>
      <w:proofErr w:type="spellEnd"/>
      <w:r w:rsidRPr="00C0712C">
        <w:rPr>
          <w:rFonts w:cs="FrankRuehl" w:hint="cs"/>
          <w:sz w:val="26"/>
          <w:szCs w:val="26"/>
          <w:rtl/>
        </w:rPr>
        <w:t>', אבי בן בסט, האוניברסיטה העברית והמכללה למנהל</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ד"ר נדין בודו-טרכטנברג, המשנה לנגידת בנק ישראל, בנק ישראל</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פרופ' נתן זוסמן, ראש חטיבת המחקר, בנק ישראל</w:t>
      </w:r>
      <w:r w:rsidR="0074123D">
        <w:rPr>
          <w:rFonts w:cs="FrankRuehl" w:hint="cs"/>
          <w:sz w:val="26"/>
          <w:szCs w:val="26"/>
          <w:rtl/>
        </w:rPr>
        <w:t xml:space="preserve"> </w:t>
      </w:r>
    </w:p>
    <w:p w:rsidR="0062371C" w:rsidRDefault="0062371C" w:rsidP="0062371C">
      <w:pPr>
        <w:spacing w:line="360" w:lineRule="auto"/>
        <w:jc w:val="both"/>
        <w:rPr>
          <w:rFonts w:cs="FrankRuehl"/>
          <w:sz w:val="26"/>
          <w:szCs w:val="26"/>
          <w:rtl/>
        </w:rPr>
      </w:pPr>
      <w:r w:rsidRPr="00C0712C">
        <w:rPr>
          <w:rFonts w:cs="FrankRuehl" w:hint="cs"/>
          <w:sz w:val="26"/>
          <w:szCs w:val="26"/>
          <w:rtl/>
        </w:rPr>
        <w:t>גב' יעל מבורך, סגנית הממונה על התקציבים</w:t>
      </w:r>
    </w:p>
    <w:p w:rsidR="0062371C" w:rsidRDefault="0062371C" w:rsidP="009137C2">
      <w:pPr>
        <w:spacing w:line="360" w:lineRule="auto"/>
        <w:jc w:val="both"/>
        <w:rPr>
          <w:rFonts w:cs="FrankRuehl"/>
          <w:sz w:val="26"/>
          <w:szCs w:val="26"/>
          <w:rtl/>
        </w:rPr>
      </w:pPr>
      <w:r>
        <w:rPr>
          <w:rFonts w:cs="FrankRuehl" w:hint="cs"/>
          <w:sz w:val="26"/>
          <w:szCs w:val="26"/>
          <w:rtl/>
        </w:rPr>
        <w:t xml:space="preserve">עו"ד ארץ </w:t>
      </w:r>
      <w:proofErr w:type="spellStart"/>
      <w:r>
        <w:rPr>
          <w:rFonts w:cs="FrankRuehl" w:hint="cs"/>
          <w:sz w:val="26"/>
          <w:szCs w:val="26"/>
          <w:rtl/>
        </w:rPr>
        <w:t>קמינץ</w:t>
      </w:r>
      <w:proofErr w:type="spellEnd"/>
      <w:r>
        <w:rPr>
          <w:rFonts w:cs="FrankRuehl" w:hint="cs"/>
          <w:sz w:val="26"/>
          <w:szCs w:val="26"/>
          <w:rtl/>
        </w:rPr>
        <w:t>, משנה ליועמ"ש, משרד המשפטים</w:t>
      </w:r>
    </w:p>
    <w:p w:rsidR="004E4D97" w:rsidRPr="00C0712C" w:rsidRDefault="003412AE" w:rsidP="004E4D97">
      <w:pPr>
        <w:spacing w:line="360" w:lineRule="auto"/>
        <w:jc w:val="both"/>
        <w:rPr>
          <w:rFonts w:cs="FrankRuehl"/>
          <w:sz w:val="26"/>
          <w:szCs w:val="26"/>
          <w:rtl/>
        </w:rPr>
      </w:pPr>
      <w:r>
        <w:rPr>
          <w:rFonts w:cs="FrankRuehl" w:hint="cs"/>
          <w:sz w:val="26"/>
          <w:szCs w:val="26"/>
          <w:rtl/>
        </w:rPr>
        <w:t xml:space="preserve">ד"ר </w:t>
      </w:r>
      <w:r w:rsidR="004E4D97" w:rsidRPr="00C0712C">
        <w:rPr>
          <w:rFonts w:cs="FrankRuehl" w:hint="cs"/>
          <w:sz w:val="26"/>
          <w:szCs w:val="26"/>
          <w:rtl/>
        </w:rPr>
        <w:t>אסף אילת, הרשות להגבלים עסקיים</w:t>
      </w:r>
    </w:p>
    <w:p w:rsidR="0062371C" w:rsidRPr="00C0712C" w:rsidRDefault="0062371C" w:rsidP="0062371C">
      <w:pPr>
        <w:spacing w:line="360" w:lineRule="auto"/>
        <w:jc w:val="both"/>
        <w:rPr>
          <w:rFonts w:cs="FrankRuehl"/>
          <w:sz w:val="26"/>
          <w:szCs w:val="26"/>
          <w:u w:val="single"/>
          <w:rtl/>
        </w:rPr>
      </w:pPr>
      <w:r w:rsidRPr="00C0712C">
        <w:rPr>
          <w:rFonts w:cs="FrankRuehl" w:hint="cs"/>
          <w:sz w:val="26"/>
          <w:szCs w:val="26"/>
          <w:u w:val="single"/>
          <w:rtl/>
        </w:rPr>
        <w:t>נציגים:</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יונתן בר סימן טוב, משרד האוצר</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 xml:space="preserve">כפיר </w:t>
      </w:r>
      <w:proofErr w:type="spellStart"/>
      <w:r w:rsidRPr="00C0712C">
        <w:rPr>
          <w:rFonts w:cs="FrankRuehl" w:hint="cs"/>
          <w:sz w:val="26"/>
          <w:szCs w:val="26"/>
          <w:rtl/>
        </w:rPr>
        <w:t>בטט</w:t>
      </w:r>
      <w:proofErr w:type="spellEnd"/>
      <w:r w:rsidRPr="00C0712C">
        <w:rPr>
          <w:rFonts w:cs="FrankRuehl" w:hint="cs"/>
          <w:sz w:val="26"/>
          <w:szCs w:val="26"/>
          <w:rtl/>
        </w:rPr>
        <w:t>, משרד האוצר</w:t>
      </w:r>
    </w:p>
    <w:p w:rsidR="0062371C" w:rsidRPr="00C0712C" w:rsidRDefault="0062371C" w:rsidP="0062371C">
      <w:pPr>
        <w:spacing w:line="360" w:lineRule="auto"/>
        <w:jc w:val="both"/>
        <w:rPr>
          <w:rFonts w:cs="FrankRuehl"/>
          <w:sz w:val="26"/>
          <w:szCs w:val="26"/>
          <w:rtl/>
        </w:rPr>
      </w:pPr>
      <w:r w:rsidRPr="00C0712C">
        <w:rPr>
          <w:rFonts w:cs="FrankRuehl" w:hint="cs"/>
          <w:sz w:val="26"/>
          <w:szCs w:val="26"/>
          <w:rtl/>
        </w:rPr>
        <w:t>רויטל קיסר, בנק ישראל</w:t>
      </w:r>
    </w:p>
    <w:p w:rsidR="0062371C" w:rsidRDefault="0062371C" w:rsidP="0062371C">
      <w:pPr>
        <w:spacing w:line="360" w:lineRule="auto"/>
        <w:jc w:val="both"/>
        <w:rPr>
          <w:rFonts w:cs="FrankRuehl"/>
          <w:sz w:val="26"/>
          <w:szCs w:val="26"/>
          <w:rtl/>
        </w:rPr>
      </w:pPr>
      <w:r w:rsidRPr="00C0712C">
        <w:rPr>
          <w:rFonts w:cs="FrankRuehl" w:hint="cs"/>
          <w:sz w:val="26"/>
          <w:szCs w:val="26"/>
          <w:rtl/>
        </w:rPr>
        <w:t xml:space="preserve">ליאור </w:t>
      </w:r>
      <w:proofErr w:type="spellStart"/>
      <w:r w:rsidRPr="00C0712C">
        <w:rPr>
          <w:rFonts w:cs="FrankRuehl" w:hint="cs"/>
          <w:sz w:val="26"/>
          <w:szCs w:val="26"/>
          <w:rtl/>
        </w:rPr>
        <w:t>תבורי</w:t>
      </w:r>
      <w:proofErr w:type="spellEnd"/>
    </w:p>
    <w:p w:rsidR="004E4D97" w:rsidRDefault="004E4D97" w:rsidP="0062371C">
      <w:pPr>
        <w:spacing w:line="360" w:lineRule="auto"/>
        <w:jc w:val="both"/>
        <w:rPr>
          <w:rFonts w:cs="FrankRuehl"/>
          <w:sz w:val="26"/>
          <w:szCs w:val="26"/>
          <w:rtl/>
        </w:rPr>
      </w:pPr>
    </w:p>
    <w:p w:rsidR="004E4D97" w:rsidRDefault="004E4D97" w:rsidP="0062371C">
      <w:pPr>
        <w:spacing w:line="360" w:lineRule="auto"/>
        <w:jc w:val="both"/>
        <w:rPr>
          <w:rFonts w:cs="FrankRuehl"/>
          <w:sz w:val="26"/>
          <w:szCs w:val="26"/>
          <w:rtl/>
        </w:rPr>
      </w:pPr>
    </w:p>
    <w:p w:rsidR="004E4D97" w:rsidRDefault="004E4D97" w:rsidP="0062371C">
      <w:pPr>
        <w:spacing w:line="360" w:lineRule="auto"/>
        <w:jc w:val="both"/>
        <w:rPr>
          <w:rFonts w:cs="FrankRuehl"/>
          <w:sz w:val="26"/>
          <w:szCs w:val="26"/>
          <w:rtl/>
        </w:rPr>
      </w:pPr>
    </w:p>
    <w:p w:rsidR="004E4D97" w:rsidRDefault="004E4D97" w:rsidP="0062371C">
      <w:pPr>
        <w:spacing w:line="360" w:lineRule="auto"/>
        <w:jc w:val="both"/>
        <w:rPr>
          <w:rFonts w:cs="FrankRuehl"/>
          <w:sz w:val="26"/>
          <w:szCs w:val="26"/>
          <w:rtl/>
        </w:rPr>
      </w:pPr>
    </w:p>
    <w:p w:rsidR="004E4D97" w:rsidRDefault="004E4D97" w:rsidP="0062371C">
      <w:pPr>
        <w:spacing w:line="360" w:lineRule="auto"/>
        <w:jc w:val="both"/>
        <w:rPr>
          <w:rFonts w:cs="FrankRuehl"/>
          <w:sz w:val="26"/>
          <w:szCs w:val="26"/>
          <w:rtl/>
        </w:rPr>
      </w:pPr>
    </w:p>
    <w:p w:rsidR="004E4D97" w:rsidRDefault="004E4D97" w:rsidP="0062371C">
      <w:pPr>
        <w:spacing w:line="360" w:lineRule="auto"/>
        <w:jc w:val="both"/>
        <w:rPr>
          <w:rFonts w:cs="FrankRuehl"/>
          <w:sz w:val="26"/>
          <w:szCs w:val="26"/>
          <w:rtl/>
        </w:rPr>
      </w:pPr>
    </w:p>
    <w:p w:rsidR="004E4D97" w:rsidRDefault="004E4D97" w:rsidP="0062371C">
      <w:pPr>
        <w:spacing w:line="360" w:lineRule="auto"/>
        <w:jc w:val="both"/>
        <w:rPr>
          <w:rFonts w:cs="FrankRuehl"/>
          <w:sz w:val="26"/>
          <w:szCs w:val="26"/>
          <w:rtl/>
        </w:rPr>
      </w:pPr>
    </w:p>
    <w:p w:rsidR="004E4D97" w:rsidRDefault="004E4D97" w:rsidP="0062371C">
      <w:pPr>
        <w:spacing w:line="360" w:lineRule="auto"/>
        <w:jc w:val="both"/>
        <w:rPr>
          <w:rFonts w:cs="FrankRuehl"/>
          <w:sz w:val="26"/>
          <w:szCs w:val="26"/>
          <w:rtl/>
        </w:rPr>
      </w:pPr>
    </w:p>
    <w:p w:rsidR="004E4D97" w:rsidRDefault="004E4D97" w:rsidP="0062371C">
      <w:pPr>
        <w:spacing w:line="360" w:lineRule="auto"/>
        <w:jc w:val="both"/>
        <w:rPr>
          <w:rFonts w:cs="FrankRuehl"/>
          <w:sz w:val="26"/>
          <w:szCs w:val="26"/>
          <w:rtl/>
        </w:rPr>
      </w:pPr>
    </w:p>
    <w:p w:rsidR="009137C2" w:rsidRPr="00C36EC2" w:rsidRDefault="009137C2" w:rsidP="009137C2">
      <w:pPr>
        <w:spacing w:line="360" w:lineRule="auto"/>
        <w:jc w:val="both"/>
        <w:rPr>
          <w:rFonts w:cs="FrankRuehl"/>
          <w:b/>
          <w:bCs/>
          <w:sz w:val="28"/>
          <w:szCs w:val="28"/>
          <w:u w:val="single"/>
          <w:rtl/>
        </w:rPr>
      </w:pPr>
      <w:r w:rsidRPr="00C36EC2">
        <w:rPr>
          <w:rFonts w:cs="FrankRuehl" w:hint="cs"/>
          <w:b/>
          <w:bCs/>
          <w:sz w:val="28"/>
          <w:szCs w:val="28"/>
          <w:u w:val="single"/>
          <w:rtl/>
        </w:rPr>
        <w:lastRenderedPageBreak/>
        <w:t xml:space="preserve">סיכום דיון </w:t>
      </w:r>
    </w:p>
    <w:p w:rsidR="009137C2" w:rsidRDefault="009137C2" w:rsidP="009137C2">
      <w:pPr>
        <w:pStyle w:val="a3"/>
        <w:numPr>
          <w:ilvl w:val="0"/>
          <w:numId w:val="1"/>
        </w:numPr>
        <w:spacing w:line="360" w:lineRule="auto"/>
        <w:jc w:val="both"/>
        <w:rPr>
          <w:rFonts w:cs="FrankRuehl"/>
          <w:sz w:val="28"/>
          <w:szCs w:val="28"/>
        </w:rPr>
      </w:pPr>
      <w:r w:rsidRPr="00C36EC2">
        <w:rPr>
          <w:rFonts w:cs="FrankRuehl" w:hint="cs"/>
          <w:sz w:val="28"/>
          <w:szCs w:val="28"/>
          <w:rtl/>
        </w:rPr>
        <w:t>יו"ר הוועדה, דרור שטרום, פתח והציג את נושא</w:t>
      </w:r>
      <w:r>
        <w:rPr>
          <w:rFonts w:cs="FrankRuehl" w:hint="cs"/>
          <w:sz w:val="28"/>
          <w:szCs w:val="28"/>
          <w:rtl/>
        </w:rPr>
        <w:t>י הדיון להיום, מיפוי הנקודות במחלוקת ושרטוט החלופות הקיימות.</w:t>
      </w:r>
    </w:p>
    <w:p w:rsidR="009137C2" w:rsidRDefault="004237B7" w:rsidP="009137C2">
      <w:pPr>
        <w:pStyle w:val="a3"/>
        <w:numPr>
          <w:ilvl w:val="0"/>
          <w:numId w:val="1"/>
        </w:numPr>
        <w:spacing w:line="360" w:lineRule="auto"/>
        <w:jc w:val="both"/>
        <w:rPr>
          <w:rFonts w:cs="FrankRuehl"/>
          <w:sz w:val="28"/>
          <w:szCs w:val="28"/>
        </w:rPr>
      </w:pPr>
      <w:r>
        <w:rPr>
          <w:rFonts w:cs="FrankRuehl" w:hint="cs"/>
          <w:sz w:val="28"/>
          <w:szCs w:val="28"/>
          <w:rtl/>
        </w:rPr>
        <w:t>סוגיית המחלוקת הראשונה שנידונה הינה סוגיית הפיקוח על חברות כרטיסי אשראי.</w:t>
      </w:r>
    </w:p>
    <w:p w:rsidR="004237B7" w:rsidRDefault="004237B7" w:rsidP="004237B7">
      <w:pPr>
        <w:pStyle w:val="a3"/>
        <w:numPr>
          <w:ilvl w:val="1"/>
          <w:numId w:val="1"/>
        </w:numPr>
        <w:spacing w:line="360" w:lineRule="auto"/>
        <w:jc w:val="both"/>
        <w:rPr>
          <w:rFonts w:cs="FrankRuehl"/>
          <w:sz w:val="28"/>
          <w:szCs w:val="28"/>
        </w:rPr>
      </w:pPr>
      <w:r>
        <w:rPr>
          <w:rFonts w:cs="FrankRuehl" w:hint="cs"/>
          <w:sz w:val="28"/>
          <w:szCs w:val="28"/>
          <w:rtl/>
        </w:rPr>
        <w:t>הוצגו שלוש חלופות עיקריות:</w:t>
      </w:r>
    </w:p>
    <w:p w:rsidR="004237B7" w:rsidRDefault="004237B7" w:rsidP="004237B7">
      <w:pPr>
        <w:pStyle w:val="a3"/>
        <w:numPr>
          <w:ilvl w:val="2"/>
          <w:numId w:val="1"/>
        </w:numPr>
        <w:spacing w:line="360" w:lineRule="auto"/>
        <w:jc w:val="both"/>
        <w:rPr>
          <w:rFonts w:cs="FrankRuehl"/>
          <w:sz w:val="28"/>
          <w:szCs w:val="28"/>
        </w:rPr>
      </w:pPr>
      <w:r>
        <w:rPr>
          <w:rFonts w:cs="FrankRuehl" w:hint="cs"/>
          <w:sz w:val="28"/>
          <w:szCs w:val="28"/>
          <w:rtl/>
        </w:rPr>
        <w:t>כלל הפיקוח והרגולציה על חברות כרטיסי האשראי ייעשה בבנק ישראל</w:t>
      </w:r>
    </w:p>
    <w:p w:rsidR="004237B7" w:rsidRDefault="004237B7" w:rsidP="004237B7">
      <w:pPr>
        <w:pStyle w:val="a3"/>
        <w:numPr>
          <w:ilvl w:val="2"/>
          <w:numId w:val="1"/>
        </w:numPr>
        <w:spacing w:line="360" w:lineRule="auto"/>
        <w:jc w:val="both"/>
        <w:rPr>
          <w:rFonts w:cs="FrankRuehl"/>
          <w:sz w:val="28"/>
          <w:szCs w:val="28"/>
        </w:rPr>
      </w:pPr>
      <w:r>
        <w:rPr>
          <w:rFonts w:cs="FrankRuehl" w:hint="cs"/>
          <w:sz w:val="28"/>
          <w:szCs w:val="28"/>
          <w:rtl/>
        </w:rPr>
        <w:t xml:space="preserve">כלל הפיקוח והרגולציה על חברות כרטיסי האשראי ייעשה ע"י </w:t>
      </w:r>
      <w:proofErr w:type="spellStart"/>
      <w:r>
        <w:rPr>
          <w:rFonts w:cs="FrankRuehl" w:hint="cs"/>
          <w:sz w:val="28"/>
          <w:szCs w:val="28"/>
          <w:rtl/>
        </w:rPr>
        <w:t>רגולוטור</w:t>
      </w:r>
      <w:proofErr w:type="spellEnd"/>
      <w:r>
        <w:rPr>
          <w:rFonts w:cs="FrankRuehl" w:hint="cs"/>
          <w:sz w:val="28"/>
          <w:szCs w:val="28"/>
          <w:rtl/>
        </w:rPr>
        <w:t xml:space="preserve"> פיננסי אחר (בין אם בתוך משרד האוצר או כיחידה נפרדת) על בסיס עקרונות ה-</w:t>
      </w:r>
      <w:r>
        <w:rPr>
          <w:rFonts w:cs="FrankRuehl"/>
          <w:sz w:val="28"/>
          <w:szCs w:val="28"/>
        </w:rPr>
        <w:t>PSD</w:t>
      </w:r>
    </w:p>
    <w:p w:rsidR="004237B7" w:rsidRDefault="004237B7" w:rsidP="004237B7">
      <w:pPr>
        <w:pStyle w:val="a3"/>
        <w:numPr>
          <w:ilvl w:val="2"/>
          <w:numId w:val="1"/>
        </w:numPr>
        <w:spacing w:line="360" w:lineRule="auto"/>
        <w:jc w:val="both"/>
        <w:rPr>
          <w:rFonts w:cs="FrankRuehl"/>
          <w:sz w:val="28"/>
          <w:szCs w:val="28"/>
        </w:rPr>
      </w:pPr>
      <w:r>
        <w:rPr>
          <w:rFonts w:cs="FrankRuehl" w:hint="cs"/>
          <w:sz w:val="28"/>
          <w:szCs w:val="28"/>
          <w:rtl/>
        </w:rPr>
        <w:t>גרסה מעורבת בה הפיקוח על הסליקה נעשה בבנק ישראל ושאר הפעילות מפוקחת ע"י רגולטור פיננסי אחר (בין אם בתוך משרד האוצר או כיחידה נפרדת)</w:t>
      </w:r>
    </w:p>
    <w:p w:rsidR="004237B7" w:rsidRDefault="004237B7" w:rsidP="004237B7">
      <w:pPr>
        <w:pStyle w:val="a3"/>
        <w:numPr>
          <w:ilvl w:val="1"/>
          <w:numId w:val="1"/>
        </w:numPr>
        <w:spacing w:line="360" w:lineRule="auto"/>
        <w:jc w:val="both"/>
        <w:rPr>
          <w:rFonts w:cs="FrankRuehl"/>
          <w:sz w:val="28"/>
          <w:szCs w:val="28"/>
        </w:rPr>
      </w:pPr>
      <w:r>
        <w:rPr>
          <w:rFonts w:cs="FrankRuehl" w:hint="cs"/>
          <w:sz w:val="28"/>
          <w:szCs w:val="28"/>
          <w:rtl/>
        </w:rPr>
        <w:t>נשאלה השאלה איזה סוג של רגולציה יחיל בנק ישראל על חברות כרטיסי האשראי ובפרט מהו מודל הרגולציה המקלה אשר חשבו עליו נציגי הבנק.</w:t>
      </w:r>
    </w:p>
    <w:p w:rsidR="004237B7" w:rsidRDefault="004237B7" w:rsidP="00D12437">
      <w:pPr>
        <w:pStyle w:val="a3"/>
        <w:numPr>
          <w:ilvl w:val="1"/>
          <w:numId w:val="1"/>
        </w:numPr>
        <w:spacing w:line="360" w:lineRule="auto"/>
        <w:jc w:val="both"/>
        <w:rPr>
          <w:rFonts w:cs="FrankRuehl"/>
          <w:sz w:val="28"/>
          <w:szCs w:val="28"/>
        </w:rPr>
      </w:pPr>
      <w:r>
        <w:rPr>
          <w:rFonts w:cs="FrankRuehl" w:hint="cs"/>
          <w:sz w:val="28"/>
          <w:szCs w:val="28"/>
          <w:rtl/>
        </w:rPr>
        <w:t>נשאלה השאלה איזה מודל ישרת בצורה מיטבית את התחרות</w:t>
      </w:r>
      <w:r w:rsidR="00D12437">
        <w:rPr>
          <w:rFonts w:cs="FrankRuehl" w:hint="cs"/>
          <w:sz w:val="28"/>
          <w:szCs w:val="28"/>
          <w:rtl/>
        </w:rPr>
        <w:t xml:space="preserve"> וצוינה החשיבות של הרגולציה שתחול על אותם גופים על יכולתם להתחרות  בבנקים</w:t>
      </w:r>
      <w:r>
        <w:rPr>
          <w:rFonts w:cs="FrankRuehl" w:hint="cs"/>
          <w:sz w:val="28"/>
          <w:szCs w:val="28"/>
          <w:rtl/>
        </w:rPr>
        <w:t>.</w:t>
      </w:r>
    </w:p>
    <w:p w:rsidR="004237B7" w:rsidRDefault="004237B7" w:rsidP="00881FA7">
      <w:pPr>
        <w:pStyle w:val="a3"/>
        <w:numPr>
          <w:ilvl w:val="1"/>
          <w:numId w:val="1"/>
        </w:numPr>
        <w:spacing w:line="360" w:lineRule="auto"/>
        <w:jc w:val="both"/>
        <w:rPr>
          <w:rFonts w:cs="FrankRuehl"/>
          <w:sz w:val="28"/>
          <w:szCs w:val="28"/>
        </w:rPr>
      </w:pPr>
      <w:r>
        <w:rPr>
          <w:rFonts w:cs="FrankRuehl" w:hint="cs"/>
          <w:sz w:val="28"/>
          <w:szCs w:val="28"/>
          <w:rtl/>
        </w:rPr>
        <w:t xml:space="preserve">לא התקבלה החלטה לגבי מבנה הפיקוח </w:t>
      </w:r>
      <w:r w:rsidR="005F6949">
        <w:rPr>
          <w:rFonts w:cs="FrankRuehl" w:hint="cs"/>
          <w:sz w:val="28"/>
          <w:szCs w:val="28"/>
          <w:rtl/>
        </w:rPr>
        <w:t>הרצוי וסוכם</w:t>
      </w:r>
      <w:r w:rsidR="00881FA7">
        <w:rPr>
          <w:rFonts w:cs="FrankRuehl" w:hint="cs"/>
          <w:sz w:val="28"/>
          <w:szCs w:val="28"/>
          <w:rtl/>
        </w:rPr>
        <w:t xml:space="preserve"> כי</w:t>
      </w:r>
      <w:r w:rsidR="00881FA7" w:rsidRPr="00881FA7">
        <w:rPr>
          <w:rFonts w:cs="FrankRuehl" w:hint="cs"/>
          <w:sz w:val="28"/>
          <w:szCs w:val="28"/>
          <w:rtl/>
        </w:rPr>
        <w:t xml:space="preserve"> </w:t>
      </w:r>
      <w:r w:rsidR="00881FA7">
        <w:rPr>
          <w:rFonts w:cs="FrankRuehl" w:hint="cs"/>
          <w:sz w:val="28"/>
          <w:szCs w:val="28"/>
          <w:rtl/>
        </w:rPr>
        <w:t>הנושא יעלה לדיון פעם נוספת בישיבות הבאות.</w:t>
      </w:r>
    </w:p>
    <w:p w:rsidR="005F6949" w:rsidRDefault="005F6949" w:rsidP="005F6949">
      <w:pPr>
        <w:pStyle w:val="a3"/>
        <w:numPr>
          <w:ilvl w:val="0"/>
          <w:numId w:val="1"/>
        </w:numPr>
        <w:spacing w:line="360" w:lineRule="auto"/>
        <w:jc w:val="both"/>
        <w:rPr>
          <w:rFonts w:cs="FrankRuehl"/>
          <w:sz w:val="28"/>
          <w:szCs w:val="28"/>
        </w:rPr>
      </w:pPr>
      <w:r>
        <w:rPr>
          <w:rFonts w:cs="FrankRuehl" w:hint="cs"/>
          <w:sz w:val="28"/>
          <w:szCs w:val="28"/>
          <w:rtl/>
        </w:rPr>
        <w:t xml:space="preserve">סוגיית המחלוקת השנייה שנידונה הינה סוגיית הפרדת חברת </w:t>
      </w:r>
      <w:proofErr w:type="spellStart"/>
      <w:r>
        <w:rPr>
          <w:rFonts w:cs="FrankRuehl" w:hint="cs"/>
          <w:sz w:val="28"/>
          <w:szCs w:val="28"/>
          <w:rtl/>
        </w:rPr>
        <w:t>כ.א.ל</w:t>
      </w:r>
      <w:proofErr w:type="spellEnd"/>
      <w:r>
        <w:rPr>
          <w:rFonts w:cs="FrankRuehl" w:hint="cs"/>
          <w:sz w:val="28"/>
          <w:szCs w:val="28"/>
          <w:rtl/>
        </w:rPr>
        <w:t xml:space="preserve"> מדיסקונט</w:t>
      </w:r>
    </w:p>
    <w:p w:rsidR="005F6949" w:rsidRDefault="005F6949" w:rsidP="005F6949">
      <w:pPr>
        <w:pStyle w:val="a3"/>
        <w:numPr>
          <w:ilvl w:val="1"/>
          <w:numId w:val="1"/>
        </w:numPr>
        <w:spacing w:line="360" w:lineRule="auto"/>
        <w:jc w:val="both"/>
        <w:rPr>
          <w:rFonts w:cs="FrankRuehl"/>
          <w:sz w:val="28"/>
          <w:szCs w:val="28"/>
        </w:rPr>
      </w:pPr>
      <w:r>
        <w:rPr>
          <w:rFonts w:cs="FrankRuehl" w:hint="cs"/>
          <w:sz w:val="28"/>
          <w:szCs w:val="28"/>
          <w:rtl/>
        </w:rPr>
        <w:t>שתי עמדות מרכזיות הוצגו:</w:t>
      </w:r>
    </w:p>
    <w:p w:rsidR="005F6949" w:rsidRDefault="005F6949" w:rsidP="005F6949">
      <w:pPr>
        <w:pStyle w:val="a3"/>
        <w:numPr>
          <w:ilvl w:val="2"/>
          <w:numId w:val="1"/>
        </w:numPr>
        <w:spacing w:line="360" w:lineRule="auto"/>
        <w:jc w:val="both"/>
        <w:rPr>
          <w:rFonts w:cs="FrankRuehl"/>
          <w:sz w:val="28"/>
          <w:szCs w:val="28"/>
        </w:rPr>
      </w:pPr>
      <w:r>
        <w:rPr>
          <w:rFonts w:cs="FrankRuehl" w:hint="cs"/>
          <w:sz w:val="28"/>
          <w:szCs w:val="28"/>
          <w:rtl/>
        </w:rPr>
        <w:t>אין להפריד את החברה כיום:</w:t>
      </w:r>
    </w:p>
    <w:p w:rsidR="005F6949" w:rsidRDefault="005F6949" w:rsidP="005F6949">
      <w:pPr>
        <w:pStyle w:val="a3"/>
        <w:numPr>
          <w:ilvl w:val="3"/>
          <w:numId w:val="1"/>
        </w:numPr>
        <w:spacing w:line="360" w:lineRule="auto"/>
        <w:jc w:val="both"/>
        <w:rPr>
          <w:rFonts w:cs="FrankRuehl"/>
          <w:sz w:val="28"/>
          <w:szCs w:val="28"/>
        </w:rPr>
      </w:pPr>
      <w:r>
        <w:rPr>
          <w:rFonts w:cs="FrankRuehl" w:hint="cs"/>
          <w:sz w:val="28"/>
          <w:szCs w:val="28"/>
          <w:rtl/>
        </w:rPr>
        <w:t xml:space="preserve">יש לחזק את הבנקים הבינוניים אל מול הגדולים </w:t>
      </w:r>
    </w:p>
    <w:p w:rsidR="005F6949" w:rsidRDefault="005F6949" w:rsidP="005F6949">
      <w:pPr>
        <w:pStyle w:val="a3"/>
        <w:numPr>
          <w:ilvl w:val="3"/>
          <w:numId w:val="1"/>
        </w:numPr>
        <w:spacing w:line="360" w:lineRule="auto"/>
        <w:jc w:val="both"/>
        <w:rPr>
          <w:rFonts w:cs="FrankRuehl" w:hint="cs"/>
          <w:sz w:val="28"/>
          <w:szCs w:val="28"/>
        </w:rPr>
      </w:pPr>
      <w:r>
        <w:rPr>
          <w:rFonts w:cs="FrankRuehl" w:hint="cs"/>
          <w:sz w:val="28"/>
          <w:szCs w:val="28"/>
          <w:rtl/>
        </w:rPr>
        <w:t>הצעד של הפרדת החברות הינו גם ככה צעד חריף ויש לעשות אותו בזהירות ולכן יש להפריד בעת הזו רק שתי חברות, מהבנקים הגדולים, ולבחון בעוד כמה שנים את ההשפעה של כך על התחרות.</w:t>
      </w:r>
    </w:p>
    <w:p w:rsidR="00504C30" w:rsidRPr="00504C30" w:rsidRDefault="00504C30" w:rsidP="00504C30">
      <w:pPr>
        <w:pStyle w:val="a3"/>
        <w:numPr>
          <w:ilvl w:val="3"/>
          <w:numId w:val="1"/>
        </w:numPr>
        <w:spacing w:line="360" w:lineRule="auto"/>
        <w:jc w:val="both"/>
        <w:rPr>
          <w:rFonts w:cs="FrankRuehl"/>
          <w:sz w:val="28"/>
          <w:szCs w:val="28"/>
        </w:rPr>
      </w:pPr>
      <w:r>
        <w:rPr>
          <w:rFonts w:cs="FrankRuehl" w:hint="cs"/>
          <w:sz w:val="28"/>
          <w:szCs w:val="28"/>
          <w:rtl/>
        </w:rPr>
        <w:t>יש להתייחס למהותיות כאל עבור דיסקונט</w:t>
      </w:r>
    </w:p>
    <w:p w:rsidR="005F6949" w:rsidRDefault="005F6949" w:rsidP="005F6949">
      <w:pPr>
        <w:pStyle w:val="a3"/>
        <w:numPr>
          <w:ilvl w:val="2"/>
          <w:numId w:val="1"/>
        </w:numPr>
        <w:spacing w:line="360" w:lineRule="auto"/>
        <w:jc w:val="both"/>
        <w:rPr>
          <w:rFonts w:cs="FrankRuehl"/>
          <w:sz w:val="28"/>
          <w:szCs w:val="28"/>
        </w:rPr>
      </w:pPr>
      <w:r>
        <w:rPr>
          <w:rFonts w:cs="FrankRuehl" w:hint="cs"/>
          <w:sz w:val="28"/>
          <w:szCs w:val="28"/>
          <w:rtl/>
        </w:rPr>
        <w:t>יש להפריד את החברה כיום:</w:t>
      </w:r>
    </w:p>
    <w:p w:rsidR="00827736" w:rsidRDefault="00827736" w:rsidP="005F6949">
      <w:pPr>
        <w:pStyle w:val="a3"/>
        <w:numPr>
          <w:ilvl w:val="3"/>
          <w:numId w:val="1"/>
        </w:numPr>
        <w:spacing w:line="360" w:lineRule="auto"/>
        <w:jc w:val="both"/>
        <w:rPr>
          <w:rFonts w:cs="FrankRuehl"/>
          <w:sz w:val="28"/>
          <w:szCs w:val="28"/>
        </w:rPr>
      </w:pPr>
      <w:r>
        <w:rPr>
          <w:rFonts w:cs="FrankRuehl" w:hint="cs"/>
          <w:sz w:val="28"/>
          <w:szCs w:val="28"/>
          <w:rtl/>
        </w:rPr>
        <w:t xml:space="preserve">יש חשיבות רבה לריבוי שחקנים אשר יוכלו להוות "איום תחרותי" על המערכת הבנקאית. </w:t>
      </w:r>
    </w:p>
    <w:p w:rsidR="005F6949" w:rsidRDefault="005F6949" w:rsidP="00D12437">
      <w:pPr>
        <w:pStyle w:val="a3"/>
        <w:numPr>
          <w:ilvl w:val="3"/>
          <w:numId w:val="1"/>
        </w:numPr>
        <w:spacing w:line="360" w:lineRule="auto"/>
        <w:jc w:val="both"/>
        <w:rPr>
          <w:rFonts w:cs="FrankRuehl"/>
          <w:sz w:val="28"/>
          <w:szCs w:val="28"/>
        </w:rPr>
      </w:pPr>
      <w:r>
        <w:rPr>
          <w:rFonts w:cs="FrankRuehl" w:hint="cs"/>
          <w:sz w:val="28"/>
          <w:szCs w:val="28"/>
          <w:rtl/>
        </w:rPr>
        <w:lastRenderedPageBreak/>
        <w:t xml:space="preserve">יש </w:t>
      </w:r>
      <w:r w:rsidRPr="00FB081B">
        <w:rPr>
          <w:rFonts w:cs="FrankRuehl" w:hint="cs"/>
          <w:sz w:val="26"/>
          <w:szCs w:val="26"/>
          <w:rtl/>
        </w:rPr>
        <w:t xml:space="preserve">לחברת </w:t>
      </w:r>
      <w:proofErr w:type="spellStart"/>
      <w:r w:rsidRPr="00FB081B">
        <w:rPr>
          <w:rFonts w:cs="FrankRuehl" w:hint="cs"/>
          <w:sz w:val="26"/>
          <w:szCs w:val="26"/>
          <w:rtl/>
        </w:rPr>
        <w:t>כ.א.ל</w:t>
      </w:r>
      <w:proofErr w:type="spellEnd"/>
      <w:r w:rsidRPr="00FB081B">
        <w:rPr>
          <w:rFonts w:cs="FrankRuehl" w:hint="cs"/>
          <w:sz w:val="26"/>
          <w:szCs w:val="26"/>
          <w:rtl/>
        </w:rPr>
        <w:t xml:space="preserve"> ערך תחרותי גבוה יותר כחברה עצמאית מאשר כחברה בקבוצת דיסקונט</w:t>
      </w:r>
      <w:r w:rsidR="00D12437">
        <w:rPr>
          <w:rFonts w:cs="FrankRuehl" w:hint="cs"/>
          <w:sz w:val="26"/>
          <w:szCs w:val="26"/>
          <w:rtl/>
        </w:rPr>
        <w:t xml:space="preserve"> והבינלאומי</w:t>
      </w:r>
      <w:r>
        <w:rPr>
          <w:rFonts w:cs="FrankRuehl" w:hint="cs"/>
          <w:sz w:val="26"/>
          <w:szCs w:val="26"/>
          <w:rtl/>
        </w:rPr>
        <w:t xml:space="preserve">. </w:t>
      </w:r>
    </w:p>
    <w:p w:rsidR="00D12437" w:rsidRPr="005F6949" w:rsidRDefault="00D12437" w:rsidP="00D12437">
      <w:pPr>
        <w:pStyle w:val="a3"/>
        <w:numPr>
          <w:ilvl w:val="3"/>
          <w:numId w:val="1"/>
        </w:numPr>
        <w:spacing w:line="360" w:lineRule="auto"/>
        <w:jc w:val="both"/>
        <w:rPr>
          <w:rFonts w:cs="FrankRuehl"/>
          <w:sz w:val="28"/>
          <w:szCs w:val="28"/>
        </w:rPr>
      </w:pPr>
      <w:r>
        <w:rPr>
          <w:rFonts w:cs="FrankRuehl" w:hint="cs"/>
          <w:sz w:val="28"/>
          <w:szCs w:val="28"/>
          <w:rtl/>
        </w:rPr>
        <w:t>ללא הפרדה בין הגופים יישמר ניגוד האינטרסים ביניהן</w:t>
      </w:r>
      <w:r w:rsidR="00B14F52">
        <w:rPr>
          <w:rFonts w:cs="FrankRuehl" w:hint="cs"/>
          <w:sz w:val="28"/>
          <w:szCs w:val="28"/>
          <w:rtl/>
        </w:rPr>
        <w:t xml:space="preserve"> ולא יהיה להן תמריץ להתחרות ביניהן על מתן אשראי צרכני</w:t>
      </w:r>
      <w:r>
        <w:rPr>
          <w:rFonts w:cs="FrankRuehl" w:hint="cs"/>
          <w:sz w:val="28"/>
          <w:szCs w:val="28"/>
          <w:rtl/>
        </w:rPr>
        <w:t xml:space="preserve">. </w:t>
      </w:r>
    </w:p>
    <w:p w:rsidR="005F6949" w:rsidRDefault="005F6949" w:rsidP="005F6949">
      <w:pPr>
        <w:pStyle w:val="a3"/>
        <w:numPr>
          <w:ilvl w:val="3"/>
          <w:numId w:val="1"/>
        </w:numPr>
        <w:spacing w:line="360" w:lineRule="auto"/>
        <w:jc w:val="both"/>
        <w:rPr>
          <w:rFonts w:cs="FrankRuehl"/>
          <w:sz w:val="28"/>
          <w:szCs w:val="28"/>
        </w:rPr>
      </w:pPr>
      <w:r>
        <w:rPr>
          <w:rFonts w:cs="FrankRuehl" w:hint="cs"/>
          <w:sz w:val="26"/>
          <w:szCs w:val="26"/>
          <w:rtl/>
        </w:rPr>
        <w:t>המהלך להפרדת חברות כרטיסי האשראי מהבנקים נועד בכדי לייצר שחקנים מתחרים ולהגביר את האיום התחרותי על הבנקים בסקטור משקי הבית והעסקים הקטנים. לפיכך, מטרת המהלך הינה לייצר כמה שיותר שחקנים בעלי פוטנציאל תחרותי גבוה בשוק האשראי הקמעונאי. הפוטנציאל הינו מראש מוגבל לשלושה בלבד ועל כן יש למקסם אותו</w:t>
      </w:r>
      <w:r>
        <w:rPr>
          <w:rFonts w:cs="FrankRuehl" w:hint="cs"/>
          <w:sz w:val="28"/>
          <w:szCs w:val="28"/>
          <w:rtl/>
        </w:rPr>
        <w:t>.</w:t>
      </w:r>
    </w:p>
    <w:p w:rsidR="00881FA7" w:rsidRPr="00881FA7" w:rsidRDefault="00D12437" w:rsidP="00881FA7">
      <w:pPr>
        <w:pStyle w:val="a3"/>
        <w:numPr>
          <w:ilvl w:val="3"/>
          <w:numId w:val="1"/>
        </w:numPr>
        <w:spacing w:line="360" w:lineRule="auto"/>
        <w:jc w:val="both"/>
        <w:rPr>
          <w:rFonts w:cs="FrankRuehl"/>
          <w:sz w:val="28"/>
          <w:szCs w:val="28"/>
        </w:rPr>
      </w:pPr>
      <w:r>
        <w:rPr>
          <w:rFonts w:cs="FrankRuehl" w:hint="cs"/>
          <w:sz w:val="26"/>
          <w:szCs w:val="26"/>
          <w:rtl/>
        </w:rPr>
        <w:t>החברות החזיקו</w:t>
      </w:r>
      <w:r w:rsidR="00881FA7">
        <w:rPr>
          <w:rFonts w:cs="FrankRuehl" w:hint="cs"/>
          <w:sz w:val="26"/>
          <w:szCs w:val="26"/>
          <w:rtl/>
        </w:rPr>
        <w:t xml:space="preserve"> במשך שנים בחברת </w:t>
      </w:r>
      <w:proofErr w:type="spellStart"/>
      <w:r w:rsidR="00881FA7">
        <w:rPr>
          <w:rFonts w:cs="FrankRuehl" w:hint="cs"/>
          <w:sz w:val="26"/>
          <w:szCs w:val="26"/>
          <w:rtl/>
        </w:rPr>
        <w:t>כ.א.ל</w:t>
      </w:r>
      <w:proofErr w:type="spellEnd"/>
      <w:r w:rsidR="00881FA7">
        <w:rPr>
          <w:rFonts w:cs="FrankRuehl" w:hint="cs"/>
          <w:sz w:val="26"/>
          <w:szCs w:val="26"/>
          <w:rtl/>
        </w:rPr>
        <w:t xml:space="preserve"> ואין</w:t>
      </w:r>
      <w:r>
        <w:rPr>
          <w:rFonts w:cs="FrankRuehl" w:hint="cs"/>
          <w:sz w:val="26"/>
          <w:szCs w:val="26"/>
          <w:rtl/>
        </w:rPr>
        <w:t xml:space="preserve"> עדות לתחרותיות גבוהה יותר </w:t>
      </w:r>
      <w:proofErr w:type="spellStart"/>
      <w:r>
        <w:rPr>
          <w:rFonts w:cs="FrankRuehl" w:hint="cs"/>
          <w:sz w:val="26"/>
          <w:szCs w:val="26"/>
          <w:rtl/>
        </w:rPr>
        <w:t>מצידן</w:t>
      </w:r>
      <w:proofErr w:type="spellEnd"/>
      <w:r w:rsidR="00881FA7">
        <w:rPr>
          <w:rFonts w:cs="FrankRuehl" w:hint="cs"/>
          <w:sz w:val="26"/>
          <w:szCs w:val="26"/>
          <w:rtl/>
        </w:rPr>
        <w:t xml:space="preserve"> מאשר, למשל, בנקים אשר אינם מחזיקים בחברת כרטיסי אשראי</w:t>
      </w:r>
      <w:r w:rsidR="00881FA7">
        <w:rPr>
          <w:rFonts w:cs="FrankRuehl" w:hint="cs"/>
          <w:sz w:val="28"/>
          <w:szCs w:val="28"/>
          <w:rtl/>
        </w:rPr>
        <w:t>.</w:t>
      </w:r>
    </w:p>
    <w:p w:rsidR="00881FA7" w:rsidRDefault="00881FA7" w:rsidP="00881FA7">
      <w:pPr>
        <w:pStyle w:val="a3"/>
        <w:numPr>
          <w:ilvl w:val="3"/>
          <w:numId w:val="1"/>
        </w:numPr>
        <w:spacing w:line="360" w:lineRule="auto"/>
        <w:jc w:val="both"/>
        <w:rPr>
          <w:rFonts w:cs="FrankRuehl"/>
          <w:sz w:val="28"/>
          <w:szCs w:val="28"/>
        </w:rPr>
      </w:pPr>
      <w:r>
        <w:rPr>
          <w:rFonts w:cs="FrankRuehl" w:hint="cs"/>
          <w:sz w:val="26"/>
          <w:szCs w:val="26"/>
          <w:rtl/>
        </w:rPr>
        <w:t xml:space="preserve">בנק דיסקונט הינו הבנק הכי פחות יעיל במערכת. ייתכן </w:t>
      </w:r>
      <w:proofErr w:type="spellStart"/>
      <w:r>
        <w:rPr>
          <w:rFonts w:cs="FrankRuehl" w:hint="cs"/>
          <w:sz w:val="26"/>
          <w:szCs w:val="26"/>
          <w:rtl/>
        </w:rPr>
        <w:t>וכ.א.ל</w:t>
      </w:r>
      <w:proofErr w:type="spellEnd"/>
      <w:r>
        <w:rPr>
          <w:rFonts w:cs="FrankRuehl" w:hint="cs"/>
          <w:sz w:val="26"/>
          <w:szCs w:val="26"/>
          <w:rtl/>
        </w:rPr>
        <w:t xml:space="preserve">, כמקור רווח משמעותי לבנק, דווקא מקשה על הבנק לנקוט באמצעים להתייעלות פנימית. </w:t>
      </w:r>
      <w:r w:rsidR="00504C30">
        <w:rPr>
          <w:rFonts w:cs="FrankRuehl" w:hint="cs"/>
          <w:sz w:val="28"/>
          <w:szCs w:val="28"/>
          <w:rtl/>
        </w:rPr>
        <w:t xml:space="preserve">מנגד נטען כי הבנק לא יוכל להתחבא מאחורי כאל בחוסר היעילות שלו. </w:t>
      </w:r>
      <w:r>
        <w:rPr>
          <w:rFonts w:cs="FrankRuehl" w:hint="cs"/>
          <w:sz w:val="26"/>
          <w:szCs w:val="26"/>
          <w:rtl/>
        </w:rPr>
        <w:t xml:space="preserve">  </w:t>
      </w:r>
    </w:p>
    <w:p w:rsidR="00881FA7" w:rsidRDefault="00881FA7" w:rsidP="00881FA7">
      <w:pPr>
        <w:pStyle w:val="a3"/>
        <w:numPr>
          <w:ilvl w:val="1"/>
          <w:numId w:val="1"/>
        </w:numPr>
        <w:spacing w:line="360" w:lineRule="auto"/>
        <w:jc w:val="both"/>
        <w:rPr>
          <w:rFonts w:cs="FrankRuehl"/>
          <w:sz w:val="28"/>
          <w:szCs w:val="28"/>
        </w:rPr>
      </w:pPr>
      <w:r>
        <w:rPr>
          <w:rFonts w:cs="FrankRuehl" w:hint="cs"/>
          <w:sz w:val="28"/>
          <w:szCs w:val="28"/>
          <w:rtl/>
        </w:rPr>
        <w:t xml:space="preserve">לא התקבלה החלטה לגבי הפרדת חברת </w:t>
      </w:r>
      <w:proofErr w:type="spellStart"/>
      <w:r>
        <w:rPr>
          <w:rFonts w:cs="FrankRuehl" w:hint="cs"/>
          <w:sz w:val="28"/>
          <w:szCs w:val="28"/>
          <w:rtl/>
        </w:rPr>
        <w:t>כ.א.ל</w:t>
      </w:r>
      <w:proofErr w:type="spellEnd"/>
      <w:r>
        <w:rPr>
          <w:rFonts w:cs="FrankRuehl" w:hint="cs"/>
          <w:sz w:val="28"/>
          <w:szCs w:val="28"/>
          <w:rtl/>
        </w:rPr>
        <w:t xml:space="preserve"> וסוכם כי הנושא יעלה לדיון פעם נוספת בישיבות הבאות.</w:t>
      </w:r>
    </w:p>
    <w:p w:rsidR="00804C6A" w:rsidRDefault="00804C6A" w:rsidP="00804C6A">
      <w:pPr>
        <w:pStyle w:val="a3"/>
        <w:numPr>
          <w:ilvl w:val="0"/>
          <w:numId w:val="1"/>
        </w:numPr>
        <w:spacing w:line="360" w:lineRule="auto"/>
        <w:jc w:val="both"/>
        <w:rPr>
          <w:rFonts w:cs="FrankRuehl"/>
          <w:sz w:val="28"/>
          <w:szCs w:val="28"/>
        </w:rPr>
      </w:pPr>
      <w:r>
        <w:rPr>
          <w:rFonts w:cs="FrankRuehl" w:hint="cs"/>
          <w:sz w:val="28"/>
          <w:szCs w:val="28"/>
          <w:rtl/>
        </w:rPr>
        <w:t>סוגיית המחלוקת השלישית שעלתה לדיון הינה האפשרות של בנקים להנפיק כרטיסי אשראי לאחר ההפרדה.</w:t>
      </w:r>
    </w:p>
    <w:p w:rsidR="00804C6A" w:rsidRDefault="00804C6A" w:rsidP="00804C6A">
      <w:pPr>
        <w:pStyle w:val="a3"/>
        <w:numPr>
          <w:ilvl w:val="1"/>
          <w:numId w:val="1"/>
        </w:numPr>
        <w:spacing w:line="360" w:lineRule="auto"/>
        <w:jc w:val="both"/>
        <w:rPr>
          <w:rFonts w:cs="FrankRuehl"/>
          <w:sz w:val="28"/>
          <w:szCs w:val="28"/>
        </w:rPr>
      </w:pPr>
      <w:r>
        <w:rPr>
          <w:rFonts w:cs="FrankRuehl" w:hint="cs"/>
          <w:sz w:val="28"/>
          <w:szCs w:val="28"/>
          <w:rtl/>
        </w:rPr>
        <w:t>שתי עמדות מרכזיות הוצגו:</w:t>
      </w:r>
    </w:p>
    <w:p w:rsidR="00804C6A" w:rsidRDefault="00804C6A" w:rsidP="00804C6A">
      <w:pPr>
        <w:pStyle w:val="a3"/>
        <w:numPr>
          <w:ilvl w:val="2"/>
          <w:numId w:val="1"/>
        </w:numPr>
        <w:spacing w:line="360" w:lineRule="auto"/>
        <w:jc w:val="both"/>
        <w:rPr>
          <w:rFonts w:cs="FrankRuehl"/>
          <w:sz w:val="28"/>
          <w:szCs w:val="28"/>
        </w:rPr>
      </w:pPr>
      <w:r>
        <w:rPr>
          <w:rFonts w:cs="FrankRuehl" w:hint="cs"/>
          <w:sz w:val="28"/>
          <w:szCs w:val="28"/>
          <w:rtl/>
        </w:rPr>
        <w:t>אין לאפשר לבנקים להמשיך להנפיק אשראי על גבי כרטיס:</w:t>
      </w:r>
    </w:p>
    <w:p w:rsidR="00804C6A" w:rsidRDefault="00804C6A" w:rsidP="00804C6A">
      <w:pPr>
        <w:pStyle w:val="a3"/>
        <w:numPr>
          <w:ilvl w:val="3"/>
          <w:numId w:val="1"/>
        </w:numPr>
        <w:spacing w:line="360" w:lineRule="auto"/>
        <w:jc w:val="both"/>
        <w:rPr>
          <w:rFonts w:cs="FrankRuehl"/>
          <w:sz w:val="28"/>
          <w:szCs w:val="28"/>
        </w:rPr>
      </w:pPr>
      <w:r w:rsidRPr="00FB081B">
        <w:rPr>
          <w:rFonts w:cs="FrankRuehl" w:hint="cs"/>
          <w:sz w:val="26"/>
          <w:szCs w:val="26"/>
          <w:rtl/>
        </w:rPr>
        <w:t>הבנקים נהנים מיתרון עצום בגישה ללקוח ובאפשרות להציע אשראי במגוון דרכים</w:t>
      </w:r>
      <w:r>
        <w:rPr>
          <w:rFonts w:cs="FrankRuehl" w:hint="cs"/>
          <w:sz w:val="26"/>
          <w:szCs w:val="26"/>
          <w:rtl/>
        </w:rPr>
        <w:t xml:space="preserve">. קיים </w:t>
      </w:r>
      <w:r w:rsidRPr="00FB081B">
        <w:rPr>
          <w:rFonts w:cs="FrankRuehl" w:hint="cs"/>
          <w:sz w:val="26"/>
          <w:szCs w:val="26"/>
          <w:rtl/>
        </w:rPr>
        <w:t>חשש שהבנקים יוכלו "למשוך" במהרה את כלל לקוחותיהם לכרטיסי האשראי הבנקאיים ולא תינתן האפשרות לחברות כרטיסי האשראי לבסס עצמן כשחקן בעל פוטנציאל תחרות</w:t>
      </w:r>
      <w:r>
        <w:rPr>
          <w:rFonts w:cs="FrankRuehl" w:hint="cs"/>
          <w:sz w:val="28"/>
          <w:szCs w:val="28"/>
          <w:rtl/>
        </w:rPr>
        <w:t>י, קרי יש לאפשר "הגנת ינוקא" לחברות כרטיסי האשראי.</w:t>
      </w:r>
    </w:p>
    <w:p w:rsidR="00804C6A" w:rsidRDefault="00804C6A" w:rsidP="00804C6A">
      <w:pPr>
        <w:pStyle w:val="a3"/>
        <w:numPr>
          <w:ilvl w:val="3"/>
          <w:numId w:val="1"/>
        </w:numPr>
        <w:spacing w:line="360" w:lineRule="auto"/>
        <w:jc w:val="both"/>
        <w:rPr>
          <w:rFonts w:cs="FrankRuehl"/>
          <w:sz w:val="28"/>
          <w:szCs w:val="28"/>
        </w:rPr>
      </w:pPr>
      <w:r>
        <w:rPr>
          <w:rFonts w:cs="FrankRuehl" w:hint="cs"/>
          <w:sz w:val="26"/>
          <w:szCs w:val="26"/>
          <w:rtl/>
        </w:rPr>
        <w:t xml:space="preserve">מתן אפשרות לבנקים להנפיק כרטיסי אשראי מחייב שיתוף פעולה בין הבנקים לחברות כרטיסי האשראי לצורך התפעול של הנפקה זו. קיים חשש ששיתוף פעולה כזה עלול ליצור מערכת תמריצים </w:t>
      </w:r>
      <w:r>
        <w:rPr>
          <w:rFonts w:cs="FrankRuehl" w:hint="cs"/>
          <w:sz w:val="26"/>
          <w:szCs w:val="26"/>
          <w:rtl/>
        </w:rPr>
        <w:lastRenderedPageBreak/>
        <w:t>מעוותת אשר תפגע באינטרס של חברות כרטיסי האשראי להתחרות בבנקים בשוק האשראי הקמעונאי</w:t>
      </w:r>
      <w:r w:rsidR="00A04644">
        <w:rPr>
          <w:rFonts w:cs="FrankRuehl" w:hint="cs"/>
          <w:sz w:val="28"/>
          <w:szCs w:val="28"/>
          <w:rtl/>
        </w:rPr>
        <w:t>.</w:t>
      </w:r>
    </w:p>
    <w:p w:rsidR="00A04644" w:rsidRDefault="00A04644" w:rsidP="00A04644">
      <w:pPr>
        <w:pStyle w:val="a3"/>
        <w:numPr>
          <w:ilvl w:val="2"/>
          <w:numId w:val="1"/>
        </w:numPr>
        <w:spacing w:line="360" w:lineRule="auto"/>
        <w:jc w:val="both"/>
        <w:rPr>
          <w:rFonts w:cs="FrankRuehl"/>
          <w:sz w:val="28"/>
          <w:szCs w:val="28"/>
        </w:rPr>
      </w:pPr>
      <w:r>
        <w:rPr>
          <w:rFonts w:cs="FrankRuehl" w:hint="cs"/>
          <w:sz w:val="28"/>
          <w:szCs w:val="28"/>
          <w:rtl/>
        </w:rPr>
        <w:t>יש לאפשר לבנקים להמשיך ולהנפיק אשראי על גבי כרטיס:</w:t>
      </w:r>
    </w:p>
    <w:p w:rsidR="00A04644" w:rsidRDefault="008F087E" w:rsidP="00A04644">
      <w:pPr>
        <w:pStyle w:val="a3"/>
        <w:numPr>
          <w:ilvl w:val="3"/>
          <w:numId w:val="1"/>
        </w:numPr>
        <w:spacing w:line="360" w:lineRule="auto"/>
        <w:jc w:val="both"/>
        <w:rPr>
          <w:rFonts w:cs="FrankRuehl" w:hint="cs"/>
          <w:sz w:val="28"/>
          <w:szCs w:val="28"/>
        </w:rPr>
      </w:pPr>
      <w:r>
        <w:rPr>
          <w:rFonts w:cs="FrankRuehl" w:hint="cs"/>
          <w:sz w:val="28"/>
          <w:szCs w:val="28"/>
          <w:rtl/>
        </w:rPr>
        <w:t>אין לצמצם את מקורות האשראי של הצרכן ולמנוע ממנו אשראי על גבי כרטיס בנקאי.</w:t>
      </w:r>
    </w:p>
    <w:p w:rsidR="00504C30" w:rsidRDefault="00504C30" w:rsidP="00A04644">
      <w:pPr>
        <w:pStyle w:val="a3"/>
        <w:numPr>
          <w:ilvl w:val="3"/>
          <w:numId w:val="1"/>
        </w:numPr>
        <w:spacing w:line="360" w:lineRule="auto"/>
        <w:jc w:val="both"/>
        <w:rPr>
          <w:rFonts w:cs="FrankRuehl"/>
          <w:sz w:val="28"/>
          <w:szCs w:val="28"/>
        </w:rPr>
      </w:pPr>
      <w:r>
        <w:rPr>
          <w:rFonts w:cs="FrankRuehl" w:hint="cs"/>
          <w:sz w:val="28"/>
          <w:szCs w:val="28"/>
          <w:rtl/>
        </w:rPr>
        <w:t>צעד לא מידתי</w:t>
      </w:r>
      <w:bookmarkStart w:id="0" w:name="_GoBack"/>
      <w:bookmarkEnd w:id="0"/>
    </w:p>
    <w:p w:rsidR="00A85FB4" w:rsidRPr="003F0729" w:rsidRDefault="00A85FB4" w:rsidP="00A85FB4">
      <w:pPr>
        <w:pStyle w:val="a3"/>
        <w:numPr>
          <w:ilvl w:val="0"/>
          <w:numId w:val="1"/>
        </w:numPr>
        <w:spacing w:line="360" w:lineRule="auto"/>
        <w:jc w:val="both"/>
        <w:rPr>
          <w:rFonts w:cs="FrankRuehl"/>
          <w:sz w:val="28"/>
          <w:szCs w:val="28"/>
        </w:rPr>
      </w:pPr>
      <w:r>
        <w:rPr>
          <w:rFonts w:cs="FrankRuehl" w:hint="cs"/>
          <w:sz w:val="28"/>
          <w:szCs w:val="28"/>
          <w:rtl/>
        </w:rPr>
        <w:t>לבסוף יו"ר הועדה, דרור שטרום, הודה למשתתפים ונעל את הישיבה.</w:t>
      </w:r>
      <w:r w:rsidRPr="003F0729">
        <w:rPr>
          <w:rFonts w:cs="FrankRuehl" w:hint="cs"/>
          <w:sz w:val="28"/>
          <w:szCs w:val="28"/>
          <w:rtl/>
        </w:rPr>
        <w:t xml:space="preserve">  </w:t>
      </w:r>
    </w:p>
    <w:p w:rsidR="00A85FB4" w:rsidRPr="00A85FB4" w:rsidRDefault="00A85FB4" w:rsidP="00A85FB4">
      <w:pPr>
        <w:spacing w:line="360" w:lineRule="auto"/>
        <w:jc w:val="both"/>
        <w:rPr>
          <w:rFonts w:cs="FrankRuehl"/>
          <w:sz w:val="28"/>
          <w:szCs w:val="28"/>
        </w:rPr>
      </w:pPr>
    </w:p>
    <w:p w:rsidR="00446013" w:rsidRPr="00881FA7" w:rsidRDefault="00446013"/>
    <w:sectPr w:rsidR="00446013" w:rsidRPr="00881FA7" w:rsidSect="005A3A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20727"/>
    <w:multiLevelType w:val="hybridMultilevel"/>
    <w:tmpl w:val="550AE0E0"/>
    <w:lvl w:ilvl="0" w:tplc="CB703D50">
      <w:numFmt w:val="bullet"/>
      <w:lvlText w:val=""/>
      <w:lvlJc w:val="left"/>
      <w:pPr>
        <w:ind w:left="720" w:hanging="360"/>
      </w:pPr>
      <w:rPr>
        <w:rFonts w:ascii="Symbol" w:eastAsiaTheme="minorHAnsi" w:hAnsi="Symbol" w:cs="FrankRuehl" w:hint="default"/>
        <w:sz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DD6CB4"/>
    <w:multiLevelType w:val="hybridMultilevel"/>
    <w:tmpl w:val="405696B6"/>
    <w:lvl w:ilvl="0" w:tplc="CB703D50">
      <w:numFmt w:val="bullet"/>
      <w:lvlText w:val=""/>
      <w:lvlJc w:val="left"/>
      <w:pPr>
        <w:ind w:left="720" w:hanging="360"/>
      </w:pPr>
      <w:rPr>
        <w:rFonts w:ascii="Symbol" w:eastAsiaTheme="minorHAnsi" w:hAnsi="Symbol" w:cs="FrankRuehl" w:hint="default"/>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71C"/>
    <w:rsid w:val="003412AE"/>
    <w:rsid w:val="003B4D47"/>
    <w:rsid w:val="004237B7"/>
    <w:rsid w:val="00446013"/>
    <w:rsid w:val="004E4D97"/>
    <w:rsid w:val="00504C30"/>
    <w:rsid w:val="005A3A54"/>
    <w:rsid w:val="005F6949"/>
    <w:rsid w:val="0062371C"/>
    <w:rsid w:val="0074123D"/>
    <w:rsid w:val="00804C6A"/>
    <w:rsid w:val="00827736"/>
    <w:rsid w:val="00881FA7"/>
    <w:rsid w:val="008F087E"/>
    <w:rsid w:val="009137C2"/>
    <w:rsid w:val="00A04644"/>
    <w:rsid w:val="00A85FB4"/>
    <w:rsid w:val="00B14F52"/>
    <w:rsid w:val="00C34603"/>
    <w:rsid w:val="00D12437"/>
    <w:rsid w:val="00E41B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71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7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71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3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19</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47F45-58A6-46ED-ABEB-5697DFE48414}"/>
</file>

<file path=customXml/itemProps2.xml><?xml version="1.0" encoding="utf-8"?>
<ds:datastoreItem xmlns:ds="http://schemas.openxmlformats.org/officeDocument/2006/customXml" ds:itemID="{86940568-8117-4315-918E-26DA59740A2A}"/>
</file>

<file path=customXml/itemProps3.xml><?xml version="1.0" encoding="utf-8"?>
<ds:datastoreItem xmlns:ds="http://schemas.openxmlformats.org/officeDocument/2006/customXml" ds:itemID="{C2BFAF51-80F2-4B59-A7F1-E94AA9889DB7}"/>
</file>

<file path=docProps/app.xml><?xml version="1.0" encoding="utf-8"?>
<Properties xmlns="http://schemas.openxmlformats.org/officeDocument/2006/extended-properties" xmlns:vt="http://schemas.openxmlformats.org/officeDocument/2006/docPropsVTypes">
  <Template>Normal</Template>
  <TotalTime>2244</TotalTime>
  <Pages>4</Pages>
  <Words>607</Words>
  <Characters>3035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01.11.2015</dc:title>
  <dc:creator>אבי כהן</dc:creator>
  <cp:lastModifiedBy>אבי כהן</cp:lastModifiedBy>
  <cp:revision>18</cp:revision>
  <dcterms:created xsi:type="dcterms:W3CDTF">2015-11-23T17:35:00Z</dcterms:created>
  <dcterms:modified xsi:type="dcterms:W3CDTF">2016-01-05T17:06:00Z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