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02" w:rsidRPr="003F2328" w:rsidRDefault="00261B02" w:rsidP="004B51BA">
      <w:pPr>
        <w:ind w:left="6153"/>
        <w:rPr>
          <w:rFonts w:cs="FrankRuehl"/>
          <w:rtl/>
        </w:rPr>
      </w:pPr>
      <w:r>
        <w:rPr>
          <w:rFonts w:cs="FrankRuehl" w:hint="cs"/>
          <w:rtl/>
        </w:rPr>
        <w:t>י</w:t>
      </w:r>
      <w:r w:rsidR="004B51BA">
        <w:rPr>
          <w:rFonts w:cs="FrankRuehl" w:hint="cs"/>
          <w:rtl/>
        </w:rPr>
        <w:t>ד</w:t>
      </w:r>
      <w:r>
        <w:rPr>
          <w:rFonts w:cs="FrankRuehl" w:hint="cs"/>
          <w:rtl/>
        </w:rPr>
        <w:t>'</w:t>
      </w:r>
      <w:r>
        <w:rPr>
          <w:rFonts w:cs="FrankRuehl"/>
          <w:rtl/>
        </w:rPr>
        <w:t xml:space="preserve"> ב</w:t>
      </w:r>
      <w:r>
        <w:rPr>
          <w:rFonts w:cs="FrankRuehl" w:hint="cs"/>
          <w:rtl/>
        </w:rPr>
        <w:t>תמוז</w:t>
      </w:r>
      <w:r w:rsidRPr="003F2328">
        <w:rPr>
          <w:rFonts w:cs="FrankRuehl"/>
          <w:rtl/>
        </w:rPr>
        <w:t xml:space="preserve"> התשע"ה</w:t>
      </w:r>
      <w:r w:rsidRPr="003F2328">
        <w:rPr>
          <w:rFonts w:cs="FrankRuehl"/>
          <w:rtl/>
        </w:rPr>
        <w:br/>
      </w:r>
      <w:r w:rsidR="004B51BA">
        <w:rPr>
          <w:rFonts w:cs="FrankRuehl" w:hint="cs"/>
          <w:rtl/>
        </w:rPr>
        <w:t>01</w:t>
      </w:r>
      <w:r w:rsidRPr="003F2328">
        <w:rPr>
          <w:rFonts w:cs="FrankRuehl"/>
          <w:rtl/>
        </w:rPr>
        <w:t xml:space="preserve"> </w:t>
      </w:r>
      <w:r w:rsidR="004B51BA">
        <w:rPr>
          <w:rFonts w:cs="FrankRuehl" w:hint="cs"/>
          <w:rtl/>
        </w:rPr>
        <w:t>ביולי</w:t>
      </w:r>
      <w:r w:rsidRPr="003F2328">
        <w:rPr>
          <w:rFonts w:cs="FrankRuehl"/>
          <w:rtl/>
        </w:rPr>
        <w:t xml:space="preserve"> 2015</w:t>
      </w:r>
      <w:bookmarkStart w:id="0" w:name="DocNum"/>
      <w:bookmarkEnd w:id="0"/>
    </w:p>
    <w:p w:rsidR="00261B02" w:rsidRPr="003F2328" w:rsidRDefault="00261B02" w:rsidP="00261B02">
      <w:pPr>
        <w:spacing w:line="360" w:lineRule="auto"/>
        <w:jc w:val="center"/>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261B02" w:rsidRPr="003F2328" w:rsidRDefault="00261B02" w:rsidP="00261B02">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ד"ר נדין בודו-טרכטנברג, המשנה לנגידת בנק ישראל, בנק ישראל</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מר אבי ליכט, המשנה ליועץ המשפטי לממשלה (כלכלי-פיסקאלי), משרד המשפטים</w:t>
      </w:r>
    </w:p>
    <w:p w:rsidR="00261B02" w:rsidRPr="003F2328" w:rsidRDefault="00261B02" w:rsidP="00261B02">
      <w:pPr>
        <w:spacing w:line="240" w:lineRule="exact"/>
        <w:jc w:val="both"/>
        <w:rPr>
          <w:rFonts w:cs="FrankRuehl"/>
          <w:sz w:val="26"/>
          <w:szCs w:val="26"/>
          <w:rtl/>
        </w:rPr>
      </w:pPr>
      <w:r>
        <w:rPr>
          <w:rFonts w:cs="FrankRuehl" w:hint="cs"/>
          <w:sz w:val="26"/>
          <w:szCs w:val="26"/>
          <w:rtl/>
        </w:rPr>
        <w:t>גב' יעל מבורך, סגנית הממונה על התקציבים</w:t>
      </w:r>
    </w:p>
    <w:p w:rsidR="00261B02" w:rsidRPr="003F2328" w:rsidRDefault="00261B02" w:rsidP="00261B02">
      <w:pPr>
        <w:spacing w:line="240" w:lineRule="exact"/>
        <w:jc w:val="both"/>
        <w:rPr>
          <w:rFonts w:cs="FrankRuehl"/>
          <w:sz w:val="26"/>
          <w:szCs w:val="26"/>
          <w:u w:val="single"/>
          <w:rtl/>
        </w:rPr>
      </w:pPr>
      <w:r w:rsidRPr="003F2328">
        <w:rPr>
          <w:rFonts w:cs="FrankRuehl" w:hint="cs"/>
          <w:sz w:val="26"/>
          <w:szCs w:val="26"/>
          <w:u w:val="single"/>
          <w:rtl/>
        </w:rPr>
        <w:t>נציגים:</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261B02" w:rsidRDefault="00261B02" w:rsidP="00261B02">
      <w:pPr>
        <w:spacing w:line="240" w:lineRule="exact"/>
        <w:jc w:val="both"/>
        <w:rPr>
          <w:rFonts w:cs="FrankRuehl"/>
          <w:sz w:val="26"/>
          <w:szCs w:val="26"/>
          <w:rtl/>
        </w:rPr>
      </w:pPr>
      <w:r w:rsidRPr="003F2328">
        <w:rPr>
          <w:rFonts w:cs="FrankRuehl" w:hint="cs"/>
          <w:sz w:val="26"/>
          <w:szCs w:val="26"/>
          <w:rtl/>
        </w:rPr>
        <w:t>כפיר בטט, משרד האוצר</w:t>
      </w:r>
    </w:p>
    <w:p w:rsidR="00261B02" w:rsidRPr="003F2328" w:rsidRDefault="00261B02" w:rsidP="00261B02">
      <w:pPr>
        <w:spacing w:line="240" w:lineRule="exact"/>
        <w:jc w:val="both"/>
        <w:rPr>
          <w:rFonts w:cs="FrankRuehl"/>
          <w:sz w:val="26"/>
          <w:szCs w:val="26"/>
          <w:rtl/>
        </w:rPr>
      </w:pPr>
      <w:r>
        <w:rPr>
          <w:rFonts w:cs="FrankRuehl" w:hint="cs"/>
          <w:sz w:val="26"/>
          <w:szCs w:val="26"/>
          <w:rtl/>
        </w:rPr>
        <w:t xml:space="preserve">ברוך </w:t>
      </w:r>
      <w:proofErr w:type="spellStart"/>
      <w:r>
        <w:rPr>
          <w:rFonts w:cs="FrankRuehl" w:hint="cs"/>
          <w:sz w:val="26"/>
          <w:szCs w:val="26"/>
          <w:rtl/>
        </w:rPr>
        <w:t>לוברט</w:t>
      </w:r>
      <w:proofErr w:type="spellEnd"/>
      <w:r>
        <w:rPr>
          <w:rFonts w:cs="FrankRuehl" w:hint="cs"/>
          <w:sz w:val="26"/>
          <w:szCs w:val="26"/>
          <w:rtl/>
        </w:rPr>
        <w:t>, משרד האוצר</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רויטל קיסר, בנק ישראל</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מיקי קהן, בנק ישראל</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סטיב לב, בנק ישראל</w:t>
      </w:r>
    </w:p>
    <w:p w:rsidR="00261B02" w:rsidRDefault="00261B02" w:rsidP="00261B02">
      <w:pPr>
        <w:spacing w:line="240" w:lineRule="exact"/>
        <w:jc w:val="both"/>
        <w:rPr>
          <w:rFonts w:cs="FrankRuehl"/>
          <w:sz w:val="26"/>
          <w:szCs w:val="26"/>
          <w:rtl/>
        </w:rPr>
      </w:pPr>
      <w:r w:rsidRPr="003F2328">
        <w:rPr>
          <w:rFonts w:cs="FrankRuehl" w:hint="cs"/>
          <w:sz w:val="26"/>
          <w:szCs w:val="26"/>
          <w:rtl/>
        </w:rPr>
        <w:t>הראל שליסל, בנק ישראל</w:t>
      </w:r>
    </w:p>
    <w:p w:rsidR="00261B02" w:rsidRDefault="00261B02" w:rsidP="00261B02">
      <w:pPr>
        <w:spacing w:line="240" w:lineRule="exact"/>
        <w:jc w:val="both"/>
        <w:rPr>
          <w:rFonts w:cs="FrankRuehl"/>
          <w:sz w:val="26"/>
          <w:szCs w:val="26"/>
          <w:rtl/>
        </w:rPr>
      </w:pPr>
      <w:r>
        <w:rPr>
          <w:rFonts w:cs="FrankRuehl" w:hint="cs"/>
          <w:sz w:val="26"/>
          <w:szCs w:val="26"/>
          <w:rtl/>
        </w:rPr>
        <w:t>יוני מירון, בנק ישראל</w:t>
      </w:r>
    </w:p>
    <w:p w:rsidR="00261B02" w:rsidRPr="003F2328" w:rsidRDefault="00261B02" w:rsidP="00261B02">
      <w:pPr>
        <w:spacing w:line="240" w:lineRule="exact"/>
        <w:jc w:val="both"/>
        <w:rPr>
          <w:rFonts w:cs="FrankRuehl"/>
          <w:sz w:val="26"/>
          <w:szCs w:val="26"/>
          <w:rtl/>
        </w:rPr>
      </w:pPr>
      <w:r>
        <w:rPr>
          <w:rFonts w:cs="FrankRuehl" w:hint="cs"/>
          <w:sz w:val="26"/>
          <w:szCs w:val="26"/>
          <w:rtl/>
        </w:rPr>
        <w:t>אילנית מדמוני, בנק ישראל</w:t>
      </w:r>
    </w:p>
    <w:p w:rsidR="00261B02" w:rsidRDefault="00AF4097" w:rsidP="00261B02">
      <w:pPr>
        <w:spacing w:line="240" w:lineRule="exact"/>
        <w:jc w:val="both"/>
        <w:rPr>
          <w:rFonts w:cs="FrankRuehl"/>
          <w:sz w:val="26"/>
          <w:szCs w:val="26"/>
          <w:rtl/>
        </w:rPr>
      </w:pPr>
      <w:r>
        <w:rPr>
          <w:rFonts w:cs="FrankRuehl" w:hint="cs"/>
          <w:sz w:val="26"/>
          <w:szCs w:val="26"/>
          <w:rtl/>
        </w:rPr>
        <w:t xml:space="preserve">ד"ר </w:t>
      </w:r>
      <w:r w:rsidR="00261B02">
        <w:rPr>
          <w:rFonts w:cs="FrankRuehl" w:hint="cs"/>
          <w:sz w:val="26"/>
          <w:szCs w:val="26"/>
          <w:rtl/>
        </w:rPr>
        <w:t>אסף אילת, הרשות להגבלים עסקיים</w:t>
      </w:r>
    </w:p>
    <w:p w:rsidR="00261B02" w:rsidRDefault="00261B02" w:rsidP="00261B02">
      <w:pPr>
        <w:spacing w:line="240" w:lineRule="exact"/>
        <w:jc w:val="both"/>
        <w:rPr>
          <w:rFonts w:cs="FrankRuehl"/>
          <w:sz w:val="26"/>
          <w:szCs w:val="26"/>
          <w:rtl/>
        </w:rPr>
      </w:pPr>
      <w:r>
        <w:rPr>
          <w:rFonts w:cs="FrankRuehl" w:hint="cs"/>
          <w:sz w:val="26"/>
          <w:szCs w:val="26"/>
          <w:rtl/>
        </w:rPr>
        <w:t>אורי שרף, הרשות להגבלים עסקיים</w:t>
      </w:r>
    </w:p>
    <w:p w:rsidR="00261B02" w:rsidRDefault="00261B02" w:rsidP="00261B02">
      <w:pPr>
        <w:spacing w:line="240" w:lineRule="exact"/>
        <w:jc w:val="both"/>
        <w:rPr>
          <w:rFonts w:cs="FrankRuehl"/>
          <w:sz w:val="26"/>
          <w:szCs w:val="26"/>
          <w:rtl/>
        </w:rPr>
      </w:pPr>
      <w:r>
        <w:rPr>
          <w:rFonts w:cs="FrankRuehl" w:hint="cs"/>
          <w:sz w:val="26"/>
          <w:szCs w:val="26"/>
          <w:rtl/>
        </w:rPr>
        <w:t>עומר ברנדר, הרשות להגבלים עסקיים</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אלעד מקדסי, הרשות להגבלים עסקיים</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רוני נויבאר, משרד המשפטים</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אלישבע גרשוני, משרד המשפטים</w:t>
      </w:r>
    </w:p>
    <w:p w:rsidR="00261B02" w:rsidRPr="003F2328" w:rsidRDefault="00261B02" w:rsidP="00261B02">
      <w:pPr>
        <w:spacing w:line="240" w:lineRule="exact"/>
        <w:jc w:val="both"/>
        <w:rPr>
          <w:rFonts w:cs="FrankRuehl"/>
          <w:sz w:val="26"/>
          <w:szCs w:val="26"/>
          <w:rtl/>
        </w:rPr>
      </w:pPr>
      <w:r w:rsidRPr="003F2328">
        <w:rPr>
          <w:rFonts w:cs="FrankRuehl" w:hint="cs"/>
          <w:sz w:val="26"/>
          <w:szCs w:val="26"/>
          <w:rtl/>
        </w:rPr>
        <w:t>ליאור תבורי</w:t>
      </w:r>
    </w:p>
    <w:p w:rsidR="00261B02" w:rsidRDefault="00261B02" w:rsidP="00261B02">
      <w:pPr>
        <w:spacing w:line="240" w:lineRule="exact"/>
        <w:jc w:val="both"/>
        <w:rPr>
          <w:rFonts w:cs="FrankRuehl"/>
          <w:sz w:val="26"/>
          <w:szCs w:val="26"/>
          <w:rtl/>
        </w:rPr>
      </w:pPr>
      <w:r w:rsidRPr="003F2328">
        <w:rPr>
          <w:rFonts w:cs="FrankRuehl" w:hint="cs"/>
          <w:sz w:val="26"/>
          <w:szCs w:val="26"/>
          <w:rtl/>
        </w:rPr>
        <w:t>נתן המדינגר</w:t>
      </w:r>
    </w:p>
    <w:p w:rsidR="00261B02" w:rsidRDefault="00261B02" w:rsidP="00261B02">
      <w:pPr>
        <w:spacing w:line="240" w:lineRule="exact"/>
        <w:jc w:val="both"/>
        <w:rPr>
          <w:rFonts w:cs="FrankRuehl"/>
          <w:sz w:val="26"/>
          <w:szCs w:val="26"/>
          <w:rtl/>
        </w:rPr>
      </w:pPr>
    </w:p>
    <w:p w:rsidR="00261B02" w:rsidRDefault="00261B02" w:rsidP="00261B02">
      <w:pPr>
        <w:spacing w:line="240" w:lineRule="exact"/>
        <w:jc w:val="both"/>
        <w:rPr>
          <w:rFonts w:cs="FrankRuehl"/>
          <w:sz w:val="26"/>
          <w:szCs w:val="26"/>
          <w:rtl/>
        </w:rPr>
      </w:pPr>
    </w:p>
    <w:p w:rsidR="00261B02" w:rsidRDefault="00261B02" w:rsidP="00261B02">
      <w:pPr>
        <w:spacing w:line="240" w:lineRule="exact"/>
        <w:jc w:val="both"/>
        <w:rPr>
          <w:rFonts w:cs="FrankRuehl" w:hint="cs"/>
          <w:sz w:val="26"/>
          <w:szCs w:val="26"/>
          <w:rtl/>
        </w:rPr>
      </w:pPr>
    </w:p>
    <w:p w:rsidR="00F039CC" w:rsidRDefault="00F039CC" w:rsidP="00261B02">
      <w:pPr>
        <w:spacing w:line="240" w:lineRule="exact"/>
        <w:jc w:val="both"/>
        <w:rPr>
          <w:rFonts w:cs="FrankRuehl"/>
          <w:sz w:val="26"/>
          <w:szCs w:val="26"/>
          <w:rtl/>
        </w:rPr>
      </w:pPr>
    </w:p>
    <w:p w:rsidR="00261B02" w:rsidRDefault="00261B02" w:rsidP="00F039CC">
      <w:pPr>
        <w:spacing w:line="240" w:lineRule="exact"/>
        <w:jc w:val="both"/>
        <w:rPr>
          <w:rFonts w:cs="FrankRuehl"/>
          <w:b/>
          <w:bCs/>
          <w:sz w:val="26"/>
          <w:szCs w:val="26"/>
          <w:u w:val="single"/>
          <w:rtl/>
        </w:rPr>
      </w:pPr>
      <w:r>
        <w:rPr>
          <w:rFonts w:cs="FrankRuehl" w:hint="cs"/>
          <w:b/>
          <w:bCs/>
          <w:sz w:val="26"/>
          <w:szCs w:val="26"/>
          <w:u w:val="single"/>
          <w:rtl/>
        </w:rPr>
        <w:lastRenderedPageBreak/>
        <w:t xml:space="preserve">סיכום דיון </w:t>
      </w:r>
      <w:bookmarkStart w:id="1" w:name="_GoBack"/>
      <w:bookmarkEnd w:id="1"/>
    </w:p>
    <w:p w:rsidR="007F4A5B" w:rsidRDefault="00261B02" w:rsidP="00CA26D6">
      <w:pPr>
        <w:pStyle w:val="a3"/>
        <w:numPr>
          <w:ilvl w:val="0"/>
          <w:numId w:val="1"/>
        </w:numPr>
        <w:spacing w:line="360" w:lineRule="auto"/>
        <w:jc w:val="both"/>
        <w:rPr>
          <w:rFonts w:cs="FrankRuehl"/>
          <w:sz w:val="26"/>
          <w:szCs w:val="26"/>
        </w:rPr>
      </w:pPr>
      <w:r w:rsidRPr="00261B02">
        <w:rPr>
          <w:rFonts w:cs="FrankRuehl" w:hint="cs"/>
          <w:sz w:val="26"/>
          <w:szCs w:val="26"/>
          <w:rtl/>
        </w:rPr>
        <w:t>יו"ר הוועדה פתח והציג את נושא הדיון</w:t>
      </w:r>
      <w:r w:rsidR="00610A56">
        <w:rPr>
          <w:rFonts w:cs="FrankRuehl" w:hint="cs"/>
          <w:sz w:val="26"/>
          <w:szCs w:val="26"/>
          <w:rtl/>
        </w:rPr>
        <w:t xml:space="preserve"> - סקירת</w:t>
      </w:r>
      <w:r>
        <w:rPr>
          <w:rFonts w:hint="cs"/>
          <w:rtl/>
        </w:rPr>
        <w:t xml:space="preserve"> </w:t>
      </w:r>
      <w:r w:rsidRPr="00261B02">
        <w:rPr>
          <w:rFonts w:cs="FrankRuehl" w:hint="cs"/>
          <w:sz w:val="26"/>
          <w:szCs w:val="26"/>
          <w:rtl/>
        </w:rPr>
        <w:t xml:space="preserve">פעילות חברות כרטיסי האשראי </w:t>
      </w:r>
      <w:proofErr w:type="spellStart"/>
      <w:r w:rsidRPr="00261B02">
        <w:rPr>
          <w:rFonts w:cs="FrankRuehl" w:hint="cs"/>
          <w:sz w:val="26"/>
          <w:szCs w:val="26"/>
          <w:rtl/>
        </w:rPr>
        <w:t>ואסדרת</w:t>
      </w:r>
      <w:proofErr w:type="spellEnd"/>
      <w:r w:rsidRPr="00261B02">
        <w:rPr>
          <w:rFonts w:cs="FrankRuehl" w:hint="cs"/>
          <w:sz w:val="26"/>
          <w:szCs w:val="26"/>
          <w:rtl/>
        </w:rPr>
        <w:t xml:space="preserve"> השירותים</w:t>
      </w:r>
      <w:r w:rsidR="00610A56">
        <w:rPr>
          <w:rFonts w:cs="FrankRuehl" w:hint="cs"/>
          <w:sz w:val="26"/>
          <w:szCs w:val="26"/>
          <w:rtl/>
        </w:rPr>
        <w:t xml:space="preserve">, </w:t>
      </w:r>
    </w:p>
    <w:p w:rsidR="00261B02" w:rsidRDefault="00261B02" w:rsidP="00CB5716">
      <w:pPr>
        <w:pStyle w:val="a3"/>
        <w:numPr>
          <w:ilvl w:val="0"/>
          <w:numId w:val="1"/>
        </w:numPr>
        <w:spacing w:line="360" w:lineRule="auto"/>
        <w:jc w:val="both"/>
        <w:rPr>
          <w:rFonts w:cs="FrankRuehl"/>
          <w:sz w:val="26"/>
          <w:szCs w:val="26"/>
        </w:rPr>
      </w:pPr>
      <w:r>
        <w:rPr>
          <w:rFonts w:cs="FrankRuehl" w:hint="cs"/>
          <w:sz w:val="26"/>
          <w:szCs w:val="26"/>
          <w:rtl/>
        </w:rPr>
        <w:t>הוצגה מצגת</w:t>
      </w:r>
      <w:r w:rsidR="00CB5716">
        <w:rPr>
          <w:rFonts w:cs="FrankRuehl" w:hint="cs"/>
          <w:sz w:val="26"/>
          <w:szCs w:val="26"/>
          <w:rtl/>
        </w:rPr>
        <w:t>.</w:t>
      </w:r>
      <w:r w:rsidR="00CA26D6">
        <w:rPr>
          <w:rFonts w:cs="FrankRuehl" w:hint="cs"/>
          <w:sz w:val="26"/>
          <w:szCs w:val="26"/>
          <w:rtl/>
        </w:rPr>
        <w:t xml:space="preserve"> </w:t>
      </w:r>
      <w:r>
        <w:rPr>
          <w:rFonts w:cs="FrankRuehl" w:hint="cs"/>
          <w:sz w:val="26"/>
          <w:szCs w:val="26"/>
          <w:rtl/>
        </w:rPr>
        <w:t xml:space="preserve">להלן עיקריה והשלמות </w:t>
      </w:r>
      <w:r w:rsidR="00610A56">
        <w:rPr>
          <w:rFonts w:cs="FrankRuehl" w:hint="cs"/>
          <w:sz w:val="26"/>
          <w:szCs w:val="26"/>
          <w:rtl/>
        </w:rPr>
        <w:t xml:space="preserve">שניתנו ע"י </w:t>
      </w:r>
      <w:r>
        <w:rPr>
          <w:rFonts w:cs="FrankRuehl" w:hint="cs"/>
          <w:sz w:val="26"/>
          <w:szCs w:val="26"/>
          <w:rtl/>
        </w:rPr>
        <w:t>חברי הוועדה:</w:t>
      </w:r>
    </w:p>
    <w:p w:rsidR="00261B02" w:rsidRDefault="00261B02" w:rsidP="00610A56">
      <w:pPr>
        <w:pStyle w:val="a3"/>
        <w:numPr>
          <w:ilvl w:val="1"/>
          <w:numId w:val="1"/>
        </w:numPr>
        <w:spacing w:line="360" w:lineRule="auto"/>
        <w:jc w:val="both"/>
        <w:rPr>
          <w:rFonts w:cs="FrankRuehl"/>
          <w:sz w:val="26"/>
          <w:szCs w:val="26"/>
        </w:rPr>
      </w:pPr>
      <w:r>
        <w:rPr>
          <w:rFonts w:cs="FrankRuehl" w:hint="cs"/>
          <w:sz w:val="26"/>
          <w:szCs w:val="26"/>
          <w:rtl/>
        </w:rPr>
        <w:t>הוצגו השירותים השונים שמספק</w:t>
      </w:r>
      <w:r w:rsidR="00610A56">
        <w:rPr>
          <w:rFonts w:cs="FrankRuehl" w:hint="cs"/>
          <w:sz w:val="26"/>
          <w:szCs w:val="26"/>
          <w:rtl/>
        </w:rPr>
        <w:t>ו</w:t>
      </w:r>
      <w:r>
        <w:rPr>
          <w:rFonts w:cs="FrankRuehl" w:hint="cs"/>
          <w:sz w:val="26"/>
          <w:szCs w:val="26"/>
          <w:rtl/>
        </w:rPr>
        <w:t>ת חבר</w:t>
      </w:r>
      <w:r w:rsidR="00610A56">
        <w:rPr>
          <w:rFonts w:cs="FrankRuehl" w:hint="cs"/>
          <w:sz w:val="26"/>
          <w:szCs w:val="26"/>
          <w:rtl/>
        </w:rPr>
        <w:t>ו</w:t>
      </w:r>
      <w:r>
        <w:rPr>
          <w:rFonts w:cs="FrankRuehl" w:hint="cs"/>
          <w:sz w:val="26"/>
          <w:szCs w:val="26"/>
          <w:rtl/>
        </w:rPr>
        <w:t>ת כרטיסי אשראי</w:t>
      </w:r>
      <w:r w:rsidR="00610A56">
        <w:rPr>
          <w:rFonts w:cs="FrankRuehl" w:hint="cs"/>
          <w:sz w:val="26"/>
          <w:szCs w:val="26"/>
          <w:rtl/>
        </w:rPr>
        <w:t xml:space="preserve"> בישראל</w:t>
      </w:r>
      <w:r>
        <w:rPr>
          <w:rFonts w:cs="FrankRuehl" w:hint="cs"/>
          <w:sz w:val="26"/>
          <w:szCs w:val="26"/>
          <w:rtl/>
        </w:rPr>
        <w:t xml:space="preserve">: שירותי תשלום (הכוללים הנפקה, סליקה ותשתית עבור שירותי תשלום אחרים) ושירותי אשראי קמעונאי (בין אגב תשלום הנעשה בכרטיס אשראי </w:t>
      </w:r>
      <w:r w:rsidR="00610A56">
        <w:rPr>
          <w:rFonts w:cs="FrankRuehl" w:hint="cs"/>
          <w:sz w:val="26"/>
          <w:szCs w:val="26"/>
          <w:rtl/>
        </w:rPr>
        <w:t>ובין ש</w:t>
      </w:r>
      <w:r>
        <w:rPr>
          <w:rFonts w:cs="FrankRuehl" w:hint="cs"/>
          <w:sz w:val="26"/>
          <w:szCs w:val="26"/>
          <w:rtl/>
        </w:rPr>
        <w:t>לא</w:t>
      </w:r>
      <w:r w:rsidR="00610A56">
        <w:rPr>
          <w:rFonts w:cs="FrankRuehl" w:hint="cs"/>
          <w:sz w:val="26"/>
          <w:szCs w:val="26"/>
          <w:rtl/>
        </w:rPr>
        <w:t xml:space="preserve"> אגב תשלום כאמור</w:t>
      </w:r>
      <w:r>
        <w:rPr>
          <w:rFonts w:cs="FrankRuehl" w:hint="cs"/>
          <w:sz w:val="26"/>
          <w:szCs w:val="26"/>
          <w:rtl/>
        </w:rPr>
        <w:t>)</w:t>
      </w:r>
    </w:p>
    <w:p w:rsidR="00261B02" w:rsidRDefault="00261B02" w:rsidP="00973EBA">
      <w:pPr>
        <w:pStyle w:val="a3"/>
        <w:numPr>
          <w:ilvl w:val="1"/>
          <w:numId w:val="1"/>
        </w:numPr>
        <w:spacing w:line="360" w:lineRule="auto"/>
        <w:jc w:val="both"/>
        <w:rPr>
          <w:rFonts w:cs="FrankRuehl"/>
          <w:sz w:val="26"/>
          <w:szCs w:val="26"/>
        </w:rPr>
      </w:pPr>
      <w:r>
        <w:rPr>
          <w:rFonts w:cs="FrankRuehl" w:hint="cs"/>
          <w:sz w:val="26"/>
          <w:szCs w:val="26"/>
          <w:rtl/>
        </w:rPr>
        <w:t>הוצגו שלבי מערכת התשלומים כתשתית המחברת בין המשלם למוטב. שלבים אלו כוללים את אישור העסקה, רישום העסקה וסליקת הכספים</w:t>
      </w:r>
      <w:r w:rsidR="0093300F">
        <w:rPr>
          <w:rFonts w:cs="FrankRuehl" w:hint="cs"/>
          <w:sz w:val="26"/>
          <w:szCs w:val="26"/>
          <w:rtl/>
        </w:rPr>
        <w:t xml:space="preserve"> (על פי המופיע במצגת </w:t>
      </w:r>
      <w:r w:rsidR="00973EBA">
        <w:rPr>
          <w:rFonts w:cs="FrankRuehl" w:hint="cs"/>
          <w:sz w:val="26"/>
          <w:szCs w:val="26"/>
          <w:rtl/>
        </w:rPr>
        <w:t>ו</w:t>
      </w:r>
      <w:r w:rsidR="0093300F">
        <w:rPr>
          <w:rFonts w:cs="FrankRuehl" w:hint="cs"/>
          <w:sz w:val="26"/>
          <w:szCs w:val="26"/>
          <w:rtl/>
        </w:rPr>
        <w:t>כפי שהוסבר</w:t>
      </w:r>
      <w:r w:rsidR="00973EBA">
        <w:rPr>
          <w:rFonts w:cs="FrankRuehl" w:hint="cs"/>
          <w:sz w:val="26"/>
          <w:szCs w:val="26"/>
          <w:rtl/>
        </w:rPr>
        <w:t xml:space="preserve"> </w:t>
      </w:r>
      <w:r w:rsidR="0093300F">
        <w:rPr>
          <w:rFonts w:cs="FrankRuehl" w:hint="cs"/>
          <w:sz w:val="26"/>
          <w:szCs w:val="26"/>
          <w:rtl/>
        </w:rPr>
        <w:t>בע"פ)</w:t>
      </w:r>
      <w:r>
        <w:rPr>
          <w:rFonts w:cs="FrankRuehl" w:hint="cs"/>
          <w:sz w:val="26"/>
          <w:szCs w:val="26"/>
          <w:rtl/>
        </w:rPr>
        <w:t>.</w:t>
      </w:r>
    </w:p>
    <w:p w:rsidR="00261B02" w:rsidRDefault="002E57B5" w:rsidP="00973EBA">
      <w:pPr>
        <w:pStyle w:val="a3"/>
        <w:numPr>
          <w:ilvl w:val="1"/>
          <w:numId w:val="1"/>
        </w:numPr>
        <w:spacing w:line="360" w:lineRule="auto"/>
        <w:jc w:val="both"/>
        <w:rPr>
          <w:rFonts w:cs="FrankRuehl"/>
          <w:sz w:val="26"/>
          <w:szCs w:val="26"/>
        </w:rPr>
      </w:pPr>
      <w:r>
        <w:rPr>
          <w:rFonts w:cs="FrankRuehl" w:hint="cs"/>
          <w:sz w:val="26"/>
          <w:szCs w:val="26"/>
          <w:rtl/>
        </w:rPr>
        <w:t xml:space="preserve">הוצגה מטריצת של מערכת התשלומים אשר במרכזה עומדת שב"א (תאגיד שירותי בנקאות אוטומטיים). המטריצה מתארת את התהליך של ביצוע העסקה דרך מערכת התשלומים. </w:t>
      </w:r>
      <w:r w:rsidR="00973EBA">
        <w:rPr>
          <w:rFonts w:cs="FrankRuehl" w:hint="cs"/>
          <w:sz w:val="26"/>
          <w:szCs w:val="26"/>
          <w:rtl/>
        </w:rPr>
        <w:t xml:space="preserve">צוין כי נכון להיום אין כל אפשרות לתאגיד שאינו בנק או תאגיד עזר בנקאי להתחבר </w:t>
      </w:r>
      <w:proofErr w:type="spellStart"/>
      <w:r w:rsidR="00973EBA">
        <w:rPr>
          <w:rFonts w:cs="FrankRuehl" w:hint="cs"/>
          <w:sz w:val="26"/>
          <w:szCs w:val="26"/>
          <w:rtl/>
        </w:rPr>
        <w:t>לשב"א</w:t>
      </w:r>
      <w:proofErr w:type="spellEnd"/>
      <w:r w:rsidR="00973EBA">
        <w:rPr>
          <w:rFonts w:cs="FrankRuehl" w:hint="cs"/>
          <w:sz w:val="26"/>
          <w:szCs w:val="26"/>
          <w:rtl/>
        </w:rPr>
        <w:t>.</w:t>
      </w:r>
    </w:p>
    <w:p w:rsidR="002E57B5" w:rsidRDefault="002E57B5" w:rsidP="00D724B5">
      <w:pPr>
        <w:pStyle w:val="a3"/>
        <w:numPr>
          <w:ilvl w:val="1"/>
          <w:numId w:val="1"/>
        </w:numPr>
        <w:spacing w:line="360" w:lineRule="auto"/>
        <w:jc w:val="both"/>
        <w:rPr>
          <w:rFonts w:cs="FrankRuehl"/>
          <w:sz w:val="26"/>
          <w:szCs w:val="26"/>
        </w:rPr>
      </w:pPr>
      <w:r>
        <w:rPr>
          <w:rFonts w:cs="FrankRuehl" w:hint="cs"/>
          <w:sz w:val="26"/>
          <w:szCs w:val="26"/>
          <w:rtl/>
        </w:rPr>
        <w:t xml:space="preserve">הודגש כי בישראל, להבדיל מהעולם, מי שבפועל נושא בעלות העמדת האשראי </w:t>
      </w:r>
      <w:r w:rsidR="002C6356">
        <w:rPr>
          <w:rFonts w:cs="FrankRuehl" w:hint="cs"/>
          <w:sz w:val="26"/>
          <w:szCs w:val="26"/>
          <w:rtl/>
        </w:rPr>
        <w:t xml:space="preserve">ללקוח (דחיית מועד התשלום לחודש הבא) </w:t>
      </w:r>
      <w:r>
        <w:rPr>
          <w:rFonts w:cs="FrankRuehl" w:hint="cs"/>
          <w:sz w:val="26"/>
          <w:szCs w:val="26"/>
          <w:rtl/>
        </w:rPr>
        <w:t>הינו בית העסק (כאשר השימוש הוא בכרטיס חיוב נדחה, הנפוץ בישראל).</w:t>
      </w:r>
      <w:r w:rsidR="00054BEC">
        <w:rPr>
          <w:rFonts w:cs="FrankRuehl" w:hint="cs"/>
          <w:sz w:val="26"/>
          <w:szCs w:val="26"/>
          <w:rtl/>
        </w:rPr>
        <w:t xml:space="preserve"> </w:t>
      </w:r>
      <w:r w:rsidR="00D724B5">
        <w:rPr>
          <w:rFonts w:cs="FrankRuehl" w:hint="cs"/>
          <w:sz w:val="26"/>
          <w:szCs w:val="26"/>
          <w:rtl/>
        </w:rPr>
        <w:t xml:space="preserve"> עובדה זאת יוצרת מספר עיוותים בשוק. בצד הצרכן, הוא אינו יכול להחליט אם לצרוך אשראי או לאו ואינו רואה את מחירו </w:t>
      </w:r>
      <w:r w:rsidR="002C6356">
        <w:rPr>
          <w:rFonts w:cs="FrankRuehl" w:hint="cs"/>
          <w:sz w:val="26"/>
          <w:szCs w:val="26"/>
          <w:rtl/>
        </w:rPr>
        <w:t xml:space="preserve">של אשראי כזה, </w:t>
      </w:r>
      <w:r w:rsidR="00D724B5">
        <w:rPr>
          <w:rFonts w:cs="FrankRuehl" w:hint="cs"/>
          <w:sz w:val="26"/>
          <w:szCs w:val="26"/>
          <w:rtl/>
        </w:rPr>
        <w:t xml:space="preserve">כך שהאשראי ניתן בצורה </w:t>
      </w:r>
      <w:r w:rsidR="002C6356">
        <w:rPr>
          <w:rFonts w:cs="FrankRuehl" w:hint="cs"/>
          <w:sz w:val="26"/>
          <w:szCs w:val="26"/>
          <w:rtl/>
        </w:rPr>
        <w:t>אוטומטית ו</w:t>
      </w:r>
      <w:r w:rsidR="00D724B5">
        <w:rPr>
          <w:rFonts w:cs="FrankRuehl" w:hint="cs"/>
          <w:sz w:val="26"/>
          <w:szCs w:val="26"/>
          <w:rtl/>
        </w:rPr>
        <w:t xml:space="preserve">לא </w:t>
      </w:r>
      <w:r w:rsidR="002C6356">
        <w:rPr>
          <w:rFonts w:cs="FrankRuehl" w:hint="cs"/>
          <w:sz w:val="26"/>
          <w:szCs w:val="26"/>
          <w:rtl/>
        </w:rPr>
        <w:t xml:space="preserve">בהכרח </w:t>
      </w:r>
      <w:r w:rsidR="00D724B5">
        <w:rPr>
          <w:rFonts w:cs="FrankRuehl" w:hint="cs"/>
          <w:sz w:val="26"/>
          <w:szCs w:val="26"/>
          <w:rtl/>
        </w:rPr>
        <w:t>יעילה. בנוסף עלות האשראי מגולגלת</w:t>
      </w:r>
      <w:r w:rsidR="002C6356">
        <w:rPr>
          <w:rFonts w:cs="FrankRuehl" w:hint="cs"/>
          <w:sz w:val="26"/>
          <w:szCs w:val="26"/>
          <w:rtl/>
        </w:rPr>
        <w:t>, בסבירות ממשית,</w:t>
      </w:r>
      <w:r w:rsidR="00D724B5">
        <w:rPr>
          <w:rFonts w:cs="FrankRuehl" w:hint="cs"/>
          <w:sz w:val="26"/>
          <w:szCs w:val="26"/>
          <w:rtl/>
        </w:rPr>
        <w:t xml:space="preserve"> אל הצרכן במחיר הסופי. בצד בית העסק ההסדר הקיים </w:t>
      </w:r>
      <w:r w:rsidR="002C6356">
        <w:rPr>
          <w:rFonts w:cs="FrankRuehl" w:hint="cs"/>
          <w:sz w:val="26"/>
          <w:szCs w:val="26"/>
          <w:rtl/>
        </w:rPr>
        <w:t>יכול ו</w:t>
      </w:r>
      <w:r w:rsidR="00D724B5">
        <w:rPr>
          <w:rFonts w:cs="FrankRuehl" w:hint="cs"/>
          <w:sz w:val="26"/>
          <w:szCs w:val="26"/>
          <w:rtl/>
        </w:rPr>
        <w:t>פג</w:t>
      </w:r>
      <w:r w:rsidR="002C6356">
        <w:rPr>
          <w:rFonts w:cs="FrankRuehl" w:hint="cs"/>
          <w:sz w:val="26"/>
          <w:szCs w:val="26"/>
          <w:rtl/>
        </w:rPr>
        <w:t>ו</w:t>
      </w:r>
      <w:r w:rsidR="00D724B5">
        <w:rPr>
          <w:rFonts w:cs="FrankRuehl" w:hint="cs"/>
          <w:sz w:val="26"/>
          <w:szCs w:val="26"/>
          <w:rtl/>
        </w:rPr>
        <w:t>ע ביכולת של שחקנים קטנים להתחרות בשחקנים גדולים, עקב עלויות אשראי ועמלות גבוהות יותר</w:t>
      </w:r>
      <w:r w:rsidR="002C6356">
        <w:rPr>
          <w:rFonts w:cs="FrankRuehl" w:hint="cs"/>
          <w:sz w:val="26"/>
          <w:szCs w:val="26"/>
          <w:rtl/>
        </w:rPr>
        <w:t xml:space="preserve"> החלות על בתי עסק קטנים ובינוניים</w:t>
      </w:r>
      <w:r w:rsidR="00D724B5">
        <w:rPr>
          <w:rFonts w:cs="FrankRuehl" w:hint="cs"/>
          <w:sz w:val="26"/>
          <w:szCs w:val="26"/>
          <w:rtl/>
        </w:rPr>
        <w:t>. מבחינה המערכת הפיננסית השארת העסקה פתוחה</w:t>
      </w:r>
      <w:r w:rsidR="003E7DC9">
        <w:rPr>
          <w:rFonts w:cs="FrankRuehl" w:hint="cs"/>
          <w:sz w:val="26"/>
          <w:szCs w:val="26"/>
          <w:rtl/>
        </w:rPr>
        <w:t xml:space="preserve"> למשך 18 ימים בממוצע</w:t>
      </w:r>
      <w:r w:rsidR="00D724B5">
        <w:rPr>
          <w:rFonts w:cs="FrankRuehl" w:hint="cs"/>
          <w:sz w:val="26"/>
          <w:szCs w:val="26"/>
          <w:rtl/>
        </w:rPr>
        <w:t xml:space="preserve"> דורשת מהסולק העמדת הון ה</w:t>
      </w:r>
      <w:r w:rsidR="003E7DC9">
        <w:rPr>
          <w:rFonts w:cs="FrankRuehl" w:hint="cs"/>
          <w:sz w:val="26"/>
          <w:szCs w:val="26"/>
          <w:rtl/>
        </w:rPr>
        <w:t xml:space="preserve">מייקר את העלויות </w:t>
      </w:r>
      <w:r w:rsidR="002C6356">
        <w:rPr>
          <w:rFonts w:cs="FrankRuehl" w:hint="cs"/>
          <w:sz w:val="26"/>
          <w:szCs w:val="26"/>
          <w:rtl/>
        </w:rPr>
        <w:t xml:space="preserve">באופן גורף, </w:t>
      </w:r>
      <w:r w:rsidR="003E7DC9">
        <w:rPr>
          <w:rFonts w:cs="FrankRuehl" w:hint="cs"/>
          <w:sz w:val="26"/>
          <w:szCs w:val="26"/>
          <w:rtl/>
        </w:rPr>
        <w:t>ו</w:t>
      </w:r>
      <w:r w:rsidR="002C6356">
        <w:rPr>
          <w:rFonts w:cs="FrankRuehl" w:hint="cs"/>
          <w:sz w:val="26"/>
          <w:szCs w:val="26"/>
          <w:rtl/>
        </w:rPr>
        <w:t>מהווה סוג של חסם</w:t>
      </w:r>
      <w:r w:rsidR="00D724B5">
        <w:rPr>
          <w:rFonts w:cs="FrankRuehl" w:hint="cs"/>
          <w:sz w:val="26"/>
          <w:szCs w:val="26"/>
          <w:rtl/>
        </w:rPr>
        <w:t xml:space="preserve"> לכניסת שחקנים חדשים.</w:t>
      </w:r>
      <w:r w:rsidR="001E0220">
        <w:rPr>
          <w:rFonts w:cs="FrankRuehl" w:hint="cs"/>
          <w:sz w:val="26"/>
          <w:szCs w:val="26"/>
          <w:rtl/>
        </w:rPr>
        <w:t xml:space="preserve"> </w:t>
      </w:r>
      <w:r>
        <w:rPr>
          <w:rFonts w:cs="FrankRuehl" w:hint="cs"/>
          <w:sz w:val="26"/>
          <w:szCs w:val="26"/>
          <w:rtl/>
        </w:rPr>
        <w:t>בעולם נהוג שהמנפיק הינו זה הנושא בעלות העמדת האשראי</w:t>
      </w:r>
      <w:r w:rsidR="003B3B91">
        <w:rPr>
          <w:rFonts w:cs="FrankRuehl" w:hint="cs"/>
          <w:sz w:val="26"/>
          <w:szCs w:val="26"/>
          <w:rtl/>
        </w:rPr>
        <w:t xml:space="preserve"> לפחות לתקופה מסוימת (</w:t>
      </w:r>
      <w:r w:rsidR="003B3B91">
        <w:rPr>
          <w:rFonts w:cs="FrankRuehl"/>
          <w:sz w:val="26"/>
          <w:szCs w:val="26"/>
        </w:rPr>
        <w:t>Grace period</w:t>
      </w:r>
      <w:r w:rsidR="003B3B91">
        <w:rPr>
          <w:rFonts w:cs="FrankRuehl" w:hint="cs"/>
          <w:sz w:val="26"/>
          <w:szCs w:val="26"/>
          <w:rtl/>
        </w:rPr>
        <w:t>)</w:t>
      </w:r>
      <w:r>
        <w:rPr>
          <w:rFonts w:cs="FrankRuehl" w:hint="cs"/>
          <w:sz w:val="26"/>
          <w:szCs w:val="26"/>
          <w:rtl/>
        </w:rPr>
        <w:t>.</w:t>
      </w:r>
      <w:r w:rsidR="00DF7FDA">
        <w:rPr>
          <w:rFonts w:cs="FrankRuehl" w:hint="cs"/>
          <w:sz w:val="26"/>
          <w:szCs w:val="26"/>
          <w:rtl/>
        </w:rPr>
        <w:t xml:space="preserve"> כמו כן נאמר כי העלות בהעמדת האשראי למנפיק זולה יותר מאשר לבית העסק.</w:t>
      </w:r>
    </w:p>
    <w:p w:rsidR="001E0220" w:rsidRDefault="001E0220" w:rsidP="00D724B5">
      <w:pPr>
        <w:pStyle w:val="a3"/>
        <w:numPr>
          <w:ilvl w:val="1"/>
          <w:numId w:val="1"/>
        </w:numPr>
        <w:spacing w:line="360" w:lineRule="auto"/>
        <w:jc w:val="both"/>
        <w:rPr>
          <w:rFonts w:cs="FrankRuehl"/>
          <w:sz w:val="26"/>
          <w:szCs w:val="26"/>
        </w:rPr>
      </w:pPr>
      <w:r>
        <w:rPr>
          <w:rFonts w:cs="FrankRuehl" w:hint="cs"/>
          <w:sz w:val="26"/>
          <w:szCs w:val="26"/>
          <w:rtl/>
        </w:rPr>
        <w:t>מנגד נאמר כי ייתכן ומבנה האשראי הקיים הינו יעיל יותר ומוזיל את עלויות האשראי המשקיות.</w:t>
      </w:r>
    </w:p>
    <w:p w:rsidR="003B3B91" w:rsidRDefault="006F3A0D" w:rsidP="001E0220">
      <w:pPr>
        <w:pStyle w:val="a3"/>
        <w:numPr>
          <w:ilvl w:val="1"/>
          <w:numId w:val="1"/>
        </w:numPr>
        <w:spacing w:line="360" w:lineRule="auto"/>
        <w:jc w:val="both"/>
        <w:rPr>
          <w:rFonts w:cs="FrankRuehl"/>
          <w:sz w:val="26"/>
          <w:szCs w:val="26"/>
        </w:rPr>
      </w:pPr>
      <w:r>
        <w:rPr>
          <w:rFonts w:cs="FrankRuehl" w:hint="cs"/>
          <w:sz w:val="26"/>
          <w:szCs w:val="26"/>
          <w:rtl/>
        </w:rPr>
        <w:t>הוצגה בקצרה שב"א. נאמר כי חברה זו הינה מונופול בבעלות הבנקים ומעבר לניהול מערכת התשלומים החברה מתפעלת מתג</w:t>
      </w:r>
      <w:r w:rsidR="001E0220">
        <w:rPr>
          <w:rFonts w:cs="FrankRuehl" w:hint="cs"/>
          <w:sz w:val="26"/>
          <w:szCs w:val="26"/>
          <w:rtl/>
        </w:rPr>
        <w:t xml:space="preserve"> אחד נוסף שיכול</w:t>
      </w:r>
      <w:r w:rsidR="00733405">
        <w:rPr>
          <w:rFonts w:cs="FrankRuehl" w:hint="cs"/>
          <w:sz w:val="26"/>
          <w:szCs w:val="26"/>
          <w:rtl/>
        </w:rPr>
        <w:t xml:space="preserve"> להתחרות במתג הקיים</w:t>
      </w:r>
      <w:r>
        <w:rPr>
          <w:rFonts w:cs="FrankRuehl" w:hint="cs"/>
          <w:sz w:val="26"/>
          <w:szCs w:val="26"/>
          <w:rtl/>
        </w:rPr>
        <w:t xml:space="preserve"> (כגון כספומטים אשר נמצאים כעת בתהליך היפרדות מהחברה).</w:t>
      </w:r>
      <w:r w:rsidR="00733405">
        <w:rPr>
          <w:rFonts w:cs="FrankRuehl" w:hint="cs"/>
          <w:sz w:val="26"/>
          <w:szCs w:val="26"/>
          <w:rtl/>
        </w:rPr>
        <w:t xml:space="preserve">  שב"א פועלת תחת פטור מהסדר כובל. התנאים לפטור נקבעו כך ששב"א לא תוכל לפגוע בתחרות בתחום הסליקה</w:t>
      </w:r>
      <w:r w:rsidR="002C6356">
        <w:rPr>
          <w:rFonts w:cs="FrankRuehl" w:hint="cs"/>
          <w:sz w:val="26"/>
          <w:szCs w:val="26"/>
          <w:rtl/>
        </w:rPr>
        <w:t xml:space="preserve"> והמוקד בהם הוא שוק הסליקה</w:t>
      </w:r>
      <w:r w:rsidR="00733405">
        <w:rPr>
          <w:rFonts w:cs="FrankRuehl" w:hint="cs"/>
          <w:sz w:val="26"/>
          <w:szCs w:val="26"/>
          <w:rtl/>
        </w:rPr>
        <w:t xml:space="preserve">. </w:t>
      </w:r>
    </w:p>
    <w:p w:rsidR="002E57B5" w:rsidRDefault="00553166" w:rsidP="00D724B5">
      <w:pPr>
        <w:pStyle w:val="a3"/>
        <w:numPr>
          <w:ilvl w:val="1"/>
          <w:numId w:val="1"/>
        </w:numPr>
        <w:spacing w:line="360" w:lineRule="auto"/>
        <w:jc w:val="both"/>
        <w:rPr>
          <w:rFonts w:cs="FrankRuehl"/>
          <w:sz w:val="26"/>
          <w:szCs w:val="26"/>
        </w:rPr>
      </w:pPr>
      <w:r>
        <w:rPr>
          <w:rFonts w:cs="FrankRuehl" w:hint="cs"/>
          <w:sz w:val="26"/>
          <w:szCs w:val="26"/>
          <w:rtl/>
        </w:rPr>
        <w:lastRenderedPageBreak/>
        <w:t xml:space="preserve">נאמר כי </w:t>
      </w:r>
      <w:r w:rsidR="00D724B5">
        <w:rPr>
          <w:rFonts w:cs="FrankRuehl" w:hint="cs"/>
          <w:sz w:val="26"/>
          <w:szCs w:val="26"/>
          <w:rtl/>
        </w:rPr>
        <w:t xml:space="preserve">ישנן </w:t>
      </w:r>
      <w:r>
        <w:rPr>
          <w:rFonts w:cs="FrankRuehl" w:hint="cs"/>
          <w:sz w:val="26"/>
          <w:szCs w:val="26"/>
          <w:rtl/>
        </w:rPr>
        <w:t>מספר בעיות בנוגע לגישה לשב"א בין השאר בגלל תנאים לא ברורים להתחברות למערכת ואינטרסים מנוגדים של הבעלים והגוף המנסה להתחבר.</w:t>
      </w:r>
      <w:r w:rsidR="00D724B5">
        <w:rPr>
          <w:rFonts w:cs="FrankRuehl" w:hint="cs"/>
          <w:sz w:val="26"/>
          <w:szCs w:val="26"/>
          <w:rtl/>
        </w:rPr>
        <w:t xml:space="preserve"> בעבר מספר גופים ניסו להתחבר לשב"א, כולל גופים גדולים כגון סיטי בנק, אך הם נסוגו לאחר שנתקלו בקשיים מצדה של שב"א.</w:t>
      </w:r>
    </w:p>
    <w:p w:rsidR="00553166" w:rsidRDefault="00923B07" w:rsidP="00261B02">
      <w:pPr>
        <w:pStyle w:val="a3"/>
        <w:numPr>
          <w:ilvl w:val="1"/>
          <w:numId w:val="1"/>
        </w:numPr>
        <w:spacing w:line="360" w:lineRule="auto"/>
        <w:jc w:val="both"/>
        <w:rPr>
          <w:rFonts w:cs="FrankRuehl"/>
          <w:sz w:val="26"/>
          <w:szCs w:val="26"/>
        </w:rPr>
      </w:pPr>
      <w:r>
        <w:rPr>
          <w:rFonts w:cs="FrankRuehl" w:hint="cs"/>
          <w:sz w:val="26"/>
          <w:szCs w:val="26"/>
          <w:rtl/>
        </w:rPr>
        <w:t xml:space="preserve">הוצגו </w:t>
      </w:r>
      <w:r w:rsidR="00D724B5">
        <w:rPr>
          <w:rFonts w:cs="FrankRuehl" w:hint="cs"/>
          <w:sz w:val="26"/>
          <w:szCs w:val="26"/>
          <w:rtl/>
        </w:rPr>
        <w:t xml:space="preserve">השינויים </w:t>
      </w:r>
      <w:r w:rsidR="00FE74E5">
        <w:rPr>
          <w:rFonts w:cs="FrankRuehl" w:hint="cs"/>
          <w:sz w:val="26"/>
          <w:szCs w:val="26"/>
          <w:rtl/>
        </w:rPr>
        <w:t>הנדרשים</w:t>
      </w:r>
      <w:r>
        <w:rPr>
          <w:rFonts w:cs="FrankRuehl" w:hint="cs"/>
          <w:sz w:val="26"/>
          <w:szCs w:val="26"/>
          <w:rtl/>
        </w:rPr>
        <w:t xml:space="preserve"> </w:t>
      </w:r>
      <w:r w:rsidR="00733405">
        <w:rPr>
          <w:rFonts w:cs="FrankRuehl" w:hint="cs"/>
          <w:sz w:val="26"/>
          <w:szCs w:val="26"/>
          <w:rtl/>
        </w:rPr>
        <w:t xml:space="preserve">במערכת התשלומים </w:t>
      </w:r>
      <w:r>
        <w:rPr>
          <w:rFonts w:cs="FrankRuehl" w:hint="cs"/>
          <w:sz w:val="26"/>
          <w:szCs w:val="26"/>
          <w:rtl/>
        </w:rPr>
        <w:t>על מנת להסיר חסמי כניסה לסולקים ומנפיקים</w:t>
      </w:r>
      <w:r w:rsidR="00FE74E5">
        <w:rPr>
          <w:rFonts w:cs="FrankRuehl" w:hint="cs"/>
          <w:sz w:val="26"/>
          <w:szCs w:val="26"/>
          <w:rtl/>
        </w:rPr>
        <w:t>.</w:t>
      </w:r>
      <w:r w:rsidR="00733405">
        <w:rPr>
          <w:rFonts w:cs="FrankRuehl" w:hint="cs"/>
          <w:sz w:val="26"/>
          <w:szCs w:val="26"/>
          <w:rtl/>
        </w:rPr>
        <w:t xml:space="preserve"> בין השאר העובדה שהפרוטוקול תקשורת בארץ הוא ייחודי וכעת המערכת נדרשת להתאים עצמה לסטנדרטים בינלאומיים.</w:t>
      </w:r>
    </w:p>
    <w:p w:rsidR="00FE74E5" w:rsidRDefault="00313167" w:rsidP="00261B02">
      <w:pPr>
        <w:pStyle w:val="a3"/>
        <w:numPr>
          <w:ilvl w:val="1"/>
          <w:numId w:val="1"/>
        </w:numPr>
        <w:spacing w:line="360" w:lineRule="auto"/>
        <w:jc w:val="both"/>
        <w:rPr>
          <w:rFonts w:cs="FrankRuehl"/>
          <w:sz w:val="26"/>
          <w:szCs w:val="26"/>
        </w:rPr>
      </w:pPr>
      <w:r>
        <w:rPr>
          <w:rFonts w:cs="FrankRuehl" w:hint="cs"/>
          <w:sz w:val="26"/>
          <w:szCs w:val="26"/>
          <w:rtl/>
        </w:rPr>
        <w:t>הוצג המצב היום מבחינת רגולציה, קישוריות, הגישה למידע ויתרונות לגודל ומגוון לגבי חברות כרטיסי האשראי בשני תחומי הפעילות שלה: שירותי תשלום ושירותי</w:t>
      </w:r>
      <w:r w:rsidR="00054BEC">
        <w:rPr>
          <w:rFonts w:cs="FrankRuehl" w:hint="cs"/>
          <w:sz w:val="26"/>
          <w:szCs w:val="26"/>
          <w:rtl/>
        </w:rPr>
        <w:t xml:space="preserve"> מתן</w:t>
      </w:r>
      <w:r>
        <w:rPr>
          <w:rFonts w:cs="FrankRuehl" w:hint="cs"/>
          <w:sz w:val="26"/>
          <w:szCs w:val="26"/>
          <w:rtl/>
        </w:rPr>
        <w:t xml:space="preserve"> אשראי.</w:t>
      </w:r>
    </w:p>
    <w:p w:rsidR="001E0220" w:rsidRDefault="001E0220" w:rsidP="001E0220">
      <w:pPr>
        <w:pStyle w:val="a3"/>
        <w:numPr>
          <w:ilvl w:val="1"/>
          <w:numId w:val="1"/>
        </w:numPr>
        <w:spacing w:line="360" w:lineRule="auto"/>
        <w:jc w:val="both"/>
        <w:rPr>
          <w:rFonts w:cs="FrankRuehl"/>
          <w:sz w:val="26"/>
          <w:szCs w:val="26"/>
        </w:rPr>
      </w:pPr>
      <w:r>
        <w:rPr>
          <w:rFonts w:cs="FrankRuehl" w:hint="cs"/>
          <w:sz w:val="26"/>
          <w:szCs w:val="26"/>
          <w:rtl/>
        </w:rPr>
        <w:t xml:space="preserve">בדיון הוצגה התייחסות לכך שלמנפיק כרטיס החיוב ישנה גישה למידע על העסקאות שבוצעו בכרטיס החיוב מצד הלקוח ושמידע זה הינו קניינו והוא יכול לעשות בו שימוש (דוגמת פנייה ללקוח בהצעות ערך, אשראי וכו'). כמו כן סולק בית העסק חשוף לעסקאות שבוצעו בבית העסק אך אין זה מקנה לו בהכרח, על פי המצב ההסכמי הקיים היום </w:t>
      </w:r>
      <w:r>
        <w:rPr>
          <w:rFonts w:cs="FrankRuehl"/>
          <w:sz w:val="26"/>
          <w:szCs w:val="26"/>
          <w:rtl/>
        </w:rPr>
        <w:t>–</w:t>
      </w:r>
      <w:r>
        <w:rPr>
          <w:rFonts w:cs="FrankRuehl" w:hint="cs"/>
          <w:sz w:val="26"/>
          <w:szCs w:val="26"/>
          <w:rtl/>
        </w:rPr>
        <w:t xml:space="preserve"> זכות לעשות שימוש במידע כלפי הלקוחות שיצעו את העסקאות בבית העסק. צוין בדיון כי קיימים גופים נוספים (חברות המספקות שירותים נלווים לבית העסק) שיש להם גישה למידע על העסקאות שבוצעו בבית העסק. </w:t>
      </w:r>
    </w:p>
    <w:p w:rsidR="00301D18" w:rsidRDefault="00301D18" w:rsidP="00733405">
      <w:pPr>
        <w:pStyle w:val="a3"/>
        <w:numPr>
          <w:ilvl w:val="1"/>
          <w:numId w:val="1"/>
        </w:numPr>
        <w:spacing w:line="360" w:lineRule="auto"/>
        <w:jc w:val="both"/>
        <w:rPr>
          <w:rFonts w:cs="FrankRuehl"/>
          <w:sz w:val="26"/>
          <w:szCs w:val="26"/>
        </w:rPr>
      </w:pPr>
      <w:r>
        <w:rPr>
          <w:rFonts w:cs="FrankRuehl" w:hint="cs"/>
          <w:sz w:val="26"/>
          <w:szCs w:val="26"/>
          <w:rtl/>
        </w:rPr>
        <w:t xml:space="preserve">נאמר כי כיום הגופים היחידים אשר יכולים להעניק אשראי באמצעות כרטיס הינם תאגידים בנקאיים (שלא באמצעות שיתופי פעולה כאלו או אחרים). צוין כי יש לשאוף שגם גופים חוץ בנקאיים יוכלו </w:t>
      </w:r>
      <w:r w:rsidR="00733405">
        <w:rPr>
          <w:rFonts w:cs="FrankRuehl" w:hint="cs"/>
          <w:sz w:val="26"/>
          <w:szCs w:val="26"/>
          <w:rtl/>
        </w:rPr>
        <w:t>להעמיד ללקוח</w:t>
      </w:r>
      <w:r w:rsidR="00D724B5">
        <w:rPr>
          <w:rFonts w:cs="FrankRuehl" w:hint="cs"/>
          <w:sz w:val="26"/>
          <w:szCs w:val="26"/>
          <w:rtl/>
        </w:rPr>
        <w:t xml:space="preserve"> מסגרת אשראי </w:t>
      </w:r>
      <w:r>
        <w:rPr>
          <w:rFonts w:cs="FrankRuehl" w:hint="cs"/>
          <w:sz w:val="26"/>
          <w:szCs w:val="26"/>
          <w:rtl/>
        </w:rPr>
        <w:t>וכך לחייב את לוקח האשראי רק כאשר צרך אותו בפועל ולא ביום שלק</w:t>
      </w:r>
      <w:r w:rsidR="005D03ED">
        <w:rPr>
          <w:rFonts w:cs="FrankRuehl" w:hint="cs"/>
          <w:sz w:val="26"/>
          <w:szCs w:val="26"/>
          <w:rtl/>
        </w:rPr>
        <w:t>ח</w:t>
      </w:r>
      <w:r>
        <w:rPr>
          <w:rFonts w:cs="FrankRuehl" w:hint="cs"/>
          <w:sz w:val="26"/>
          <w:szCs w:val="26"/>
          <w:rtl/>
        </w:rPr>
        <w:t xml:space="preserve"> את ההלוואה. צוין שמס</w:t>
      </w:r>
      <w:r w:rsidR="005D03ED">
        <w:rPr>
          <w:rFonts w:cs="FrankRuehl" w:hint="cs"/>
          <w:sz w:val="26"/>
          <w:szCs w:val="26"/>
          <w:rtl/>
        </w:rPr>
        <w:t>ג</w:t>
      </w:r>
      <w:r>
        <w:rPr>
          <w:rFonts w:cs="FrankRuehl" w:hint="cs"/>
          <w:sz w:val="26"/>
          <w:szCs w:val="26"/>
          <w:rtl/>
        </w:rPr>
        <w:t>רת אשראי הינ</w:t>
      </w:r>
      <w:r w:rsidR="005D03ED">
        <w:rPr>
          <w:rFonts w:cs="FrankRuehl" w:hint="cs"/>
          <w:sz w:val="26"/>
          <w:szCs w:val="26"/>
          <w:rtl/>
        </w:rPr>
        <w:t>ה</w:t>
      </w:r>
      <w:r>
        <w:rPr>
          <w:rFonts w:cs="FrankRuehl" w:hint="cs"/>
          <w:sz w:val="26"/>
          <w:szCs w:val="26"/>
          <w:rtl/>
        </w:rPr>
        <w:t xml:space="preserve"> אשראי לכל דבר.</w:t>
      </w:r>
      <w:r w:rsidR="005D03ED">
        <w:rPr>
          <w:rFonts w:cs="FrankRuehl" w:hint="cs"/>
          <w:sz w:val="26"/>
          <w:szCs w:val="26"/>
          <w:rtl/>
        </w:rPr>
        <w:t xml:space="preserve"> כיום, רק בנקים וחברות כרטיסי אשראי יכולים להעניק מסגרת אשראי.</w:t>
      </w:r>
      <w:r w:rsidR="002C6356">
        <w:rPr>
          <w:rFonts w:cs="FrankRuehl" w:hint="cs"/>
          <w:sz w:val="26"/>
          <w:szCs w:val="26"/>
          <w:rtl/>
        </w:rPr>
        <w:t xml:space="preserve"> מצב זה טעון שינוי כדי שתוכל להתקיים תחרות </w:t>
      </w:r>
      <w:proofErr w:type="spellStart"/>
      <w:r w:rsidR="002C6356">
        <w:rPr>
          <w:rFonts w:cs="FrankRuehl" w:hint="cs"/>
          <w:sz w:val="26"/>
          <w:szCs w:val="26"/>
          <w:rtl/>
        </w:rPr>
        <w:t>אמיתית</w:t>
      </w:r>
      <w:proofErr w:type="spellEnd"/>
      <w:r w:rsidR="002C6356">
        <w:rPr>
          <w:rFonts w:cs="FrankRuehl" w:hint="cs"/>
          <w:sz w:val="26"/>
          <w:szCs w:val="26"/>
          <w:rtl/>
        </w:rPr>
        <w:t xml:space="preserve"> בשירות האשראי, בין בנקים לגורמים חוץ בנקאיים.</w:t>
      </w:r>
    </w:p>
    <w:p w:rsidR="00313167" w:rsidRDefault="00F42C45" w:rsidP="00261B02">
      <w:pPr>
        <w:pStyle w:val="a3"/>
        <w:numPr>
          <w:ilvl w:val="1"/>
          <w:numId w:val="1"/>
        </w:numPr>
        <w:spacing w:line="360" w:lineRule="auto"/>
        <w:jc w:val="both"/>
        <w:rPr>
          <w:rFonts w:cs="FrankRuehl"/>
          <w:sz w:val="26"/>
          <w:szCs w:val="26"/>
        </w:rPr>
      </w:pPr>
      <w:r>
        <w:rPr>
          <w:rFonts w:cs="FrankRuehl" w:hint="cs"/>
          <w:sz w:val="26"/>
          <w:szCs w:val="26"/>
          <w:rtl/>
        </w:rPr>
        <w:t>הוצגו שירותי התשלום השונים באמצעות חשבון תשלום על פי ה-</w:t>
      </w:r>
      <w:r>
        <w:rPr>
          <w:rFonts w:cs="FrankRuehl"/>
          <w:sz w:val="26"/>
          <w:szCs w:val="26"/>
        </w:rPr>
        <w:t>PSD</w:t>
      </w:r>
      <w:r>
        <w:rPr>
          <w:rFonts w:cs="FrankRuehl" w:hint="cs"/>
          <w:sz w:val="26"/>
          <w:szCs w:val="26"/>
          <w:rtl/>
        </w:rPr>
        <w:t xml:space="preserve"> שהינו דירקטיבת</w:t>
      </w:r>
      <w:r w:rsidR="00301D18">
        <w:rPr>
          <w:rFonts w:cs="FrankRuehl" w:hint="cs"/>
          <w:sz w:val="26"/>
          <w:szCs w:val="26"/>
          <w:rtl/>
        </w:rPr>
        <w:t xml:space="preserve"> התשלומים האירופאית. נאמר כי חשבון תשלום יכול להיות תחליף לחשבון עו"ש</w:t>
      </w:r>
      <w:r w:rsidR="002C6356">
        <w:rPr>
          <w:rFonts w:cs="FrankRuehl" w:hint="cs"/>
          <w:sz w:val="26"/>
          <w:szCs w:val="26"/>
          <w:rtl/>
        </w:rPr>
        <w:t xml:space="preserve"> (אם כי כיום תחליפיות זו מוגבלת)</w:t>
      </w:r>
      <w:r w:rsidR="00301D18">
        <w:rPr>
          <w:rFonts w:cs="FrankRuehl" w:hint="cs"/>
          <w:sz w:val="26"/>
          <w:szCs w:val="26"/>
          <w:rtl/>
        </w:rPr>
        <w:t>.</w:t>
      </w:r>
    </w:p>
    <w:p w:rsidR="00301D18" w:rsidRDefault="00301D18" w:rsidP="00261B02">
      <w:pPr>
        <w:pStyle w:val="a3"/>
        <w:numPr>
          <w:ilvl w:val="1"/>
          <w:numId w:val="1"/>
        </w:numPr>
        <w:spacing w:line="360" w:lineRule="auto"/>
        <w:jc w:val="both"/>
        <w:rPr>
          <w:rFonts w:cs="FrankRuehl"/>
          <w:sz w:val="26"/>
          <w:szCs w:val="26"/>
        </w:rPr>
      </w:pPr>
      <w:r>
        <w:rPr>
          <w:rFonts w:cs="FrankRuehl" w:hint="cs"/>
          <w:sz w:val="26"/>
          <w:szCs w:val="26"/>
          <w:rtl/>
        </w:rPr>
        <w:t>הוצגו מערכות ושחקנים שונים בעולם התשלומים והממשקים ביניהם.</w:t>
      </w:r>
    </w:p>
    <w:p w:rsidR="008C00CF" w:rsidRDefault="008C00CF" w:rsidP="00261B02">
      <w:pPr>
        <w:pStyle w:val="a3"/>
        <w:numPr>
          <w:ilvl w:val="1"/>
          <w:numId w:val="1"/>
        </w:numPr>
        <w:spacing w:line="360" w:lineRule="auto"/>
        <w:jc w:val="both"/>
        <w:rPr>
          <w:rFonts w:cs="FrankRuehl"/>
          <w:sz w:val="26"/>
          <w:szCs w:val="26"/>
        </w:rPr>
      </w:pPr>
      <w:r>
        <w:rPr>
          <w:rFonts w:cs="FrankRuehl" w:hint="cs"/>
          <w:sz w:val="26"/>
          <w:szCs w:val="26"/>
          <w:rtl/>
        </w:rPr>
        <w:t xml:space="preserve">הודגש כי יש להבחין בין שני סוגי אסדרה נדרשים </w:t>
      </w:r>
      <w:r>
        <w:rPr>
          <w:rFonts w:cs="FrankRuehl"/>
          <w:sz w:val="26"/>
          <w:szCs w:val="26"/>
          <w:rtl/>
        </w:rPr>
        <w:t>–</w:t>
      </w:r>
      <w:r>
        <w:rPr>
          <w:rFonts w:cs="FrankRuehl" w:hint="cs"/>
          <w:sz w:val="26"/>
          <w:szCs w:val="26"/>
          <w:rtl/>
        </w:rPr>
        <w:t xml:space="preserve"> האחד, לצורך היכולת של חברות כרטיסי אשראי להתחרות בהעמדת אשראי; השני </w:t>
      </w:r>
      <w:r>
        <w:rPr>
          <w:rFonts w:cs="FrankRuehl"/>
          <w:sz w:val="26"/>
          <w:szCs w:val="26"/>
          <w:rtl/>
        </w:rPr>
        <w:t>–</w:t>
      </w:r>
      <w:r>
        <w:rPr>
          <w:rFonts w:cs="FrankRuehl" w:hint="cs"/>
          <w:sz w:val="26"/>
          <w:szCs w:val="26"/>
          <w:rtl/>
        </w:rPr>
        <w:t xml:space="preserve"> לתחרות באמצעי התשלום.</w:t>
      </w:r>
    </w:p>
    <w:p w:rsidR="00301D18" w:rsidRDefault="00301D18" w:rsidP="008C00CF">
      <w:pPr>
        <w:pStyle w:val="a3"/>
        <w:numPr>
          <w:ilvl w:val="1"/>
          <w:numId w:val="1"/>
        </w:numPr>
        <w:spacing w:line="360" w:lineRule="auto"/>
        <w:jc w:val="both"/>
        <w:rPr>
          <w:rFonts w:cs="FrankRuehl"/>
          <w:sz w:val="26"/>
          <w:szCs w:val="26"/>
        </w:rPr>
      </w:pPr>
      <w:r>
        <w:rPr>
          <w:rFonts w:cs="FrankRuehl" w:hint="cs"/>
          <w:sz w:val="26"/>
          <w:szCs w:val="26"/>
          <w:rtl/>
        </w:rPr>
        <w:t>נ</w:t>
      </w:r>
      <w:r w:rsidR="008C00CF">
        <w:rPr>
          <w:rFonts w:cs="FrankRuehl" w:hint="cs"/>
          <w:sz w:val="26"/>
          <w:szCs w:val="26"/>
          <w:rtl/>
        </w:rPr>
        <w:t>ראה</w:t>
      </w:r>
      <w:r>
        <w:rPr>
          <w:rFonts w:cs="FrankRuehl" w:hint="cs"/>
          <w:sz w:val="26"/>
          <w:szCs w:val="26"/>
          <w:rtl/>
        </w:rPr>
        <w:t xml:space="preserve"> כי </w:t>
      </w:r>
      <w:proofErr w:type="spellStart"/>
      <w:r>
        <w:rPr>
          <w:rFonts w:cs="FrankRuehl" w:hint="cs"/>
          <w:sz w:val="26"/>
          <w:szCs w:val="26"/>
          <w:rtl/>
        </w:rPr>
        <w:t>אסדרת</w:t>
      </w:r>
      <w:proofErr w:type="spellEnd"/>
      <w:r>
        <w:rPr>
          <w:rFonts w:cs="FrankRuehl" w:hint="cs"/>
          <w:sz w:val="26"/>
          <w:szCs w:val="26"/>
          <w:rtl/>
        </w:rPr>
        <w:t xml:space="preserve"> שירותי התשלום הינה רצויה בכדי </w:t>
      </w:r>
      <w:r w:rsidR="008C00CF">
        <w:rPr>
          <w:rFonts w:cs="FrankRuehl" w:hint="cs"/>
          <w:sz w:val="26"/>
          <w:szCs w:val="26"/>
          <w:rtl/>
        </w:rPr>
        <w:t xml:space="preserve">שזו תוכל </w:t>
      </w:r>
      <w:r>
        <w:rPr>
          <w:rFonts w:cs="FrankRuehl" w:hint="cs"/>
          <w:sz w:val="26"/>
          <w:szCs w:val="26"/>
          <w:rtl/>
        </w:rPr>
        <w:t xml:space="preserve">להוות מקור לתחרות וחדשנות בכל אחד מהשירותים הפיננסים וכי מודל זה תומך </w:t>
      </w:r>
      <w:r w:rsidR="00D724B5">
        <w:rPr>
          <w:rFonts w:cs="FrankRuehl" w:hint="cs"/>
          <w:sz w:val="26"/>
          <w:szCs w:val="26"/>
          <w:rtl/>
        </w:rPr>
        <w:t>ב</w:t>
      </w:r>
      <w:r>
        <w:rPr>
          <w:rFonts w:cs="FrankRuehl" w:hint="cs"/>
          <w:sz w:val="26"/>
          <w:szCs w:val="26"/>
          <w:rtl/>
        </w:rPr>
        <w:t>צריכת שירותים בנקאיים</w:t>
      </w:r>
      <w:r w:rsidR="00D724B5">
        <w:rPr>
          <w:rFonts w:cs="FrankRuehl" w:hint="cs"/>
          <w:sz w:val="26"/>
          <w:szCs w:val="26"/>
          <w:rtl/>
        </w:rPr>
        <w:t xml:space="preserve"> בצורה פריקה</w:t>
      </w:r>
      <w:r>
        <w:rPr>
          <w:rFonts w:cs="FrankRuehl" w:hint="cs"/>
          <w:sz w:val="26"/>
          <w:szCs w:val="26"/>
          <w:rtl/>
        </w:rPr>
        <w:t>.</w:t>
      </w:r>
    </w:p>
    <w:p w:rsidR="00301D18" w:rsidRDefault="00301D18" w:rsidP="008C00CF">
      <w:pPr>
        <w:pStyle w:val="a3"/>
        <w:numPr>
          <w:ilvl w:val="1"/>
          <w:numId w:val="1"/>
        </w:numPr>
        <w:spacing w:line="360" w:lineRule="auto"/>
        <w:jc w:val="both"/>
        <w:rPr>
          <w:rFonts w:cs="FrankRuehl"/>
          <w:sz w:val="26"/>
          <w:szCs w:val="26"/>
        </w:rPr>
      </w:pPr>
      <w:r>
        <w:rPr>
          <w:rFonts w:cs="FrankRuehl" w:hint="cs"/>
          <w:sz w:val="26"/>
          <w:szCs w:val="26"/>
          <w:rtl/>
        </w:rPr>
        <w:lastRenderedPageBreak/>
        <w:t xml:space="preserve">כמו כן, </w:t>
      </w:r>
      <w:r w:rsidR="008C00CF">
        <w:rPr>
          <w:rFonts w:cs="FrankRuehl" w:hint="cs"/>
          <w:sz w:val="26"/>
          <w:szCs w:val="26"/>
          <w:rtl/>
        </w:rPr>
        <w:t xml:space="preserve">נדרשת </w:t>
      </w:r>
      <w:r>
        <w:rPr>
          <w:rFonts w:cs="FrankRuehl" w:hint="cs"/>
          <w:sz w:val="26"/>
          <w:szCs w:val="26"/>
          <w:rtl/>
        </w:rPr>
        <w:t xml:space="preserve">אסדרה </w:t>
      </w:r>
      <w:r w:rsidR="00963FEF">
        <w:rPr>
          <w:rFonts w:cs="FrankRuehl" w:hint="cs"/>
          <w:sz w:val="26"/>
          <w:szCs w:val="26"/>
          <w:rtl/>
        </w:rPr>
        <w:t xml:space="preserve"> </w:t>
      </w:r>
      <w:r>
        <w:rPr>
          <w:rFonts w:cs="FrankRuehl" w:hint="cs"/>
          <w:sz w:val="26"/>
          <w:szCs w:val="26"/>
          <w:rtl/>
        </w:rPr>
        <w:t xml:space="preserve">על מנת להסדיר את </w:t>
      </w:r>
      <w:r w:rsidR="008C00CF">
        <w:rPr>
          <w:rFonts w:cs="FrankRuehl" w:hint="cs"/>
          <w:sz w:val="26"/>
          <w:szCs w:val="26"/>
          <w:rtl/>
        </w:rPr>
        <w:t>יכולת ה</w:t>
      </w:r>
      <w:r>
        <w:rPr>
          <w:rFonts w:cs="FrankRuehl" w:hint="cs"/>
          <w:sz w:val="26"/>
          <w:szCs w:val="26"/>
          <w:rtl/>
        </w:rPr>
        <w:t>תפקוד</w:t>
      </w:r>
      <w:r w:rsidR="008C00CF">
        <w:rPr>
          <w:rFonts w:cs="FrankRuehl" w:hint="cs"/>
          <w:sz w:val="26"/>
          <w:szCs w:val="26"/>
          <w:rtl/>
        </w:rPr>
        <w:t xml:space="preserve"> התחרותי</w:t>
      </w:r>
      <w:r>
        <w:rPr>
          <w:rFonts w:cs="FrankRuehl" w:hint="cs"/>
          <w:sz w:val="26"/>
          <w:szCs w:val="26"/>
          <w:rtl/>
        </w:rPr>
        <w:t xml:space="preserve"> של חברות כרטיסי אשראי </w:t>
      </w:r>
      <w:r w:rsidR="008C00CF">
        <w:rPr>
          <w:rFonts w:cs="FrankRuehl" w:hint="cs"/>
          <w:sz w:val="26"/>
          <w:szCs w:val="26"/>
          <w:rtl/>
        </w:rPr>
        <w:t xml:space="preserve">אם אלה יפעלו שלא </w:t>
      </w:r>
      <w:r>
        <w:rPr>
          <w:rFonts w:cs="FrankRuehl" w:hint="cs"/>
          <w:sz w:val="26"/>
          <w:szCs w:val="26"/>
          <w:rtl/>
        </w:rPr>
        <w:t>כתאגידי עזר בנקאיים.</w:t>
      </w:r>
    </w:p>
    <w:p w:rsidR="00301D18" w:rsidRDefault="008C00CF" w:rsidP="00261B02">
      <w:pPr>
        <w:pStyle w:val="a3"/>
        <w:numPr>
          <w:ilvl w:val="1"/>
          <w:numId w:val="1"/>
        </w:numPr>
        <w:spacing w:line="360" w:lineRule="auto"/>
        <w:jc w:val="both"/>
        <w:rPr>
          <w:rFonts w:cs="FrankRuehl"/>
          <w:sz w:val="26"/>
          <w:szCs w:val="26"/>
        </w:rPr>
      </w:pPr>
      <w:r>
        <w:rPr>
          <w:rFonts w:cs="FrankRuehl" w:hint="cs"/>
          <w:sz w:val="26"/>
          <w:szCs w:val="26"/>
          <w:rtl/>
        </w:rPr>
        <w:t xml:space="preserve">עוד </w:t>
      </w:r>
      <w:r w:rsidR="00301D18">
        <w:rPr>
          <w:rFonts w:cs="FrankRuehl" w:hint="cs"/>
          <w:sz w:val="26"/>
          <w:szCs w:val="26"/>
          <w:rtl/>
        </w:rPr>
        <w:t>נאמר כי האסדרה מורכבת הן מסוגיות רגולציה והן מסוגיות טכנולוגיה</w:t>
      </w:r>
      <w:r>
        <w:rPr>
          <w:rFonts w:cs="FrankRuehl" w:hint="cs"/>
          <w:sz w:val="26"/>
          <w:szCs w:val="26"/>
          <w:rtl/>
        </w:rPr>
        <w:t xml:space="preserve"> וכי יש להבחין בין הרובד הטכנולוגי (מה ניתן ומה לא ניתן ובאיזו קלות ועלות) לבין הרובד הרגולטיבי (מה רצוי ומה אינו רצוי, לאילו תועלות ובאילו עלויות)</w:t>
      </w:r>
      <w:r w:rsidR="00301D18">
        <w:rPr>
          <w:rFonts w:cs="FrankRuehl" w:hint="cs"/>
          <w:sz w:val="26"/>
          <w:szCs w:val="26"/>
          <w:rtl/>
        </w:rPr>
        <w:t>.</w:t>
      </w:r>
    </w:p>
    <w:p w:rsidR="00301D18" w:rsidRDefault="00301D18" w:rsidP="008C00CF">
      <w:pPr>
        <w:pStyle w:val="a3"/>
        <w:numPr>
          <w:ilvl w:val="1"/>
          <w:numId w:val="1"/>
        </w:numPr>
        <w:spacing w:line="360" w:lineRule="auto"/>
        <w:jc w:val="both"/>
        <w:rPr>
          <w:rFonts w:cs="FrankRuehl"/>
          <w:sz w:val="26"/>
          <w:szCs w:val="26"/>
        </w:rPr>
      </w:pPr>
      <w:r>
        <w:rPr>
          <w:rFonts w:cs="FrankRuehl" w:hint="cs"/>
          <w:sz w:val="26"/>
          <w:szCs w:val="26"/>
          <w:rtl/>
        </w:rPr>
        <w:t>הוצג</w:t>
      </w:r>
      <w:r w:rsidR="008C00CF">
        <w:rPr>
          <w:rFonts w:cs="FrankRuehl" w:hint="cs"/>
          <w:sz w:val="26"/>
          <w:szCs w:val="26"/>
          <w:rtl/>
        </w:rPr>
        <w:t>ה גרסה</w:t>
      </w:r>
      <w:r>
        <w:rPr>
          <w:rFonts w:cs="FrankRuehl" w:hint="cs"/>
          <w:sz w:val="26"/>
          <w:szCs w:val="26"/>
          <w:rtl/>
        </w:rPr>
        <w:t xml:space="preserve"> </w:t>
      </w:r>
      <w:r w:rsidR="008C00CF">
        <w:rPr>
          <w:rFonts w:cs="FrankRuehl" w:hint="cs"/>
          <w:sz w:val="26"/>
          <w:szCs w:val="26"/>
          <w:rtl/>
        </w:rPr>
        <w:t>עקרונית (סכמה) ל</w:t>
      </w:r>
      <w:r>
        <w:rPr>
          <w:rFonts w:cs="FrankRuehl" w:hint="cs"/>
          <w:sz w:val="26"/>
          <w:szCs w:val="26"/>
          <w:rtl/>
        </w:rPr>
        <w:t>מצב הרצוי למערכות תשלומים ולפיקוח על השחקנים והשירותים השונים.</w:t>
      </w:r>
    </w:p>
    <w:p w:rsidR="008C00CF" w:rsidRDefault="008C00CF" w:rsidP="008C00CF">
      <w:pPr>
        <w:pStyle w:val="a3"/>
        <w:numPr>
          <w:ilvl w:val="1"/>
          <w:numId w:val="1"/>
        </w:numPr>
        <w:spacing w:line="360" w:lineRule="auto"/>
        <w:jc w:val="both"/>
        <w:rPr>
          <w:rFonts w:cs="FrankRuehl"/>
          <w:sz w:val="26"/>
          <w:szCs w:val="26"/>
        </w:rPr>
      </w:pPr>
      <w:r>
        <w:rPr>
          <w:rFonts w:cs="FrankRuehl" w:hint="cs"/>
          <w:sz w:val="26"/>
          <w:szCs w:val="26"/>
          <w:rtl/>
        </w:rPr>
        <w:t>חודדה האבחנה בין התחרות על השירותים השונים המרכיבים את ה-</w:t>
      </w:r>
      <w:r>
        <w:rPr>
          <w:rFonts w:cs="FrankRuehl"/>
          <w:sz w:val="26"/>
          <w:szCs w:val="26"/>
        </w:rPr>
        <w:t>Cluster</w:t>
      </w:r>
      <w:r>
        <w:rPr>
          <w:rFonts w:cs="FrankRuehl" w:hint="cs"/>
          <w:sz w:val="26"/>
          <w:szCs w:val="26"/>
          <w:rtl/>
        </w:rPr>
        <w:t xml:space="preserve"> הבנקאי והודגש כי יש להסתכל בכל סוג שירות כמוקד תחרות עצמאי: אשראי, </w:t>
      </w:r>
      <w:proofErr w:type="spellStart"/>
      <w:r>
        <w:rPr>
          <w:rFonts w:cs="FrankRuehl" w:hint="cs"/>
          <w:sz w:val="26"/>
          <w:szCs w:val="26"/>
          <w:rtl/>
        </w:rPr>
        <w:t>פקדונות</w:t>
      </w:r>
      <w:proofErr w:type="spellEnd"/>
      <w:r>
        <w:rPr>
          <w:rFonts w:cs="FrankRuehl" w:hint="cs"/>
          <w:sz w:val="26"/>
          <w:szCs w:val="26"/>
          <w:rtl/>
        </w:rPr>
        <w:t xml:space="preserve"> ואמצעי תשלום.</w:t>
      </w:r>
    </w:p>
    <w:p w:rsidR="00301D18" w:rsidRDefault="00301D18" w:rsidP="00C92F1A">
      <w:pPr>
        <w:pStyle w:val="a3"/>
        <w:numPr>
          <w:ilvl w:val="1"/>
          <w:numId w:val="1"/>
        </w:numPr>
        <w:spacing w:line="360" w:lineRule="auto"/>
        <w:jc w:val="both"/>
        <w:rPr>
          <w:rFonts w:cs="FrankRuehl"/>
          <w:sz w:val="26"/>
          <w:szCs w:val="26"/>
        </w:rPr>
      </w:pPr>
      <w:r>
        <w:rPr>
          <w:rFonts w:cs="FrankRuehl" w:hint="cs"/>
          <w:sz w:val="26"/>
          <w:szCs w:val="26"/>
          <w:rtl/>
        </w:rPr>
        <w:t xml:space="preserve">הוצג המצב הרצוי </w:t>
      </w:r>
      <w:r w:rsidR="00C92F1A">
        <w:rPr>
          <w:rFonts w:cs="FrankRuehl" w:hint="cs"/>
          <w:sz w:val="26"/>
          <w:szCs w:val="26"/>
          <w:rtl/>
        </w:rPr>
        <w:t xml:space="preserve">לשוק </w:t>
      </w:r>
      <w:proofErr w:type="spellStart"/>
      <w:r>
        <w:rPr>
          <w:rFonts w:cs="FrankRuehl" w:hint="cs"/>
          <w:sz w:val="26"/>
          <w:szCs w:val="26"/>
          <w:rtl/>
        </w:rPr>
        <w:t>האשראי</w:t>
      </w:r>
      <w:r w:rsidR="00C92F1A">
        <w:rPr>
          <w:rFonts w:cs="FrankRuehl" w:hint="cs"/>
          <w:sz w:val="26"/>
          <w:szCs w:val="26"/>
          <w:rtl/>
        </w:rPr>
        <w:t>.נאמר</w:t>
      </w:r>
      <w:proofErr w:type="spellEnd"/>
      <w:r w:rsidR="00C92F1A">
        <w:rPr>
          <w:rFonts w:cs="FrankRuehl" w:hint="cs"/>
          <w:sz w:val="26"/>
          <w:szCs w:val="26"/>
          <w:rtl/>
        </w:rPr>
        <w:t xml:space="preserve"> כי ה</w:t>
      </w:r>
      <w:r>
        <w:rPr>
          <w:rFonts w:cs="FrankRuehl" w:hint="cs"/>
          <w:sz w:val="26"/>
          <w:szCs w:val="26"/>
          <w:rtl/>
        </w:rPr>
        <w:t xml:space="preserve">רגולציה </w:t>
      </w:r>
      <w:r w:rsidR="00C92F1A">
        <w:rPr>
          <w:rFonts w:cs="FrankRuehl" w:hint="cs"/>
          <w:sz w:val="26"/>
          <w:szCs w:val="26"/>
          <w:rtl/>
        </w:rPr>
        <w:t xml:space="preserve">צריכה להיות </w:t>
      </w:r>
      <w:r>
        <w:rPr>
          <w:rFonts w:cs="FrankRuehl" w:hint="cs"/>
          <w:sz w:val="26"/>
          <w:szCs w:val="26"/>
          <w:rtl/>
        </w:rPr>
        <w:t>בהתאם לשירות</w:t>
      </w:r>
      <w:r w:rsidR="00C92F1A">
        <w:rPr>
          <w:rFonts w:cs="FrankRuehl" w:hint="cs"/>
          <w:sz w:val="26"/>
          <w:szCs w:val="26"/>
          <w:rtl/>
        </w:rPr>
        <w:t>, להיקף</w:t>
      </w:r>
      <w:r>
        <w:rPr>
          <w:rFonts w:cs="FrankRuehl" w:hint="cs"/>
          <w:sz w:val="26"/>
          <w:szCs w:val="26"/>
          <w:rtl/>
        </w:rPr>
        <w:t xml:space="preserve"> ולסיכון.</w:t>
      </w:r>
    </w:p>
    <w:p w:rsidR="00301D18" w:rsidRDefault="00301D18" w:rsidP="00301D18">
      <w:pPr>
        <w:pStyle w:val="a3"/>
        <w:numPr>
          <w:ilvl w:val="0"/>
          <w:numId w:val="1"/>
        </w:numPr>
        <w:spacing w:line="360" w:lineRule="auto"/>
        <w:jc w:val="both"/>
        <w:rPr>
          <w:rFonts w:cs="FrankRuehl"/>
          <w:sz w:val="26"/>
          <w:szCs w:val="26"/>
        </w:rPr>
      </w:pPr>
      <w:r>
        <w:rPr>
          <w:rFonts w:cs="FrankRuehl" w:hint="cs"/>
          <w:sz w:val="26"/>
          <w:szCs w:val="26"/>
          <w:rtl/>
        </w:rPr>
        <w:t>יו"ר הוועדה, דרור שטרום, הודה למשתתפים ונעל את הישיבה.</w:t>
      </w:r>
    </w:p>
    <w:p w:rsidR="00301D18" w:rsidRPr="00301D18" w:rsidRDefault="004676C5" w:rsidP="00301D18">
      <w:pPr>
        <w:spacing w:line="360" w:lineRule="auto"/>
        <w:jc w:val="both"/>
        <w:rPr>
          <w:rFonts w:cs="FrankRuehl"/>
          <w:sz w:val="26"/>
          <w:szCs w:val="26"/>
        </w:rPr>
      </w:pPr>
      <w:r>
        <w:rPr>
          <w:rFonts w:cs="FrankRuehl" w:hint="cs"/>
          <w:sz w:val="26"/>
          <w:szCs w:val="26"/>
          <w:rtl/>
        </w:rPr>
        <w:t xml:space="preserve"> </w:t>
      </w:r>
    </w:p>
    <w:sectPr w:rsidR="00301D18" w:rsidRPr="00301D18"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C8B"/>
    <w:multiLevelType w:val="hybridMultilevel"/>
    <w:tmpl w:val="59AA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E6B794">
      <w:numFmt w:val="bullet"/>
      <w:lvlText w:val="-"/>
      <w:lvlJc w:val="left"/>
      <w:pPr>
        <w:ind w:left="2160" w:hanging="360"/>
      </w:pPr>
      <w:rPr>
        <w:rFonts w:asciiTheme="minorHAnsi" w:eastAsiaTheme="minorHAnsi" w:hAnsiTheme="minorHAnsi" w:cs="FrankRueh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1619"/>
    <w:multiLevelType w:val="hybridMultilevel"/>
    <w:tmpl w:val="F962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02"/>
    <w:rsid w:val="00054BEC"/>
    <w:rsid w:val="001E0220"/>
    <w:rsid w:val="00243D95"/>
    <w:rsid w:val="00261B02"/>
    <w:rsid w:val="002C6356"/>
    <w:rsid w:val="002E57B5"/>
    <w:rsid w:val="00301D18"/>
    <w:rsid w:val="00313167"/>
    <w:rsid w:val="003706B0"/>
    <w:rsid w:val="003B3B91"/>
    <w:rsid w:val="003E7DC9"/>
    <w:rsid w:val="004676C5"/>
    <w:rsid w:val="004B51BA"/>
    <w:rsid w:val="004F47D6"/>
    <w:rsid w:val="00553166"/>
    <w:rsid w:val="005A7B94"/>
    <w:rsid w:val="005D03ED"/>
    <w:rsid w:val="00610A56"/>
    <w:rsid w:val="006F3A0D"/>
    <w:rsid w:val="00733405"/>
    <w:rsid w:val="008C00CF"/>
    <w:rsid w:val="00905581"/>
    <w:rsid w:val="00923B07"/>
    <w:rsid w:val="0093300F"/>
    <w:rsid w:val="0094586B"/>
    <w:rsid w:val="00963FEF"/>
    <w:rsid w:val="00973EBA"/>
    <w:rsid w:val="00AF4097"/>
    <w:rsid w:val="00C92F1A"/>
    <w:rsid w:val="00CA26D6"/>
    <w:rsid w:val="00CB5716"/>
    <w:rsid w:val="00D724B5"/>
    <w:rsid w:val="00DF7FDA"/>
    <w:rsid w:val="00E40354"/>
    <w:rsid w:val="00F039CC"/>
    <w:rsid w:val="00F42C45"/>
    <w:rsid w:val="00FE74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B0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B02"/>
    <w:pPr>
      <w:ind w:left="720"/>
      <w:contextualSpacing/>
    </w:pPr>
  </w:style>
  <w:style w:type="paragraph" w:styleId="a4">
    <w:name w:val="Balloon Text"/>
    <w:basedOn w:val="a"/>
    <w:link w:val="a5"/>
    <w:uiPriority w:val="99"/>
    <w:semiHidden/>
    <w:unhideWhenUsed/>
    <w:rsid w:val="00D724B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D724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B0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B02"/>
    <w:pPr>
      <w:ind w:left="720"/>
      <w:contextualSpacing/>
    </w:pPr>
  </w:style>
  <w:style w:type="paragraph" w:styleId="a4">
    <w:name w:val="Balloon Text"/>
    <w:basedOn w:val="a"/>
    <w:link w:val="a5"/>
    <w:uiPriority w:val="99"/>
    <w:semiHidden/>
    <w:unhideWhenUsed/>
    <w:rsid w:val="00D724B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D72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6</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Props1.xml><?xml version="1.0" encoding="utf-8"?>
<ds:datastoreItem xmlns:ds="http://schemas.openxmlformats.org/officeDocument/2006/customXml" ds:itemID="{3DD509D5-0C1C-4E48-A461-EBC23024F4E5}"/>
</file>

<file path=customXml/itemProps2.xml><?xml version="1.0" encoding="utf-8"?>
<ds:datastoreItem xmlns:ds="http://schemas.openxmlformats.org/officeDocument/2006/customXml" ds:itemID="{B7F1F82A-672D-4F41-AE29-710508CF7862}"/>
</file>

<file path=customXml/itemProps3.xml><?xml version="1.0" encoding="utf-8"?>
<ds:datastoreItem xmlns:ds="http://schemas.openxmlformats.org/officeDocument/2006/customXml" ds:itemID="{14044865-1FDF-4940-9B80-456CAA9F2794}"/>
</file>

<file path=customXml/itemProps4.xml><?xml version="1.0" encoding="utf-8"?>
<ds:datastoreItem xmlns:ds="http://schemas.openxmlformats.org/officeDocument/2006/customXml" ds:itemID="{E9BD025B-5273-47AA-B896-BB02FC3BB8A0}"/>
</file>

<file path=docProps/app.xml><?xml version="1.0" encoding="utf-8"?>
<Properties xmlns="http://schemas.openxmlformats.org/officeDocument/2006/extended-properties" xmlns:vt="http://schemas.openxmlformats.org/officeDocument/2006/docPropsVTypes">
  <Template>Normal</Template>
  <TotalTime>6</TotalTime>
  <Pages>4</Pages>
  <Words>931</Words>
  <Characters>4657</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01.07.2015</dc:title>
  <dc:creator>מעבדה טכני</dc:creator>
  <cp:lastModifiedBy>אבי כהן</cp:lastModifiedBy>
  <cp:revision>8</cp:revision>
  <dcterms:created xsi:type="dcterms:W3CDTF">2015-07-06T17:29:00Z</dcterms:created>
  <dcterms:modified xsi:type="dcterms:W3CDTF">2016-01-05T17:56:00Z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