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2EE6" w14:textId="77777777" w:rsidR="00194DC8" w:rsidRDefault="00194DC8" w:rsidP="00194DC8">
      <w:pPr>
        <w:jc w:val="right"/>
        <w:rPr>
          <w:rtl/>
        </w:rPr>
      </w:pPr>
    </w:p>
    <w:p w14:paraId="58CA77D0" w14:textId="465AC329" w:rsidR="00194DC8" w:rsidRPr="00750138" w:rsidRDefault="00B43CFB" w:rsidP="00750138">
      <w:pPr>
        <w:pStyle w:val="Heading1"/>
        <w:spacing w:line="360" w:lineRule="auto"/>
        <w:rPr>
          <w:rFonts w:ascii="David" w:hAnsi="David" w:cs="David"/>
          <w:b/>
          <w:bCs/>
          <w:color w:val="auto"/>
          <w:sz w:val="28"/>
          <w:szCs w:val="28"/>
          <w:rtl/>
        </w:rPr>
      </w:pPr>
      <w:r w:rsidRPr="00750138">
        <w:rPr>
          <w:rFonts w:ascii="David" w:hAnsi="David" w:cs="David"/>
          <w:b/>
          <w:bCs/>
          <w:color w:val="auto"/>
          <w:sz w:val="28"/>
          <w:szCs w:val="28"/>
          <w:rtl/>
        </w:rPr>
        <w:t>ריכוז הערות ציבור ל</w:t>
      </w:r>
      <w:r w:rsidR="006A1D33" w:rsidRPr="00750138">
        <w:rPr>
          <w:rFonts w:ascii="David" w:hAnsi="David" w:cs="David"/>
          <w:b/>
          <w:bCs/>
          <w:color w:val="auto"/>
          <w:sz w:val="28"/>
          <w:szCs w:val="28"/>
          <w:rtl/>
        </w:rPr>
        <w:t>מתכונת</w:t>
      </w:r>
      <w:r w:rsidRPr="00750138">
        <w:rPr>
          <w:rFonts w:ascii="David" w:hAnsi="David" w:cs="David"/>
          <w:b/>
          <w:bCs/>
          <w:color w:val="auto"/>
          <w:sz w:val="28"/>
          <w:szCs w:val="28"/>
          <w:rtl/>
        </w:rPr>
        <w:t xml:space="preserve"> דיווח – חוק הפיקדון:</w:t>
      </w:r>
    </w:p>
    <w:tbl>
      <w:tblPr>
        <w:tblStyle w:val="TableGrid"/>
        <w:tblpPr w:leftFromText="180" w:rightFromText="180" w:vertAnchor="text" w:horzAnchor="margin" w:tblpXSpec="center" w:tblpY="165"/>
        <w:bidiVisual/>
        <w:tblW w:w="9574" w:type="dxa"/>
        <w:tblLook w:val="04A0" w:firstRow="1" w:lastRow="0" w:firstColumn="1" w:lastColumn="0" w:noHBand="0" w:noVBand="1"/>
      </w:tblPr>
      <w:tblGrid>
        <w:gridCol w:w="5046"/>
        <w:gridCol w:w="4528"/>
      </w:tblGrid>
      <w:tr w:rsidR="00545BBD" w14:paraId="2B946CBB" w14:textId="77777777" w:rsidTr="00BA443B">
        <w:trPr>
          <w:trHeight w:val="416"/>
        </w:trPr>
        <w:tc>
          <w:tcPr>
            <w:tcW w:w="5046" w:type="dxa"/>
            <w:vAlign w:val="center"/>
          </w:tcPr>
          <w:p w14:paraId="383E9EE1" w14:textId="77777777" w:rsidR="00545BBD" w:rsidRPr="00750138" w:rsidRDefault="00545BBD" w:rsidP="00750138">
            <w:pPr>
              <w:rPr>
                <w:b/>
                <w:bCs/>
                <w:rtl/>
              </w:rPr>
            </w:pPr>
            <w:r w:rsidRPr="00750138">
              <w:rPr>
                <w:rFonts w:hint="cs"/>
                <w:b/>
                <w:bCs/>
                <w:rtl/>
              </w:rPr>
              <w:t>עיקרי הפנייה:</w:t>
            </w:r>
          </w:p>
        </w:tc>
        <w:tc>
          <w:tcPr>
            <w:tcW w:w="4528" w:type="dxa"/>
            <w:vAlign w:val="center"/>
          </w:tcPr>
          <w:p w14:paraId="5561FF85" w14:textId="77777777" w:rsidR="00545BBD" w:rsidRPr="00750138" w:rsidRDefault="00545BBD" w:rsidP="00750138">
            <w:pPr>
              <w:rPr>
                <w:b/>
                <w:bCs/>
                <w:rtl/>
              </w:rPr>
            </w:pPr>
            <w:r w:rsidRPr="00750138">
              <w:rPr>
                <w:rFonts w:hint="cs"/>
                <w:b/>
                <w:bCs/>
                <w:rtl/>
              </w:rPr>
              <w:t>התייחסות המשרד:</w:t>
            </w:r>
          </w:p>
        </w:tc>
      </w:tr>
      <w:tr w:rsidR="00545BBD" w14:paraId="2FD44CD8" w14:textId="77777777" w:rsidTr="008E62CE">
        <w:trPr>
          <w:trHeight w:val="918"/>
        </w:trPr>
        <w:tc>
          <w:tcPr>
            <w:tcW w:w="5046" w:type="dxa"/>
            <w:vAlign w:val="center"/>
          </w:tcPr>
          <w:p w14:paraId="781C0C7C" w14:textId="77777777" w:rsidR="00545BBD" w:rsidRPr="005E247F" w:rsidRDefault="00545BBD" w:rsidP="00750138">
            <w:pPr>
              <w:rPr>
                <w:rtl/>
              </w:rPr>
            </w:pPr>
            <w:r w:rsidRPr="005E247F">
              <w:rPr>
                <w:rFonts w:hint="cs"/>
                <w:rtl/>
              </w:rPr>
              <w:t>מבקשים להגדיר שאין איסוף מתחנות מעבר.</w:t>
            </w:r>
          </w:p>
          <w:p w14:paraId="6717E6FB" w14:textId="77777777" w:rsidR="00545BBD" w:rsidRDefault="00545BBD" w:rsidP="00750138">
            <w:pPr>
              <w:rPr>
                <w:rtl/>
              </w:rPr>
            </w:pPr>
          </w:p>
        </w:tc>
        <w:tc>
          <w:tcPr>
            <w:tcW w:w="4528" w:type="dxa"/>
            <w:vAlign w:val="center"/>
          </w:tcPr>
          <w:p w14:paraId="1B0527CB" w14:textId="25F7AE6A" w:rsidR="00545BBD" w:rsidRPr="00B22526" w:rsidRDefault="00545BBD" w:rsidP="00750138">
            <w:pPr>
              <w:rPr>
                <w:rtl/>
              </w:rPr>
            </w:pPr>
            <w:r>
              <w:rPr>
                <w:rFonts w:hint="cs"/>
                <w:rtl/>
              </w:rPr>
              <w:t>לא ניתן להטמיע את ההערה במתכונת הדיווח, בהתאם לחוות דעת משפטית של המשרד.</w:t>
            </w:r>
            <w:r w:rsidR="00750138">
              <w:rPr>
                <w:rFonts w:hint="cs"/>
                <w:rtl/>
              </w:rPr>
              <w:t xml:space="preserve"> </w:t>
            </w:r>
            <w:r w:rsidR="006E12F3">
              <w:rPr>
                <w:rFonts w:hint="cs"/>
                <w:rtl/>
              </w:rPr>
              <w:t xml:space="preserve">יחד עם זאת יוער </w:t>
            </w:r>
            <w:r w:rsidR="002E2D7A">
              <w:rPr>
                <w:rFonts w:hint="cs"/>
                <w:rtl/>
              </w:rPr>
              <w:t xml:space="preserve">כי </w:t>
            </w:r>
            <w:r w:rsidR="006E12F3">
              <w:rPr>
                <w:rFonts w:hint="cs"/>
                <w:rtl/>
              </w:rPr>
              <w:t>המשרד בוחן את האפשרות של שינוי הגדרת "</w:t>
            </w:r>
            <w:r w:rsidR="00750138">
              <w:rPr>
                <w:rFonts w:hint="cs"/>
                <w:rtl/>
              </w:rPr>
              <w:t>מחזור</w:t>
            </w:r>
            <w:r w:rsidR="006E12F3">
              <w:rPr>
                <w:rFonts w:hint="cs"/>
                <w:rtl/>
              </w:rPr>
              <w:t>" לפי החוק כך שלא יוכר</w:t>
            </w:r>
            <w:r w:rsidR="002E2D7A">
              <w:rPr>
                <w:rFonts w:hint="cs"/>
                <w:rtl/>
              </w:rPr>
              <w:t>ו</w:t>
            </w:r>
            <w:r w:rsidR="006E12F3">
              <w:rPr>
                <w:rFonts w:hint="cs"/>
                <w:rtl/>
              </w:rPr>
              <w:t xml:space="preserve"> </w:t>
            </w:r>
            <w:r w:rsidR="002E2D7A">
              <w:rPr>
                <w:rFonts w:hint="cs"/>
                <w:rtl/>
              </w:rPr>
              <w:t xml:space="preserve">מכלי משקה ליעדי </w:t>
            </w:r>
            <w:r w:rsidR="00325903">
              <w:rPr>
                <w:rFonts w:hint="cs"/>
                <w:rtl/>
              </w:rPr>
              <w:t>האיסוף והמחזור</w:t>
            </w:r>
            <w:r w:rsidR="006E12F3">
              <w:rPr>
                <w:rFonts w:hint="cs"/>
                <w:rtl/>
              </w:rPr>
              <w:t xml:space="preserve"> שלא הופרד</w:t>
            </w:r>
            <w:r w:rsidR="002E2D7A">
              <w:rPr>
                <w:rFonts w:hint="cs"/>
                <w:rtl/>
              </w:rPr>
              <w:t>ו</w:t>
            </w:r>
            <w:r w:rsidR="006E12F3">
              <w:rPr>
                <w:rFonts w:hint="cs"/>
                <w:rtl/>
              </w:rPr>
              <w:t xml:space="preserve"> במקור ובכך לא תוכר ההפרדה בתחנות המעבר/מיון</w:t>
            </w:r>
            <w:r w:rsidR="002E2D7A">
              <w:rPr>
                <w:rFonts w:hint="cs"/>
                <w:rtl/>
              </w:rPr>
              <w:t xml:space="preserve"> ליעדים</w:t>
            </w:r>
            <w:r w:rsidR="006E12F3">
              <w:rPr>
                <w:rFonts w:hint="cs"/>
                <w:rtl/>
              </w:rPr>
              <w:t>.</w:t>
            </w:r>
          </w:p>
        </w:tc>
      </w:tr>
      <w:tr w:rsidR="00545BBD" w14:paraId="3A1F4826" w14:textId="77777777" w:rsidTr="008E62CE">
        <w:trPr>
          <w:trHeight w:val="1257"/>
        </w:trPr>
        <w:tc>
          <w:tcPr>
            <w:tcW w:w="5046" w:type="dxa"/>
            <w:vAlign w:val="center"/>
          </w:tcPr>
          <w:p w14:paraId="7E94D9D9" w14:textId="28FBF98E" w:rsidR="00545BBD" w:rsidRPr="005E247F" w:rsidRDefault="00750138" w:rsidP="00750138">
            <w:pPr>
              <w:rPr>
                <w:rtl/>
              </w:rPr>
            </w:pPr>
            <w:r>
              <w:rPr>
                <w:rFonts w:hint="cs"/>
                <w:rtl/>
              </w:rPr>
              <w:t>שרפה</w:t>
            </w:r>
            <w:r w:rsidR="00545BBD" w:rsidRPr="005E247F">
              <w:rPr>
                <w:rFonts w:hint="cs"/>
                <w:rtl/>
              </w:rPr>
              <w:t xml:space="preserve"> והפיכה ל</w:t>
            </w:r>
            <w:r>
              <w:rPr>
                <w:rFonts w:hint="cs"/>
                <w:rtl/>
              </w:rPr>
              <w:t>אנרגייה</w:t>
            </w:r>
            <w:r w:rsidR="00545BBD" w:rsidRPr="005E247F">
              <w:rPr>
                <w:rFonts w:hint="cs"/>
                <w:rtl/>
              </w:rPr>
              <w:t xml:space="preserve"> לא יחשבו כ</w:t>
            </w:r>
            <w:r w:rsidR="00545BBD">
              <w:rPr>
                <w:rFonts w:hint="cs"/>
                <w:rtl/>
              </w:rPr>
              <w:t>מחזור</w:t>
            </w:r>
            <w:r w:rsidR="00545BBD" w:rsidRPr="005E247F">
              <w:rPr>
                <w:rFonts w:hint="cs"/>
                <w:rtl/>
              </w:rPr>
              <w:t>.</w:t>
            </w:r>
          </w:p>
          <w:p w14:paraId="2F7662CD" w14:textId="77777777" w:rsidR="00545BBD" w:rsidRDefault="00545BBD" w:rsidP="00750138">
            <w:pPr>
              <w:rPr>
                <w:rtl/>
              </w:rPr>
            </w:pPr>
          </w:p>
        </w:tc>
        <w:tc>
          <w:tcPr>
            <w:tcW w:w="4528" w:type="dxa"/>
            <w:vAlign w:val="center"/>
          </w:tcPr>
          <w:p w14:paraId="6BB92DCF" w14:textId="1889BBF0" w:rsidR="00545BBD" w:rsidRPr="00B22526" w:rsidRDefault="00545BBD" w:rsidP="00750138">
            <w:pPr>
              <w:rPr>
                <w:rtl/>
              </w:rPr>
            </w:pPr>
            <w:r>
              <w:rPr>
                <w:rFonts w:hint="cs"/>
                <w:rtl/>
              </w:rPr>
              <w:t>לא ניתן להטמיע את ההערה במתכונת הדיווח בהתאם לחוות דעת משפטית של המשרד, יחד עם זאת יוער המשרד בוחן את האפשרות של שינוי הגדרת "</w:t>
            </w:r>
            <w:r w:rsidR="00750138">
              <w:rPr>
                <w:rFonts w:hint="cs"/>
                <w:rtl/>
              </w:rPr>
              <w:t>מחזור</w:t>
            </w:r>
            <w:r>
              <w:rPr>
                <w:rFonts w:hint="cs"/>
                <w:rtl/>
              </w:rPr>
              <w:t>" לפי החוק.</w:t>
            </w:r>
          </w:p>
        </w:tc>
      </w:tr>
      <w:tr w:rsidR="00545BBD" w14:paraId="314A959A" w14:textId="77777777" w:rsidTr="008E62CE">
        <w:trPr>
          <w:trHeight w:val="1487"/>
        </w:trPr>
        <w:tc>
          <w:tcPr>
            <w:tcW w:w="5046" w:type="dxa"/>
            <w:vAlign w:val="center"/>
          </w:tcPr>
          <w:p w14:paraId="5D1FADA6" w14:textId="77777777" w:rsidR="00545BBD" w:rsidRPr="005E247F" w:rsidRDefault="00545BBD" w:rsidP="00750138">
            <w:pPr>
              <w:rPr>
                <w:rtl/>
              </w:rPr>
            </w:pPr>
            <w:r w:rsidRPr="005E247F">
              <w:rPr>
                <w:rFonts w:hint="cs"/>
                <w:rtl/>
              </w:rPr>
              <w:t xml:space="preserve">יש להגדיר את רמת השירות של פינוי </w:t>
            </w:r>
            <w:r>
              <w:rPr>
                <w:rFonts w:hint="cs"/>
                <w:rtl/>
              </w:rPr>
              <w:t>מכלי</w:t>
            </w:r>
            <w:r w:rsidRPr="005E247F">
              <w:rPr>
                <w:rFonts w:hint="cs"/>
                <w:rtl/>
              </w:rPr>
              <w:t xml:space="preserve"> משקה על ידי היצרנים.</w:t>
            </w:r>
          </w:p>
          <w:p w14:paraId="23559CF6" w14:textId="77777777" w:rsidR="00545BBD" w:rsidRDefault="00545BBD" w:rsidP="00750138">
            <w:pPr>
              <w:rPr>
                <w:rtl/>
              </w:rPr>
            </w:pPr>
          </w:p>
        </w:tc>
        <w:tc>
          <w:tcPr>
            <w:tcW w:w="4528" w:type="dxa"/>
            <w:vAlign w:val="center"/>
          </w:tcPr>
          <w:p w14:paraId="2673532C" w14:textId="77777777" w:rsidR="00545BBD" w:rsidRDefault="00545BBD" w:rsidP="00750138">
            <w:pPr>
              <w:rPr>
                <w:rtl/>
              </w:rPr>
            </w:pPr>
            <w:r>
              <w:rPr>
                <w:rFonts w:hint="cs"/>
                <w:rtl/>
              </w:rPr>
              <w:t>רמת שירות הפינוי אינה נמנית בין הפרטים הנדרשים בדיווח לפי סעיף 10 לחוק, יוער כי המשרד מבצע עבודה לגיבוש הוראות לתדירות פינוי של מכלי משקה ריקים מבתי עסק לפי סעיף 7(ג) לחוק.</w:t>
            </w:r>
          </w:p>
        </w:tc>
      </w:tr>
      <w:tr w:rsidR="00545BBD" w14:paraId="1093CB19" w14:textId="77777777" w:rsidTr="008E62CE">
        <w:trPr>
          <w:trHeight w:val="2719"/>
        </w:trPr>
        <w:tc>
          <w:tcPr>
            <w:tcW w:w="5046" w:type="dxa"/>
            <w:vAlign w:val="center"/>
          </w:tcPr>
          <w:p w14:paraId="155A0DE3" w14:textId="77777777" w:rsidR="00545BBD" w:rsidRDefault="00545BBD" w:rsidP="00750138">
            <w:r>
              <w:rPr>
                <w:rFonts w:hint="cs"/>
                <w:rtl/>
              </w:rPr>
              <w:t>יש צורך בוודאות לגבי האסמכתאות הנדרשות.</w:t>
            </w:r>
          </w:p>
          <w:p w14:paraId="3AD3883E" w14:textId="77777777" w:rsidR="00545BBD" w:rsidRPr="00E51052" w:rsidRDefault="00545BBD" w:rsidP="00750138">
            <w:pPr>
              <w:rPr>
                <w:rtl/>
              </w:rPr>
            </w:pPr>
          </w:p>
        </w:tc>
        <w:tc>
          <w:tcPr>
            <w:tcW w:w="4528" w:type="dxa"/>
            <w:vAlign w:val="center"/>
          </w:tcPr>
          <w:p w14:paraId="601E9700" w14:textId="2EBAE4C7" w:rsidR="00545BBD" w:rsidRPr="009606F3" w:rsidRDefault="00545BBD" w:rsidP="00750138">
            <w:pPr>
              <w:rPr>
                <w:rtl/>
              </w:rPr>
            </w:pPr>
            <w:r>
              <w:rPr>
                <w:rFonts w:hint="cs"/>
                <w:rtl/>
              </w:rPr>
              <w:t xml:space="preserve">לא ניתן לייצר רשימה סגורה של אסמכתאות. החוק מסמיך את </w:t>
            </w:r>
            <w:r w:rsidRPr="002E1878">
              <w:rPr>
                <w:rtl/>
              </w:rPr>
              <w:t>הממונה או מי מטעמו, לדרוש מיצרן או יבואן להמציא לו כל מידע ששימש לעריכת הדוח.</w:t>
            </w:r>
            <w:r>
              <w:rPr>
                <w:rFonts w:hint="cs"/>
                <w:rtl/>
              </w:rPr>
              <w:t xml:space="preserve"> על מנת לייצר מידה מסוימת של וודאות, </w:t>
            </w:r>
            <w:r w:rsidR="006A1D33">
              <w:rPr>
                <w:rFonts w:hint="cs"/>
                <w:rtl/>
              </w:rPr>
              <w:t>מתכונת הדיווח</w:t>
            </w:r>
            <w:r>
              <w:rPr>
                <w:rFonts w:hint="cs"/>
                <w:rtl/>
              </w:rPr>
              <w:t xml:space="preserve"> מונה רשימה לא סגורה של אסמכתאות שהממונה עשוי לדרוש. על היצרנים והיבואנים לוודא שיש ברשותם את כל האסמכתאות שהיוו בסיס נאות לעמידה ביעדים. במסגרת זו עליהם לוודא שכל נותני השירותים בשרשרת הטיפול בפסולת שאיתם הם עובדים, הם בעלי מערכת רישום וניהול מידע נאות, לרבות באשר למלאים אותם הם מנהלים.</w:t>
            </w:r>
          </w:p>
        </w:tc>
      </w:tr>
      <w:tr w:rsidR="00545BBD" w14:paraId="2EB0C323" w14:textId="77777777" w:rsidTr="008E62CE">
        <w:trPr>
          <w:trHeight w:val="830"/>
        </w:trPr>
        <w:tc>
          <w:tcPr>
            <w:tcW w:w="5046" w:type="dxa"/>
            <w:vAlign w:val="center"/>
          </w:tcPr>
          <w:p w14:paraId="10E3275F" w14:textId="77777777" w:rsidR="00545BBD" w:rsidRDefault="00545BBD" w:rsidP="00750138">
            <w:pPr>
              <w:rPr>
                <w:rtl/>
              </w:rPr>
            </w:pPr>
          </w:p>
          <w:p w14:paraId="756A1E35" w14:textId="77777777" w:rsidR="00545BBD" w:rsidRDefault="00545BBD" w:rsidP="00750138">
            <w:r>
              <w:rPr>
                <w:rFonts w:hint="cs"/>
                <w:rtl/>
              </w:rPr>
              <w:t>נדרשת התייחסות מיוחדת לגבי אופן הדיווח בגין חודש דצמבר 2021.</w:t>
            </w:r>
          </w:p>
          <w:p w14:paraId="0315C806" w14:textId="77777777" w:rsidR="00545BBD" w:rsidRPr="002647B1" w:rsidRDefault="00545BBD" w:rsidP="00750138">
            <w:pPr>
              <w:rPr>
                <w:rtl/>
              </w:rPr>
            </w:pPr>
          </w:p>
        </w:tc>
        <w:tc>
          <w:tcPr>
            <w:tcW w:w="4528" w:type="dxa"/>
            <w:vAlign w:val="center"/>
          </w:tcPr>
          <w:p w14:paraId="75A74FE4" w14:textId="77777777" w:rsidR="00545BBD" w:rsidRPr="002647B1" w:rsidRDefault="00545BBD" w:rsidP="00750138">
            <w:pPr>
              <w:rPr>
                <w:rtl/>
              </w:rPr>
            </w:pPr>
            <w:r>
              <w:rPr>
                <w:rFonts w:hint="cs"/>
                <w:rtl/>
              </w:rPr>
              <w:t>ביום 16.3.2022 פורסמה הנחיה בעניין הדיווח עבור חודש דצמבר 2021.</w:t>
            </w:r>
          </w:p>
        </w:tc>
      </w:tr>
      <w:tr w:rsidR="00545BBD" w14:paraId="5A62BF49" w14:textId="77777777" w:rsidTr="008E62CE">
        <w:trPr>
          <w:trHeight w:val="1864"/>
        </w:trPr>
        <w:tc>
          <w:tcPr>
            <w:tcW w:w="5046" w:type="dxa"/>
            <w:vAlign w:val="center"/>
          </w:tcPr>
          <w:p w14:paraId="4E3AD015" w14:textId="2660D9EA" w:rsidR="00545BBD" w:rsidRPr="0079249F" w:rsidRDefault="00545BBD" w:rsidP="00750138">
            <w:pPr>
              <w:rPr>
                <w:rtl/>
              </w:rPr>
            </w:pPr>
            <w:r>
              <w:rPr>
                <w:rFonts w:hint="cs"/>
                <w:rtl/>
              </w:rPr>
              <w:t>האסמכתאות המפורטות בסעיף 2.א.4 לנספח אינן ממצות שכן כל החזר פיקדון מוכר לצורך הדיווח (גם לאספנים לדוג')</w:t>
            </w:r>
            <w:r w:rsidR="00BD508B">
              <w:rPr>
                <w:rFonts w:hint="cs"/>
                <w:rtl/>
              </w:rPr>
              <w:t>.</w:t>
            </w:r>
          </w:p>
        </w:tc>
        <w:tc>
          <w:tcPr>
            <w:tcW w:w="4528" w:type="dxa"/>
            <w:vAlign w:val="center"/>
          </w:tcPr>
          <w:p w14:paraId="414DA293" w14:textId="77777777" w:rsidR="00545BBD" w:rsidRDefault="00545BBD" w:rsidP="00750138">
            <w:pPr>
              <w:rPr>
                <w:rtl/>
              </w:rPr>
            </w:pPr>
            <w:r>
              <w:rPr>
                <w:rFonts w:hint="cs"/>
                <w:rtl/>
              </w:rPr>
              <w:t>תשלום לאספנים ולתחנות מעבר ומיון אינו מהווה החזר פיקדון, אלא תמורה עבור שירותי איסוף ושירותי מיון. לפיכך, האסמכתא הפיננסית אינה משקפת בהכרח את היקף מכלי המשקה שנאספו, אלא רק את התשלום שניתן עבור האיסוף. החזר פיקדון הוא לצרכנים או לבתי עסק בלבד, ככל שהעניין לא ברור נבהיר זאת במתכונת הדיווח.</w:t>
            </w:r>
          </w:p>
        </w:tc>
      </w:tr>
      <w:tr w:rsidR="00545BBD" w14:paraId="2A963EC3" w14:textId="77777777" w:rsidTr="008E62CE">
        <w:trPr>
          <w:trHeight w:val="1551"/>
        </w:trPr>
        <w:tc>
          <w:tcPr>
            <w:tcW w:w="5046" w:type="dxa"/>
            <w:vAlign w:val="center"/>
          </w:tcPr>
          <w:p w14:paraId="19514437" w14:textId="1E7818FD" w:rsidR="00545BBD" w:rsidRPr="00C378EB" w:rsidRDefault="00C378EB" w:rsidP="00750138">
            <w:pPr>
              <w:rPr>
                <w:rtl/>
              </w:rPr>
            </w:pPr>
            <w:r w:rsidRPr="000340FB">
              <w:rPr>
                <w:rFonts w:hint="eastAsia"/>
                <w:rtl/>
              </w:rPr>
              <w:lastRenderedPageBreak/>
              <w:t>לעניין</w:t>
            </w:r>
            <w:r w:rsidRPr="000340FB">
              <w:rPr>
                <w:rtl/>
              </w:rPr>
              <w:t xml:space="preserve"> </w:t>
            </w:r>
            <w:r w:rsidRPr="000340FB">
              <w:rPr>
                <w:rFonts w:hint="eastAsia"/>
                <w:rtl/>
              </w:rPr>
              <w:t>האסמכתאות</w:t>
            </w:r>
            <w:r w:rsidRPr="000340FB">
              <w:rPr>
                <w:rtl/>
              </w:rPr>
              <w:t xml:space="preserve"> למספר </w:t>
            </w:r>
            <w:r w:rsidRPr="000340FB">
              <w:rPr>
                <w:rFonts w:hint="eastAsia"/>
                <w:rtl/>
              </w:rPr>
              <w:t>מכלי</w:t>
            </w:r>
            <w:r w:rsidRPr="000340FB">
              <w:rPr>
                <w:rtl/>
              </w:rPr>
              <w:t xml:space="preserve"> משקה שיוצאו לחו"ל </w:t>
            </w:r>
            <w:r w:rsidRPr="000340FB">
              <w:rPr>
                <w:rFonts w:hint="eastAsia"/>
                <w:rtl/>
              </w:rPr>
              <w:t>ל</w:t>
            </w:r>
            <w:r w:rsidR="00750138">
              <w:rPr>
                <w:rFonts w:hint="eastAsia"/>
                <w:rtl/>
              </w:rPr>
              <w:t>מחזור</w:t>
            </w:r>
            <w:r w:rsidRPr="000340FB">
              <w:rPr>
                <w:rtl/>
              </w:rPr>
              <w:t xml:space="preserve"> – מספר </w:t>
            </w:r>
            <w:r w:rsidRPr="000340FB">
              <w:rPr>
                <w:rFonts w:hint="eastAsia"/>
                <w:rtl/>
              </w:rPr>
              <w:t>מכלי</w:t>
            </w:r>
            <w:r w:rsidRPr="000340FB">
              <w:rPr>
                <w:rtl/>
              </w:rPr>
              <w:t xml:space="preserve"> המשקה אינו </w:t>
            </w:r>
            <w:r w:rsidRPr="00884AA7">
              <w:rPr>
                <w:rtl/>
              </w:rPr>
              <w:t xml:space="preserve">נתון שקיים </w:t>
            </w:r>
            <w:r w:rsidR="00750138" w:rsidRPr="00884AA7">
              <w:rPr>
                <w:rFonts w:hint="cs"/>
                <w:rtl/>
              </w:rPr>
              <w:t>בטרנ</w:t>
            </w:r>
            <w:r w:rsidR="00750138">
              <w:rPr>
                <w:rFonts w:hint="cs"/>
                <w:rtl/>
              </w:rPr>
              <w:t>ס</w:t>
            </w:r>
            <w:r w:rsidR="00750138" w:rsidRPr="00884AA7">
              <w:rPr>
                <w:rFonts w:hint="cs"/>
                <w:rtl/>
              </w:rPr>
              <w:t>אקציות</w:t>
            </w:r>
            <w:r w:rsidRPr="00884AA7">
              <w:rPr>
                <w:rtl/>
              </w:rPr>
              <w:t xml:space="preserve"> </w:t>
            </w:r>
            <w:r w:rsidRPr="00884AA7">
              <w:rPr>
                <w:rFonts w:hint="eastAsia"/>
                <w:rtl/>
              </w:rPr>
              <w:t>העסקיות</w:t>
            </w:r>
            <w:r w:rsidRPr="00884AA7">
              <w:rPr>
                <w:rtl/>
              </w:rPr>
              <w:t xml:space="preserve"> (רק </w:t>
            </w:r>
            <w:r w:rsidRPr="00884AA7">
              <w:rPr>
                <w:rFonts w:hint="eastAsia"/>
                <w:rtl/>
              </w:rPr>
              <w:t>משקל</w:t>
            </w:r>
            <w:r w:rsidRPr="00884AA7">
              <w:rPr>
                <w:rtl/>
              </w:rPr>
              <w:t xml:space="preserve"> </w:t>
            </w:r>
            <w:r w:rsidRPr="00884AA7">
              <w:rPr>
                <w:rFonts w:hint="eastAsia"/>
                <w:rtl/>
              </w:rPr>
              <w:t>החומר</w:t>
            </w:r>
            <w:r w:rsidRPr="00884AA7">
              <w:rPr>
                <w:rtl/>
              </w:rPr>
              <w:t xml:space="preserve">) </w:t>
            </w:r>
            <w:r w:rsidRPr="00884AA7">
              <w:rPr>
                <w:rFonts w:hint="eastAsia"/>
                <w:rtl/>
              </w:rPr>
              <w:t>ואין</w:t>
            </w:r>
            <w:r w:rsidRPr="00884AA7">
              <w:rPr>
                <w:rtl/>
              </w:rPr>
              <w:t xml:space="preserve"> </w:t>
            </w:r>
            <w:r w:rsidRPr="00884AA7">
              <w:rPr>
                <w:rFonts w:hint="eastAsia"/>
                <w:rtl/>
              </w:rPr>
              <w:t>לו</w:t>
            </w:r>
            <w:r w:rsidRPr="00884AA7">
              <w:rPr>
                <w:rtl/>
              </w:rPr>
              <w:t xml:space="preserve"> </w:t>
            </w:r>
            <w:r w:rsidRPr="00884AA7">
              <w:rPr>
                <w:rFonts w:hint="eastAsia"/>
                <w:rtl/>
              </w:rPr>
              <w:t>תרומה</w:t>
            </w:r>
            <w:r w:rsidRPr="00884AA7">
              <w:rPr>
                <w:rtl/>
              </w:rPr>
              <w:t xml:space="preserve"> </w:t>
            </w:r>
            <w:r w:rsidRPr="00884AA7">
              <w:rPr>
                <w:rFonts w:hint="eastAsia"/>
                <w:rtl/>
              </w:rPr>
              <w:t>משמעותית</w:t>
            </w:r>
            <w:r w:rsidRPr="00884AA7">
              <w:rPr>
                <w:rtl/>
              </w:rPr>
              <w:t xml:space="preserve"> </w:t>
            </w:r>
            <w:r w:rsidRPr="00884AA7">
              <w:rPr>
                <w:rFonts w:hint="eastAsia"/>
                <w:rtl/>
              </w:rPr>
              <w:t>למנגנון</w:t>
            </w:r>
            <w:r w:rsidRPr="00884AA7">
              <w:rPr>
                <w:rtl/>
              </w:rPr>
              <w:t xml:space="preserve"> </w:t>
            </w:r>
            <w:r w:rsidRPr="00884AA7">
              <w:rPr>
                <w:rFonts w:hint="eastAsia"/>
                <w:rtl/>
              </w:rPr>
              <w:t>הביקורת</w:t>
            </w:r>
            <w:r>
              <w:rPr>
                <w:rFonts w:hint="cs"/>
                <w:rtl/>
              </w:rPr>
              <w:t xml:space="preserve">. </w:t>
            </w:r>
          </w:p>
        </w:tc>
        <w:tc>
          <w:tcPr>
            <w:tcW w:w="4528" w:type="dxa"/>
            <w:vAlign w:val="center"/>
          </w:tcPr>
          <w:p w14:paraId="5DB2ACA6" w14:textId="4A587CAF" w:rsidR="00545BBD" w:rsidRPr="006F00D0" w:rsidRDefault="00442024" w:rsidP="00750138">
            <w:pPr>
              <w:rPr>
                <w:highlight w:val="yellow"/>
                <w:rtl/>
              </w:rPr>
            </w:pPr>
            <w:r w:rsidRPr="00FE0F63">
              <w:rPr>
                <w:rFonts w:hint="cs"/>
                <w:rtl/>
              </w:rPr>
              <w:t>ההערה התקבלה.</w:t>
            </w:r>
            <w:r w:rsidR="00FE0F63" w:rsidRPr="00FE0F63">
              <w:rPr>
                <w:rFonts w:ascii="David" w:hAnsi="David" w:hint="cs"/>
                <w:rtl/>
              </w:rPr>
              <w:t xml:space="preserve"> בדיווח בדבר ייצוא מכלי משקה ל</w:t>
            </w:r>
            <w:r w:rsidR="00750138">
              <w:rPr>
                <w:rFonts w:ascii="David" w:hAnsi="David" w:hint="cs"/>
                <w:rtl/>
              </w:rPr>
              <w:t>מחזור</w:t>
            </w:r>
            <w:r w:rsidR="00FE0F63" w:rsidRPr="00FE0F63">
              <w:rPr>
                <w:rFonts w:ascii="David" w:hAnsi="David" w:hint="cs"/>
                <w:rtl/>
              </w:rPr>
              <w:t xml:space="preserve"> במפעלים בחו"ל</w:t>
            </w:r>
            <w:r w:rsidR="00FE0F63" w:rsidRPr="00FE0F63">
              <w:rPr>
                <w:rFonts w:hint="cs"/>
                <w:rtl/>
              </w:rPr>
              <w:t>, יש להמציא במידת ונדרש</w:t>
            </w:r>
            <w:r w:rsidR="00750138">
              <w:rPr>
                <w:rFonts w:hint="cs"/>
                <w:rtl/>
              </w:rPr>
              <w:t xml:space="preserve"> </w:t>
            </w:r>
            <w:r w:rsidR="00FE0F63" w:rsidRPr="00FE0F63">
              <w:rPr>
                <w:rFonts w:ascii="David" w:hAnsi="David" w:hint="cs"/>
                <w:rtl/>
              </w:rPr>
              <w:t>רשימון ייצוא,</w:t>
            </w:r>
            <w:r w:rsidR="00750138">
              <w:rPr>
                <w:rFonts w:ascii="David" w:hAnsi="David" w:hint="cs"/>
                <w:rtl/>
              </w:rPr>
              <w:t xml:space="preserve"> </w:t>
            </w:r>
            <w:r w:rsidR="00FE0F63" w:rsidRPr="00FE0F63">
              <w:rPr>
                <w:rFonts w:ascii="David" w:hAnsi="David" w:hint="cs"/>
                <w:rtl/>
              </w:rPr>
              <w:t>שטר מטען וחשבונית מס, הכוללים את משקל מכלי המשקה שיוצאו לפי סוג חומר וקיבולת.</w:t>
            </w:r>
          </w:p>
        </w:tc>
      </w:tr>
      <w:tr w:rsidR="00545BBD" w14:paraId="5D3039A4" w14:textId="77777777" w:rsidTr="008E62CE">
        <w:trPr>
          <w:trHeight w:val="2687"/>
        </w:trPr>
        <w:tc>
          <w:tcPr>
            <w:tcW w:w="5046" w:type="dxa"/>
            <w:vAlign w:val="center"/>
          </w:tcPr>
          <w:p w14:paraId="60F28C3D" w14:textId="5DDD7244" w:rsidR="00545BBD" w:rsidRPr="00076858" w:rsidRDefault="00076858" w:rsidP="00750138">
            <w:pPr>
              <w:rPr>
                <w:rtl/>
              </w:rPr>
            </w:pPr>
            <w:r>
              <w:rPr>
                <w:rFonts w:hint="cs"/>
                <w:rtl/>
              </w:rPr>
              <w:t>הדרישה להצגת רישיון עסק של מפעלי המחזור ע"י היצרנים / היבואנים הינה מכבידה שכן הרישיונות נמצאים בידי המשרד.</w:t>
            </w:r>
          </w:p>
        </w:tc>
        <w:tc>
          <w:tcPr>
            <w:tcW w:w="4528" w:type="dxa"/>
            <w:vAlign w:val="center"/>
          </w:tcPr>
          <w:p w14:paraId="53FAF25A" w14:textId="6F523C3F" w:rsidR="00545BBD" w:rsidRDefault="00076858" w:rsidP="00750138">
            <w:pPr>
              <w:rPr>
                <w:rtl/>
              </w:rPr>
            </w:pPr>
            <w:r>
              <w:rPr>
                <w:rFonts w:hint="cs"/>
                <w:rtl/>
              </w:rPr>
              <w:t>סעיף 7ה.(ג) לחוק קובע שה</w:t>
            </w:r>
            <w:r w:rsidR="00750138">
              <w:rPr>
                <w:rFonts w:hint="cs"/>
                <w:rtl/>
              </w:rPr>
              <w:t>מחזור</w:t>
            </w:r>
            <w:r>
              <w:rPr>
                <w:rFonts w:hint="cs"/>
                <w:rtl/>
              </w:rPr>
              <w:t xml:space="preserve"> יבוצע </w:t>
            </w:r>
            <w:r w:rsidR="00110E71">
              <w:rPr>
                <w:rFonts w:hint="cs"/>
                <w:rtl/>
              </w:rPr>
              <w:t>ב</w:t>
            </w:r>
            <w:r>
              <w:rPr>
                <w:rFonts w:hint="cs"/>
                <w:rtl/>
              </w:rPr>
              <w:t xml:space="preserve">מפעל </w:t>
            </w:r>
            <w:r w:rsidR="00750138">
              <w:rPr>
                <w:rFonts w:hint="cs"/>
                <w:rtl/>
              </w:rPr>
              <w:t>מחזור</w:t>
            </w:r>
            <w:r>
              <w:rPr>
                <w:rFonts w:hint="cs"/>
                <w:rtl/>
              </w:rPr>
              <w:t xml:space="preserve"> מורשה לפי כל דין. לפיכך, כאשר יצרן או יבואן מתקשרים עם מתקני</w:t>
            </w:r>
            <w:r w:rsidR="00750138">
              <w:rPr>
                <w:rFonts w:hint="cs"/>
                <w:rtl/>
              </w:rPr>
              <w:t xml:space="preserve"> </w:t>
            </w:r>
            <w:r>
              <w:rPr>
                <w:rFonts w:hint="cs"/>
                <w:rtl/>
              </w:rPr>
              <w:t>ה</w:t>
            </w:r>
            <w:r w:rsidR="00750138">
              <w:rPr>
                <w:rFonts w:hint="cs"/>
                <w:rtl/>
              </w:rPr>
              <w:t>מחזור</w:t>
            </w:r>
            <w:r>
              <w:rPr>
                <w:rFonts w:hint="cs"/>
                <w:rtl/>
              </w:rPr>
              <w:t xml:space="preserve"> עליהם לוודא שמפעלי ה</w:t>
            </w:r>
            <w:r w:rsidR="00750138">
              <w:rPr>
                <w:rFonts w:hint="cs"/>
                <w:rtl/>
              </w:rPr>
              <w:t>מחזור</w:t>
            </w:r>
            <w:r>
              <w:rPr>
                <w:rFonts w:hint="cs"/>
                <w:rtl/>
              </w:rPr>
              <w:t xml:space="preserve"> אכן מבצעים </w:t>
            </w:r>
            <w:r w:rsidR="00750138">
              <w:rPr>
                <w:rFonts w:hint="cs"/>
                <w:rtl/>
              </w:rPr>
              <w:t>מחזור</w:t>
            </w:r>
            <w:r>
              <w:rPr>
                <w:rFonts w:hint="cs"/>
                <w:rtl/>
              </w:rPr>
              <w:t xml:space="preserve"> בפועל ושהם מורשים למחזר את המכלים לפי הדינים </w:t>
            </w:r>
            <w:proofErr w:type="spellStart"/>
            <w:r>
              <w:rPr>
                <w:rFonts w:hint="cs"/>
                <w:rtl/>
              </w:rPr>
              <w:t>הרלווטים</w:t>
            </w:r>
            <w:proofErr w:type="spellEnd"/>
            <w:r>
              <w:rPr>
                <w:rFonts w:hint="cs"/>
                <w:rtl/>
              </w:rPr>
              <w:t xml:space="preserve">, ובכלל זאת מחזיקים ברישיון עסק עם תנאים מתאימים לפעילות </w:t>
            </w:r>
            <w:r w:rsidR="00750138">
              <w:rPr>
                <w:rFonts w:hint="cs"/>
                <w:rtl/>
              </w:rPr>
              <w:t>מחזור</w:t>
            </w:r>
            <w:r>
              <w:rPr>
                <w:rFonts w:hint="cs"/>
                <w:rtl/>
              </w:rPr>
              <w:t>. דרישת אסמכתא זו מאפשרת למשרד לבקר שהיצרן או היבואן אכן ביצעו בדיקה שמתקן ה</w:t>
            </w:r>
            <w:r w:rsidR="00750138">
              <w:rPr>
                <w:rFonts w:hint="cs"/>
                <w:rtl/>
              </w:rPr>
              <w:t>מחזור</w:t>
            </w:r>
            <w:r>
              <w:rPr>
                <w:rFonts w:hint="cs"/>
                <w:rtl/>
              </w:rPr>
              <w:t xml:space="preserve"> מורשה כדין.</w:t>
            </w:r>
            <w:r w:rsidR="00750138">
              <w:rPr>
                <w:rFonts w:hint="cs"/>
                <w:rtl/>
              </w:rPr>
              <w:t xml:space="preserve"> </w:t>
            </w:r>
            <w:r>
              <w:rPr>
                <w:rFonts w:hint="cs"/>
                <w:rtl/>
              </w:rPr>
              <w:t>עליהם לדרוש את רישיון העסק בעת ההתקשרות עם מפעל ה</w:t>
            </w:r>
            <w:r w:rsidR="00750138">
              <w:rPr>
                <w:rFonts w:hint="cs"/>
                <w:rtl/>
              </w:rPr>
              <w:t>מחזור</w:t>
            </w:r>
            <w:r>
              <w:rPr>
                <w:rFonts w:hint="cs"/>
                <w:rtl/>
              </w:rPr>
              <w:t>, וכן את המסמכים הרלוונטיים המעידים על אופן המחזור.</w:t>
            </w:r>
          </w:p>
        </w:tc>
      </w:tr>
      <w:tr w:rsidR="00545BBD" w14:paraId="4807B39F" w14:textId="77777777" w:rsidTr="008E62CE">
        <w:trPr>
          <w:trHeight w:val="2682"/>
        </w:trPr>
        <w:tc>
          <w:tcPr>
            <w:tcW w:w="5046" w:type="dxa"/>
            <w:vAlign w:val="center"/>
          </w:tcPr>
          <w:p w14:paraId="1E202557" w14:textId="2C671677" w:rsidR="00545BBD" w:rsidRPr="00FB7728" w:rsidRDefault="00FB7728" w:rsidP="00750138">
            <w:pPr>
              <w:rPr>
                <w:rtl/>
              </w:rPr>
            </w:pPr>
            <w:r>
              <w:rPr>
                <w:rFonts w:hint="cs"/>
                <w:rtl/>
              </w:rPr>
              <w:t xml:space="preserve">לגבי פירוט אופן המחזור במפעל </w:t>
            </w:r>
            <w:r>
              <w:rPr>
                <w:rtl/>
              </w:rPr>
              <w:t>–</w:t>
            </w:r>
            <w:r>
              <w:rPr>
                <w:rFonts w:hint="cs"/>
                <w:rtl/>
              </w:rPr>
              <w:t xml:space="preserve"> אין ליצרן / היבואן מידע ויכולת לפקח על אופן הטיפול בחומר שהועבר על ידו למפעל המחזור.</w:t>
            </w:r>
          </w:p>
        </w:tc>
        <w:tc>
          <w:tcPr>
            <w:tcW w:w="4528" w:type="dxa"/>
            <w:vAlign w:val="center"/>
          </w:tcPr>
          <w:p w14:paraId="52454F80" w14:textId="1F78AE93" w:rsidR="00545BBD" w:rsidRDefault="00FB7728" w:rsidP="00750138">
            <w:pPr>
              <w:rPr>
                <w:rtl/>
              </w:rPr>
            </w:pPr>
            <w:r>
              <w:rPr>
                <w:rFonts w:hint="cs"/>
                <w:rtl/>
              </w:rPr>
              <w:t xml:space="preserve">כפי שהובהר על ידי המשרד מספר פעמים, על יצרנים ויבואנים לוודא כי המפעל המורשה אליו מועברת הפסולת אכן פועל לבצע </w:t>
            </w:r>
            <w:r w:rsidR="00750138">
              <w:rPr>
                <w:rFonts w:hint="cs"/>
                <w:rtl/>
              </w:rPr>
              <w:t>מחזור</w:t>
            </w:r>
            <w:r>
              <w:rPr>
                <w:rFonts w:hint="cs"/>
                <w:rtl/>
              </w:rPr>
              <w:t>, ובאיזה אופן מבוצע ה</w:t>
            </w:r>
            <w:r w:rsidR="00750138">
              <w:rPr>
                <w:rFonts w:hint="cs"/>
                <w:rtl/>
              </w:rPr>
              <w:t>מחזור</w:t>
            </w:r>
            <w:r>
              <w:rPr>
                <w:rFonts w:hint="cs"/>
                <w:rtl/>
              </w:rPr>
              <w:t xml:space="preserve">. דרישה זו מעוגנת בחובת הדיווח בסעיף 10(א)(4) לחוק, הכולל דרישת דיווח לגבי אופן </w:t>
            </w:r>
            <w:r w:rsidR="00750138">
              <w:rPr>
                <w:rFonts w:hint="cs"/>
                <w:rtl/>
              </w:rPr>
              <w:t>מחזור</w:t>
            </w:r>
            <w:r>
              <w:rPr>
                <w:rFonts w:hint="cs"/>
                <w:rtl/>
              </w:rPr>
              <w:t xml:space="preserve"> המכלים. אין מדובר בדרישה לשליטה בנעשה בתוך המפעל, אלא באחריות היצרנים והיבואנים לקיום חובתם. במסגרת זו מצופה מהם לעגן בהתקשרות עם מפעלי ה</w:t>
            </w:r>
            <w:r w:rsidR="00750138">
              <w:rPr>
                <w:rFonts w:hint="cs"/>
                <w:rtl/>
              </w:rPr>
              <w:t>מחזור</w:t>
            </w:r>
            <w:r>
              <w:rPr>
                <w:rFonts w:hint="cs"/>
                <w:rtl/>
              </w:rPr>
              <w:t xml:space="preserve"> את האופן שבו תקוים החובה בפועל. היבואנים והיצרנים אינם יכולים להתנער מחובתם לעמידה ביעד </w:t>
            </w:r>
            <w:r w:rsidR="00750138">
              <w:rPr>
                <w:rFonts w:hint="cs"/>
                <w:rtl/>
              </w:rPr>
              <w:t>מחזור</w:t>
            </w:r>
            <w:r>
              <w:rPr>
                <w:rFonts w:hint="cs"/>
                <w:rtl/>
              </w:rPr>
              <w:t xml:space="preserve"> על ידי העברת הפסולת לגורם שלישי.</w:t>
            </w:r>
          </w:p>
        </w:tc>
      </w:tr>
      <w:tr w:rsidR="00545BBD" w14:paraId="71B09769" w14:textId="77777777" w:rsidTr="008E62CE">
        <w:trPr>
          <w:trHeight w:val="1970"/>
        </w:trPr>
        <w:tc>
          <w:tcPr>
            <w:tcW w:w="5046" w:type="dxa"/>
            <w:vAlign w:val="center"/>
          </w:tcPr>
          <w:p w14:paraId="6A82B798" w14:textId="3E905A0F" w:rsidR="00545BBD" w:rsidRPr="00EA76C8" w:rsidRDefault="00EA76C8" w:rsidP="00750138">
            <w:pPr>
              <w:rPr>
                <w:rtl/>
              </w:rPr>
            </w:pPr>
            <w:r>
              <w:rPr>
                <w:rFonts w:hint="cs"/>
                <w:rtl/>
              </w:rPr>
              <w:t xml:space="preserve">מן הראוי שהמשרד יפרסם רשימה של מפעלי </w:t>
            </w:r>
            <w:r w:rsidR="00750138">
              <w:rPr>
                <w:rFonts w:hint="cs"/>
                <w:rtl/>
              </w:rPr>
              <w:t>מחזור</w:t>
            </w:r>
            <w:r>
              <w:rPr>
                <w:rFonts w:hint="cs"/>
                <w:rtl/>
              </w:rPr>
              <w:t xml:space="preserve"> המוכרים ע"י המשרד.</w:t>
            </w:r>
          </w:p>
        </w:tc>
        <w:tc>
          <w:tcPr>
            <w:tcW w:w="4528" w:type="dxa"/>
            <w:vAlign w:val="center"/>
          </w:tcPr>
          <w:p w14:paraId="33CA4472" w14:textId="025B06DB" w:rsidR="00545BBD" w:rsidRPr="00EA76C8" w:rsidRDefault="00EA76C8" w:rsidP="00750138">
            <w:pPr>
              <w:rPr>
                <w:rtl/>
              </w:rPr>
            </w:pPr>
            <w:r>
              <w:rPr>
                <w:rFonts w:hint="cs"/>
                <w:rtl/>
              </w:rPr>
              <w:t>הנושא נלקח לתשומת הלב ונבחן האם יש מקום לפרסום רשימה כאמור. עם זאת, כאמור, חוק הפיקדון מטיל על היבואנים ויצרנים אחריות יצרן מורחבת לוודא את אופן ה</w:t>
            </w:r>
            <w:r w:rsidR="00750138">
              <w:rPr>
                <w:rFonts w:hint="cs"/>
                <w:rtl/>
              </w:rPr>
              <w:t>מחזור</w:t>
            </w:r>
            <w:r>
              <w:rPr>
                <w:rFonts w:hint="cs"/>
                <w:rtl/>
              </w:rPr>
              <w:t>. 'מרשם' מפעלים לא יוריד מאחריות היצרנים והיבואנים לוודא שהם מתקשרים עם מפעל שיש לו לפחות רישיון עסק ותנאים בתוקף לפעולות המחזור שהוא מבצע בשטחו.</w:t>
            </w:r>
          </w:p>
        </w:tc>
      </w:tr>
      <w:tr w:rsidR="00545BBD" w14:paraId="1FA4B3D6" w14:textId="77777777" w:rsidTr="008E62CE">
        <w:trPr>
          <w:trHeight w:val="1274"/>
        </w:trPr>
        <w:tc>
          <w:tcPr>
            <w:tcW w:w="5046" w:type="dxa"/>
            <w:vAlign w:val="center"/>
          </w:tcPr>
          <w:p w14:paraId="1EAD9AB9" w14:textId="11D88016" w:rsidR="00545BBD" w:rsidRPr="00B06562" w:rsidRDefault="00B06562" w:rsidP="00750138">
            <w:pPr>
              <w:rPr>
                <w:rtl/>
              </w:rPr>
            </w:pPr>
            <w:bookmarkStart w:id="0" w:name="_Hlk96265660"/>
            <w:r>
              <w:rPr>
                <w:rFonts w:hint="cs"/>
                <w:rtl/>
              </w:rPr>
              <w:t xml:space="preserve">אישורים מאת משרד הכלכלה </w:t>
            </w:r>
            <w:r>
              <w:rPr>
                <w:rtl/>
              </w:rPr>
              <w:t>–</w:t>
            </w:r>
            <w:r>
              <w:rPr>
                <w:rFonts w:hint="cs"/>
                <w:rtl/>
              </w:rPr>
              <w:t xml:space="preserve"> רשימת האישורים אינה מופיעה באתר משרד הכלכלה כפי שכתוב ב</w:t>
            </w:r>
            <w:r w:rsidR="00241C61">
              <w:rPr>
                <w:rFonts w:hint="cs"/>
                <w:rtl/>
              </w:rPr>
              <w:t>מתכונת הדיווח.</w:t>
            </w:r>
            <w:r>
              <w:rPr>
                <w:rFonts w:hint="cs"/>
                <w:rtl/>
              </w:rPr>
              <w:t xml:space="preserve"> המשרד מתבקש לפרסם את רשימת האישורים הנדרשים.</w:t>
            </w:r>
            <w:bookmarkEnd w:id="0"/>
          </w:p>
        </w:tc>
        <w:tc>
          <w:tcPr>
            <w:tcW w:w="4528" w:type="dxa"/>
            <w:vAlign w:val="center"/>
          </w:tcPr>
          <w:p w14:paraId="05155D30" w14:textId="1528129B" w:rsidR="00545BBD" w:rsidRPr="00B06562" w:rsidRDefault="00B06562" w:rsidP="00750138">
            <w:pPr>
              <w:rPr>
                <w:rtl/>
              </w:rPr>
            </w:pPr>
            <w:r>
              <w:rPr>
                <w:rFonts w:hint="cs"/>
                <w:rtl/>
              </w:rPr>
              <w:t>אין באפשרותנו לפרסם בעת הזו אישורים אשר ידרשו על ידי משרד ממשלתי אחר. תוכלו להעלות טענות בעניין הנוהל, ככל שיהיו, כאשר הוא יפורסם להערות ציבור.</w:t>
            </w:r>
          </w:p>
        </w:tc>
      </w:tr>
      <w:tr w:rsidR="00545BBD" w14:paraId="70AE3130" w14:textId="77777777" w:rsidTr="008E62CE">
        <w:trPr>
          <w:trHeight w:val="982"/>
        </w:trPr>
        <w:tc>
          <w:tcPr>
            <w:tcW w:w="5046" w:type="dxa"/>
            <w:vAlign w:val="center"/>
          </w:tcPr>
          <w:p w14:paraId="0C93D177" w14:textId="1BF6E836" w:rsidR="00545BBD" w:rsidRDefault="00214980" w:rsidP="00750138">
            <w:pPr>
              <w:rPr>
                <w:rtl/>
              </w:rPr>
            </w:pPr>
            <w:r>
              <w:rPr>
                <w:rFonts w:hint="cs"/>
                <w:rtl/>
              </w:rPr>
              <w:t xml:space="preserve">לגבי אישור רו"ח והעברת מסמכים </w:t>
            </w:r>
            <w:r>
              <w:rPr>
                <w:rtl/>
              </w:rPr>
              <w:t>–</w:t>
            </w:r>
            <w:r>
              <w:rPr>
                <w:rFonts w:hint="cs"/>
                <w:rtl/>
              </w:rPr>
              <w:t xml:space="preserve"> ישנה בעיתיות בנושא אשר נמצא בבחינה של המשרד מול לשכת רו"ח.</w:t>
            </w:r>
          </w:p>
        </w:tc>
        <w:tc>
          <w:tcPr>
            <w:tcW w:w="4528" w:type="dxa"/>
            <w:vAlign w:val="center"/>
          </w:tcPr>
          <w:p w14:paraId="12EBAB9E" w14:textId="12784A91" w:rsidR="00214980" w:rsidRPr="00AF20C4" w:rsidRDefault="00214980" w:rsidP="00750138">
            <w:pPr>
              <w:rPr>
                <w:rtl/>
              </w:rPr>
            </w:pPr>
            <w:r>
              <w:rPr>
                <w:rFonts w:hint="cs"/>
                <w:rtl/>
              </w:rPr>
              <w:t>התבצעה התייעצות עם לשכת רו"ח.</w:t>
            </w:r>
          </w:p>
          <w:p w14:paraId="1DD788F7" w14:textId="77777777" w:rsidR="00545BBD" w:rsidRDefault="00545BBD" w:rsidP="00750138">
            <w:pPr>
              <w:rPr>
                <w:rtl/>
              </w:rPr>
            </w:pPr>
          </w:p>
        </w:tc>
      </w:tr>
      <w:tr w:rsidR="00545BBD" w14:paraId="5E35300A" w14:textId="77777777" w:rsidTr="008E62CE">
        <w:trPr>
          <w:trHeight w:val="1250"/>
        </w:trPr>
        <w:tc>
          <w:tcPr>
            <w:tcW w:w="5046" w:type="dxa"/>
            <w:vAlign w:val="center"/>
          </w:tcPr>
          <w:p w14:paraId="65A1E6E3" w14:textId="5AF20962" w:rsidR="00545BBD" w:rsidRPr="00964C14" w:rsidRDefault="00964C14" w:rsidP="00750138">
            <w:pPr>
              <w:rPr>
                <w:rtl/>
              </w:rPr>
            </w:pPr>
            <w:r>
              <w:rPr>
                <w:rFonts w:hint="cs"/>
                <w:rtl/>
              </w:rPr>
              <w:lastRenderedPageBreak/>
              <w:t>מסמכים עליהם התבסס רו"ח במתן ח</w:t>
            </w:r>
            <w:r w:rsidR="007572D6">
              <w:rPr>
                <w:rFonts w:hint="cs"/>
                <w:rtl/>
              </w:rPr>
              <w:t>וות דעתו</w:t>
            </w:r>
            <w:r>
              <w:rPr>
                <w:rFonts w:hint="cs"/>
                <w:rtl/>
              </w:rPr>
              <w:t xml:space="preserve"> הינם קניינו של רו"ח ואין למשרד סמכות לדרוש אותם ממנו (זאת בהתאם לתקנות רו"ח)</w:t>
            </w:r>
          </w:p>
        </w:tc>
        <w:tc>
          <w:tcPr>
            <w:tcW w:w="4528" w:type="dxa"/>
            <w:vAlign w:val="center"/>
          </w:tcPr>
          <w:p w14:paraId="0F237466" w14:textId="0AAFBF3A" w:rsidR="00545BBD" w:rsidRPr="00964C14" w:rsidRDefault="00964C14" w:rsidP="00750138">
            <w:pPr>
              <w:rPr>
                <w:rtl/>
              </w:rPr>
            </w:pPr>
            <w:r>
              <w:rPr>
                <w:rFonts w:hint="cs"/>
                <w:rtl/>
              </w:rPr>
              <w:t xml:space="preserve">לא מדובר על ניירות עבודה של רואה החשבון, אלא למסמכים שהתקבלו מהמבוקר לצורך ביצוע הביקורת. </w:t>
            </w:r>
          </w:p>
        </w:tc>
      </w:tr>
      <w:tr w:rsidR="00545BBD" w14:paraId="096DF83C" w14:textId="77777777" w:rsidTr="008E62CE">
        <w:trPr>
          <w:trHeight w:val="986"/>
        </w:trPr>
        <w:tc>
          <w:tcPr>
            <w:tcW w:w="5046" w:type="dxa"/>
            <w:vAlign w:val="center"/>
          </w:tcPr>
          <w:p w14:paraId="3980D84F" w14:textId="18C99E31" w:rsidR="00545BBD" w:rsidRPr="002F535F" w:rsidRDefault="002F535F" w:rsidP="00750138">
            <w:pPr>
              <w:rPr>
                <w:rtl/>
              </w:rPr>
            </w:pPr>
            <w:r>
              <w:rPr>
                <w:rFonts w:hint="cs"/>
                <w:rtl/>
              </w:rPr>
              <w:t xml:space="preserve">גיליונות הדיווחים הינם באחריות היצרן / היבואן ולכן רו"ח אינו יכול לחתום על הדיווחים. </w:t>
            </w:r>
          </w:p>
        </w:tc>
        <w:tc>
          <w:tcPr>
            <w:tcW w:w="4528" w:type="dxa"/>
            <w:vAlign w:val="center"/>
          </w:tcPr>
          <w:p w14:paraId="4AF2F202" w14:textId="77D87D1D" w:rsidR="00BD6B95" w:rsidRDefault="00BD6B95" w:rsidP="00750138">
            <w:r>
              <w:rPr>
                <w:rFonts w:hint="cs"/>
                <w:rtl/>
              </w:rPr>
              <w:t>ההערה התקבלה, החתימה היא לצורך זיהוי בלבד</w:t>
            </w:r>
            <w:r w:rsidR="00EC3516">
              <w:rPr>
                <w:rFonts w:hint="cs"/>
                <w:rtl/>
              </w:rPr>
              <w:t xml:space="preserve"> כדי לשייך את גיליון הדיווח לחוות הדעת. </w:t>
            </w:r>
          </w:p>
          <w:p w14:paraId="1EF71F06" w14:textId="77777777" w:rsidR="00545BBD" w:rsidRPr="00BD6B95" w:rsidRDefault="00545BBD" w:rsidP="00750138">
            <w:pPr>
              <w:rPr>
                <w:rtl/>
              </w:rPr>
            </w:pPr>
          </w:p>
        </w:tc>
      </w:tr>
      <w:tr w:rsidR="00545BBD" w14:paraId="55E11580" w14:textId="77777777" w:rsidTr="008E62CE">
        <w:trPr>
          <w:trHeight w:val="701"/>
        </w:trPr>
        <w:tc>
          <w:tcPr>
            <w:tcW w:w="5046" w:type="dxa"/>
            <w:vAlign w:val="center"/>
          </w:tcPr>
          <w:p w14:paraId="5AD8BB1C" w14:textId="44DFF264" w:rsidR="00545BBD" w:rsidRDefault="00193959" w:rsidP="00750138">
            <w:pPr>
              <w:rPr>
                <w:rtl/>
              </w:rPr>
            </w:pPr>
            <w:r>
              <w:rPr>
                <w:rFonts w:hint="cs"/>
                <w:rtl/>
              </w:rPr>
              <w:t>הדו"ח כפי שפורסם ע"י המשרד הינו במתכונת מעורבת של "דו"ח מבוקר" ו"אישור".</w:t>
            </w:r>
          </w:p>
        </w:tc>
        <w:tc>
          <w:tcPr>
            <w:tcW w:w="4528" w:type="dxa"/>
            <w:vAlign w:val="center"/>
          </w:tcPr>
          <w:p w14:paraId="478F0C8B" w14:textId="487D01AD" w:rsidR="00545BBD" w:rsidRDefault="00193959" w:rsidP="00750138">
            <w:pPr>
              <w:rPr>
                <w:rtl/>
              </w:rPr>
            </w:pPr>
            <w:r>
              <w:rPr>
                <w:rFonts w:hint="cs"/>
                <w:rtl/>
              </w:rPr>
              <w:t>ההערה התקבלה, בעקבות הערות לשכת רו"ח בוצעו תיקוני ניסוח.</w:t>
            </w:r>
          </w:p>
        </w:tc>
      </w:tr>
      <w:tr w:rsidR="00545BBD" w14:paraId="4BF24D7E" w14:textId="77777777" w:rsidTr="008E62CE">
        <w:trPr>
          <w:trHeight w:val="1833"/>
        </w:trPr>
        <w:tc>
          <w:tcPr>
            <w:tcW w:w="5046" w:type="dxa"/>
            <w:vAlign w:val="center"/>
          </w:tcPr>
          <w:p w14:paraId="3702A3A5" w14:textId="1BAA1959" w:rsidR="00545BBD" w:rsidRPr="00AE254B" w:rsidRDefault="00AE254B" w:rsidP="00750138">
            <w:pPr>
              <w:rPr>
                <w:rtl/>
              </w:rPr>
            </w:pPr>
            <w:r>
              <w:rPr>
                <w:rFonts w:hint="cs"/>
                <w:rtl/>
              </w:rPr>
              <w:t xml:space="preserve">יש לחייב יצרנים ויבואנים להטביע ברקוד שונה על מכלי משקה המיועדים למכירה מחוץ לתחומי ישראל. </w:t>
            </w:r>
          </w:p>
        </w:tc>
        <w:tc>
          <w:tcPr>
            <w:tcW w:w="4528" w:type="dxa"/>
            <w:vAlign w:val="center"/>
          </w:tcPr>
          <w:p w14:paraId="7B4CCA1A" w14:textId="535CD10B" w:rsidR="00545BBD" w:rsidRPr="00AE254B" w:rsidRDefault="00AE254B" w:rsidP="00750138">
            <w:pPr>
              <w:rPr>
                <w:rtl/>
              </w:rPr>
            </w:pPr>
            <w:r>
              <w:rPr>
                <w:rFonts w:hint="cs"/>
                <w:rtl/>
              </w:rPr>
              <w:t xml:space="preserve">הערתכם התקבלה, עם זאת יוער כי ככל שהיצרנים ינהלו ברקודים שונים עבור מכלי משקה שנמכרים מחוץ לתחומי ישראל, אין בכך להבטיח שהמכלים אכן יוצאו ולא </w:t>
            </w:r>
            <w:r w:rsidR="002C2A29">
              <w:rPr>
                <w:rFonts w:hint="cs"/>
                <w:rtl/>
              </w:rPr>
              <w:t>י</w:t>
            </w:r>
            <w:r>
              <w:rPr>
                <w:rFonts w:hint="cs"/>
                <w:rtl/>
              </w:rPr>
              <w:t>מכרו למעשה בישראל</w:t>
            </w:r>
            <w:r w:rsidR="000614BB">
              <w:rPr>
                <w:rFonts w:hint="cs"/>
                <w:rtl/>
              </w:rPr>
              <w:t xml:space="preserve"> (במקרה כזה יש לסמן את המכל ולעדכן את הברקוד שעליו)</w:t>
            </w:r>
            <w:r>
              <w:rPr>
                <w:rFonts w:hint="cs"/>
                <w:rtl/>
              </w:rPr>
              <w:t xml:space="preserve">. לכן היצרנים והיבואנים עדיין עשויים להידרש לאסמכתאות תומכות לגבי הכמות שנמכרה בישראל (סעיף י3. למתכונת הדיווח). </w:t>
            </w:r>
          </w:p>
        </w:tc>
      </w:tr>
      <w:tr w:rsidR="00EF16D0" w14:paraId="25AB66CE" w14:textId="77777777" w:rsidTr="008E62CE">
        <w:trPr>
          <w:trHeight w:val="1267"/>
        </w:trPr>
        <w:tc>
          <w:tcPr>
            <w:tcW w:w="5046" w:type="dxa"/>
            <w:vAlign w:val="center"/>
          </w:tcPr>
          <w:p w14:paraId="73764F7F" w14:textId="29B083B4" w:rsidR="00EF16D0" w:rsidRPr="00EF16D0" w:rsidRDefault="00EF16D0" w:rsidP="00750138">
            <w:pPr>
              <w:rPr>
                <w:rtl/>
              </w:rPr>
            </w:pPr>
            <w:r>
              <w:rPr>
                <w:rFonts w:hint="cs"/>
                <w:rtl/>
              </w:rPr>
              <w:t>על המשרד לאכוף כל מקרה בו לא הוחזרו דמי הפיקדון במלואם, ולפעול לכך שיצרן / יבואן / מי מטעמו ישלמו לכל בית עסק / צרכן / אספן מקצועי את מלוא דמי הפיקדון.</w:t>
            </w:r>
          </w:p>
        </w:tc>
        <w:tc>
          <w:tcPr>
            <w:tcW w:w="4528" w:type="dxa"/>
            <w:vAlign w:val="center"/>
          </w:tcPr>
          <w:p w14:paraId="1CD4AADB" w14:textId="23E431B5" w:rsidR="00EF16D0" w:rsidRDefault="00EF16D0" w:rsidP="00750138">
            <w:pPr>
              <w:rPr>
                <w:rtl/>
              </w:rPr>
            </w:pPr>
            <w:r w:rsidRPr="000F44EE">
              <w:rPr>
                <w:rFonts w:hint="eastAsia"/>
                <w:rtl/>
              </w:rPr>
              <w:t>החוק</w:t>
            </w:r>
            <w:r w:rsidRPr="000F44EE">
              <w:rPr>
                <w:rtl/>
              </w:rPr>
              <w:t xml:space="preserve"> קובע חובת השבת דמי פיקדון לצרכן (סעיף 6) </w:t>
            </w:r>
            <w:r w:rsidRPr="000F44EE">
              <w:rPr>
                <w:rFonts w:hint="eastAsia"/>
                <w:rtl/>
              </w:rPr>
              <w:t>או</w:t>
            </w:r>
            <w:r w:rsidRPr="000F44EE">
              <w:rPr>
                <w:rtl/>
              </w:rPr>
              <w:t xml:space="preserve"> </w:t>
            </w:r>
            <w:r w:rsidRPr="000F44EE">
              <w:rPr>
                <w:rFonts w:hint="eastAsia"/>
                <w:rtl/>
              </w:rPr>
              <w:t>לבית</w:t>
            </w:r>
            <w:r w:rsidRPr="000F44EE">
              <w:rPr>
                <w:rtl/>
              </w:rPr>
              <w:t xml:space="preserve"> </w:t>
            </w:r>
            <w:r w:rsidRPr="000F44EE">
              <w:rPr>
                <w:rFonts w:hint="eastAsia"/>
                <w:rtl/>
              </w:rPr>
              <w:t>עסק</w:t>
            </w:r>
            <w:r w:rsidRPr="000F44EE">
              <w:rPr>
                <w:rtl/>
              </w:rPr>
              <w:t xml:space="preserve"> (סעיף 7)</w:t>
            </w:r>
            <w:r w:rsidRPr="00C20092">
              <w:rPr>
                <w:rtl/>
              </w:rPr>
              <w:t xml:space="preserve">. </w:t>
            </w:r>
            <w:r w:rsidRPr="000F44EE">
              <w:rPr>
                <w:rFonts w:hint="eastAsia"/>
                <w:rtl/>
              </w:rPr>
              <w:t>איסוף</w:t>
            </w:r>
            <w:r w:rsidRPr="000F44EE">
              <w:rPr>
                <w:rtl/>
              </w:rPr>
              <w:t xml:space="preserve"> שלא באמצעות ערוצי איסוף אלו אינו כולל חובת השבת פיקדון. </w:t>
            </w:r>
          </w:p>
        </w:tc>
      </w:tr>
      <w:tr w:rsidR="00EF16D0" w14:paraId="50D47CC0" w14:textId="77777777" w:rsidTr="008E62CE">
        <w:tc>
          <w:tcPr>
            <w:tcW w:w="5046" w:type="dxa"/>
            <w:vAlign w:val="center"/>
          </w:tcPr>
          <w:p w14:paraId="38764AE3" w14:textId="77777777" w:rsidR="00EF16D0" w:rsidRDefault="00EF16D0" w:rsidP="00750138">
            <w:r>
              <w:rPr>
                <w:rFonts w:hint="cs"/>
                <w:rtl/>
              </w:rPr>
              <w:t xml:space="preserve">תחנות מעבר </w:t>
            </w:r>
            <w:r>
              <w:rPr>
                <w:rtl/>
              </w:rPr>
              <w:t>–</w:t>
            </w:r>
            <w:r>
              <w:rPr>
                <w:rFonts w:hint="cs"/>
                <w:rtl/>
              </w:rPr>
              <w:t xml:space="preserve"> יש צורך בצמצום השימוש בתחנות מעבר שכן זהו איסוף נחות יותר משאר ערוצי האיסוף.</w:t>
            </w:r>
          </w:p>
          <w:p w14:paraId="2D23B7C3" w14:textId="77777777" w:rsidR="00EF16D0" w:rsidRDefault="00EF16D0" w:rsidP="00750138">
            <w:pPr>
              <w:rPr>
                <w:rtl/>
              </w:rPr>
            </w:pPr>
            <w:r>
              <w:rPr>
                <w:rFonts w:hint="cs"/>
                <w:rtl/>
              </w:rPr>
              <w:t xml:space="preserve">לגבי אסמכתאות הנדרשות בתהליך איסוף מתחנות מעבר </w:t>
            </w:r>
            <w:r>
              <w:rPr>
                <w:rtl/>
              </w:rPr>
              <w:t>–</w:t>
            </w:r>
            <w:r>
              <w:rPr>
                <w:rFonts w:hint="cs"/>
                <w:rtl/>
              </w:rPr>
              <w:t xml:space="preserve"> יש צורך בתיעוד איכותי ומדויק:</w:t>
            </w:r>
          </w:p>
          <w:p w14:paraId="4E4D90C0" w14:textId="139C7C30" w:rsidR="00EF16D0" w:rsidRDefault="00EF16D0" w:rsidP="00750138">
            <w:pPr>
              <w:pStyle w:val="ListParagraph"/>
              <w:numPr>
                <w:ilvl w:val="0"/>
                <w:numId w:val="17"/>
              </w:numPr>
            </w:pPr>
            <w:r>
              <w:rPr>
                <w:rFonts w:hint="cs"/>
                <w:rtl/>
              </w:rPr>
              <w:t>האיסוף מתחנת המעבר יתבצע באופן ידני כך שיצרן / יבואן יצטרך לאסוף פיסית את מכלי המשקה מתחנת המעבר כך שכל משאית תעבור דגימה.</w:t>
            </w:r>
          </w:p>
          <w:p w14:paraId="10B6F895" w14:textId="02C32F9C" w:rsidR="00EF16D0" w:rsidRDefault="00EF16D0" w:rsidP="00750138">
            <w:pPr>
              <w:pStyle w:val="ListParagraph"/>
              <w:numPr>
                <w:ilvl w:val="0"/>
                <w:numId w:val="17"/>
              </w:numPr>
            </w:pPr>
            <w:r>
              <w:rPr>
                <w:rFonts w:hint="cs"/>
                <w:rtl/>
              </w:rPr>
              <w:t>תתבצע ספירה ידנית של מכלי המשקה בחלוקה לפי סוג חומר וגודל ה</w:t>
            </w:r>
            <w:r w:rsidR="00750138">
              <w:rPr>
                <w:rFonts w:hint="cs"/>
                <w:rtl/>
              </w:rPr>
              <w:t>מכל</w:t>
            </w:r>
          </w:p>
          <w:p w14:paraId="566B3602" w14:textId="25E27655" w:rsidR="00EF16D0" w:rsidRDefault="00EF16D0" w:rsidP="00750138">
            <w:pPr>
              <w:pStyle w:val="ListParagraph"/>
              <w:numPr>
                <w:ilvl w:val="0"/>
                <w:numId w:val="17"/>
              </w:numPr>
              <w:rPr>
                <w:rtl/>
              </w:rPr>
            </w:pPr>
            <w:r>
              <w:rPr>
                <w:rFonts w:hint="cs"/>
                <w:rtl/>
              </w:rPr>
              <w:t xml:space="preserve">בגין כל </w:t>
            </w:r>
            <w:r w:rsidR="00750138">
              <w:rPr>
                <w:rFonts w:hint="cs"/>
                <w:rtl/>
              </w:rPr>
              <w:t>מכל</w:t>
            </w:r>
            <w:r>
              <w:rPr>
                <w:rFonts w:hint="cs"/>
                <w:rtl/>
              </w:rPr>
              <w:t xml:space="preserve"> משקה ישולמו דמי פיקדון מלאים לתחנת המעבר ועל היצרן / היבואן להמציא אסמכתא לתשלום.</w:t>
            </w:r>
          </w:p>
          <w:p w14:paraId="3B93BF1C" w14:textId="77777777" w:rsidR="00EF16D0" w:rsidRDefault="00EF16D0" w:rsidP="00750138">
            <w:pPr>
              <w:rPr>
                <w:rtl/>
              </w:rPr>
            </w:pPr>
          </w:p>
        </w:tc>
        <w:tc>
          <w:tcPr>
            <w:tcW w:w="4528" w:type="dxa"/>
            <w:vAlign w:val="center"/>
          </w:tcPr>
          <w:p w14:paraId="76EB2422" w14:textId="432432FA" w:rsidR="00EF16D0" w:rsidRPr="00C20092" w:rsidRDefault="00EF16D0" w:rsidP="00750138">
            <w:r w:rsidRPr="00EF16D0">
              <w:rPr>
                <w:rtl/>
              </w:rPr>
              <w:t xml:space="preserve">בחוק אין </w:t>
            </w:r>
            <w:r w:rsidRPr="002E78B7">
              <w:rPr>
                <w:rtl/>
              </w:rPr>
              <w:t xml:space="preserve">התייחסות לדרכי האיסוף המותרות או האסורות לצורך עמידה ביעדים, </w:t>
            </w:r>
            <w:r w:rsidRPr="002E78B7">
              <w:rPr>
                <w:rFonts w:hint="eastAsia"/>
                <w:rtl/>
              </w:rPr>
              <w:t>מלבד</w:t>
            </w:r>
            <w:r w:rsidRPr="002E78B7">
              <w:rPr>
                <w:rtl/>
              </w:rPr>
              <w:t xml:space="preserve"> </w:t>
            </w:r>
            <w:r w:rsidRPr="002E78B7">
              <w:rPr>
                <w:rFonts w:hint="eastAsia"/>
                <w:rtl/>
              </w:rPr>
              <w:t>האיסוף</w:t>
            </w:r>
            <w:r w:rsidRPr="002E78B7">
              <w:rPr>
                <w:rtl/>
              </w:rPr>
              <w:t xml:space="preserve"> </w:t>
            </w:r>
            <w:r w:rsidRPr="002E78B7">
              <w:rPr>
                <w:rFonts w:hint="eastAsia"/>
                <w:rtl/>
              </w:rPr>
              <w:t>מבתי</w:t>
            </w:r>
            <w:r w:rsidRPr="002E78B7">
              <w:rPr>
                <w:rtl/>
              </w:rPr>
              <w:t xml:space="preserve"> </w:t>
            </w:r>
            <w:r w:rsidRPr="002E78B7">
              <w:rPr>
                <w:rFonts w:hint="eastAsia"/>
                <w:rtl/>
              </w:rPr>
              <w:t>עסק</w:t>
            </w:r>
            <w:r w:rsidRPr="002E78B7">
              <w:rPr>
                <w:rtl/>
              </w:rPr>
              <w:t xml:space="preserve">, והדרישה שמכלי המשקה אשר נאספו הם מכלים "ריקים ומסומנים". </w:t>
            </w:r>
            <w:r w:rsidRPr="00C20092">
              <w:rPr>
                <w:rFonts w:hint="eastAsia"/>
                <w:rtl/>
              </w:rPr>
              <w:t>המשרד</w:t>
            </w:r>
            <w:r w:rsidRPr="00C20092">
              <w:rPr>
                <w:rtl/>
              </w:rPr>
              <w:t xml:space="preserve"> </w:t>
            </w:r>
            <w:r w:rsidRPr="00C20092">
              <w:rPr>
                <w:rFonts w:hint="eastAsia"/>
                <w:rtl/>
              </w:rPr>
              <w:t>מעוניין</w:t>
            </w:r>
            <w:r w:rsidRPr="00C20092">
              <w:rPr>
                <w:rtl/>
              </w:rPr>
              <w:t xml:space="preserve"> לעודד </w:t>
            </w:r>
            <w:r w:rsidRPr="002E78B7">
              <w:rPr>
                <w:rFonts w:hint="eastAsia"/>
                <w:rtl/>
              </w:rPr>
              <w:t>איסוף</w:t>
            </w:r>
            <w:r w:rsidRPr="002E78B7">
              <w:rPr>
                <w:rtl/>
              </w:rPr>
              <w:t xml:space="preserve"> מופרד </w:t>
            </w:r>
            <w:r w:rsidRPr="002E78B7">
              <w:rPr>
                <w:rFonts w:hint="eastAsia"/>
                <w:rtl/>
              </w:rPr>
              <w:t>ו</w:t>
            </w:r>
            <w:r w:rsidR="00750138">
              <w:rPr>
                <w:rtl/>
              </w:rPr>
              <w:t>מחזור</w:t>
            </w:r>
            <w:r w:rsidRPr="00C20092">
              <w:rPr>
                <w:rtl/>
              </w:rPr>
              <w:t xml:space="preserve"> איכותי</w:t>
            </w:r>
            <w:r w:rsidRPr="002E78B7">
              <w:rPr>
                <w:rtl/>
              </w:rPr>
              <w:t>,</w:t>
            </w:r>
            <w:r w:rsidRPr="00C20092">
              <w:rPr>
                <w:rtl/>
              </w:rPr>
              <w:t xml:space="preserve"> </w:t>
            </w:r>
            <w:r w:rsidRPr="00C20092">
              <w:rPr>
                <w:rFonts w:hint="eastAsia"/>
                <w:rtl/>
              </w:rPr>
              <w:t>ו</w:t>
            </w:r>
            <w:r w:rsidRPr="002E78B7">
              <w:rPr>
                <w:rFonts w:hint="eastAsia"/>
                <w:rtl/>
              </w:rPr>
              <w:t>מתכוון</w:t>
            </w:r>
            <w:r w:rsidRPr="002E78B7">
              <w:rPr>
                <w:rtl/>
              </w:rPr>
              <w:t xml:space="preserve"> להשתמש בכלי תמיכה נוספים </w:t>
            </w:r>
            <w:r w:rsidRPr="002E78B7">
              <w:rPr>
                <w:rFonts w:hint="eastAsia"/>
                <w:rtl/>
              </w:rPr>
              <w:t>לעידוד</w:t>
            </w:r>
            <w:r w:rsidRPr="002E78B7">
              <w:rPr>
                <w:rtl/>
              </w:rPr>
              <w:t xml:space="preserve"> </w:t>
            </w:r>
            <w:r w:rsidRPr="00C20092">
              <w:rPr>
                <w:rFonts w:hint="eastAsia"/>
                <w:rtl/>
              </w:rPr>
              <w:t>הפרדה</w:t>
            </w:r>
            <w:r w:rsidRPr="00C20092">
              <w:rPr>
                <w:rtl/>
              </w:rPr>
              <w:t xml:space="preserve"> </w:t>
            </w:r>
            <w:r w:rsidRPr="00C20092">
              <w:rPr>
                <w:rFonts w:hint="eastAsia"/>
                <w:rtl/>
              </w:rPr>
              <w:t>במקור</w:t>
            </w:r>
            <w:r w:rsidRPr="00C20092">
              <w:rPr>
                <w:rtl/>
              </w:rPr>
              <w:t xml:space="preserve"> </w:t>
            </w:r>
            <w:r w:rsidRPr="00C20092">
              <w:rPr>
                <w:rFonts w:hint="eastAsia"/>
                <w:rtl/>
              </w:rPr>
              <w:t>והשבת</w:t>
            </w:r>
            <w:r w:rsidRPr="00C20092">
              <w:rPr>
                <w:rtl/>
              </w:rPr>
              <w:t xml:space="preserve"> </w:t>
            </w:r>
            <w:r w:rsidRPr="002E78B7">
              <w:rPr>
                <w:rFonts w:hint="eastAsia"/>
                <w:rtl/>
              </w:rPr>
              <w:t>דמי</w:t>
            </w:r>
            <w:r w:rsidRPr="002E78B7">
              <w:rPr>
                <w:rtl/>
              </w:rPr>
              <w:t xml:space="preserve"> </w:t>
            </w:r>
            <w:r w:rsidRPr="00C20092">
              <w:rPr>
                <w:rFonts w:hint="eastAsia"/>
                <w:rtl/>
              </w:rPr>
              <w:t>הפיקדון</w:t>
            </w:r>
            <w:r w:rsidRPr="00C20092">
              <w:rPr>
                <w:rtl/>
              </w:rPr>
              <w:t xml:space="preserve"> </w:t>
            </w:r>
            <w:r w:rsidRPr="00C20092">
              <w:rPr>
                <w:rFonts w:hint="eastAsia"/>
                <w:rtl/>
              </w:rPr>
              <w:t>לצרכנים</w:t>
            </w:r>
            <w:r w:rsidRPr="00C20092">
              <w:rPr>
                <w:rtl/>
              </w:rPr>
              <w:t xml:space="preserve">. </w:t>
            </w:r>
          </w:p>
          <w:p w14:paraId="35D61E8B" w14:textId="77777777" w:rsidR="00EF16D0" w:rsidRPr="00C20092" w:rsidRDefault="00EF16D0" w:rsidP="00750138">
            <w:pPr>
              <w:rPr>
                <w:rtl/>
              </w:rPr>
            </w:pPr>
            <w:r w:rsidRPr="00C20092">
              <w:rPr>
                <w:rFonts w:hint="eastAsia"/>
                <w:rtl/>
              </w:rPr>
              <w:t>לגבי</w:t>
            </w:r>
            <w:r w:rsidRPr="00C20092">
              <w:rPr>
                <w:rtl/>
              </w:rPr>
              <w:t xml:space="preserve"> האסמכתאות – </w:t>
            </w:r>
            <w:r w:rsidRPr="00C06CB2">
              <w:rPr>
                <w:rFonts w:hint="eastAsia"/>
                <w:rtl/>
              </w:rPr>
              <w:t>מתכונת</w:t>
            </w:r>
            <w:r w:rsidRPr="00C06CB2">
              <w:rPr>
                <w:rtl/>
              </w:rPr>
              <w:t xml:space="preserve"> הדיווח </w:t>
            </w:r>
            <w:r w:rsidRPr="00C06CB2">
              <w:rPr>
                <w:rFonts w:hint="eastAsia"/>
                <w:rtl/>
              </w:rPr>
              <w:t>כוללת</w:t>
            </w:r>
            <w:r w:rsidRPr="00C06CB2">
              <w:rPr>
                <w:rtl/>
              </w:rPr>
              <w:t xml:space="preserve"> דרישות מחמירות יותר לביצוע</w:t>
            </w:r>
            <w:r w:rsidRPr="00C20092">
              <w:rPr>
                <w:rtl/>
              </w:rPr>
              <w:t xml:space="preserve"> סטטיסטיק</w:t>
            </w:r>
            <w:r w:rsidRPr="00C06CB2">
              <w:rPr>
                <w:rFonts w:hint="eastAsia"/>
                <w:rtl/>
              </w:rPr>
              <w:t>ות</w:t>
            </w:r>
            <w:r w:rsidRPr="00C06CB2">
              <w:rPr>
                <w:rtl/>
              </w:rPr>
              <w:t xml:space="preserve">, </w:t>
            </w:r>
            <w:r w:rsidRPr="00C06CB2">
              <w:rPr>
                <w:rFonts w:hint="eastAsia"/>
                <w:rtl/>
              </w:rPr>
              <w:t>פרקטיקה</w:t>
            </w:r>
            <w:r w:rsidRPr="00C06CB2">
              <w:rPr>
                <w:rtl/>
              </w:rPr>
              <w:t xml:space="preserve"> </w:t>
            </w:r>
            <w:r w:rsidRPr="00C06CB2">
              <w:rPr>
                <w:rFonts w:hint="eastAsia"/>
                <w:rtl/>
              </w:rPr>
              <w:t>מקובלת</w:t>
            </w:r>
            <w:r w:rsidRPr="00C06CB2">
              <w:rPr>
                <w:rtl/>
              </w:rPr>
              <w:t xml:space="preserve"> </w:t>
            </w:r>
            <w:r w:rsidRPr="00C06CB2">
              <w:rPr>
                <w:rFonts w:hint="eastAsia"/>
                <w:rtl/>
              </w:rPr>
              <w:t>בתחום</w:t>
            </w:r>
            <w:r w:rsidRPr="00C06CB2">
              <w:rPr>
                <w:rtl/>
              </w:rPr>
              <w:t xml:space="preserve"> </w:t>
            </w:r>
            <w:r w:rsidRPr="00C06CB2">
              <w:rPr>
                <w:rFonts w:hint="eastAsia"/>
                <w:rtl/>
              </w:rPr>
              <w:t>הפסולת</w:t>
            </w:r>
            <w:r w:rsidRPr="00C20092">
              <w:rPr>
                <w:rtl/>
              </w:rPr>
              <w:t>.</w:t>
            </w:r>
            <w:r w:rsidRPr="00C06CB2">
              <w:rPr>
                <w:rtl/>
              </w:rPr>
              <w:t xml:space="preserve"> </w:t>
            </w:r>
          </w:p>
          <w:p w14:paraId="1ECED4DD" w14:textId="77777777" w:rsidR="00EF16D0" w:rsidRDefault="00EF16D0" w:rsidP="00750138">
            <w:pPr>
              <w:rPr>
                <w:rtl/>
              </w:rPr>
            </w:pPr>
          </w:p>
          <w:p w14:paraId="2E175995" w14:textId="35379953" w:rsidR="002E2D7A" w:rsidRDefault="002E2D7A" w:rsidP="00750138">
            <w:pPr>
              <w:rPr>
                <w:rtl/>
              </w:rPr>
            </w:pPr>
            <w:r>
              <w:rPr>
                <w:rFonts w:hint="cs"/>
                <w:rtl/>
              </w:rPr>
              <w:t>יוער כי המשרד בוחן את האפשרות של שינוי הגדרת "</w:t>
            </w:r>
            <w:r w:rsidR="00750138">
              <w:rPr>
                <w:rFonts w:hint="cs"/>
                <w:rtl/>
              </w:rPr>
              <w:t>מחזור</w:t>
            </w:r>
            <w:r>
              <w:rPr>
                <w:rFonts w:hint="cs"/>
                <w:rtl/>
              </w:rPr>
              <w:t>" בחוק כך שלא יוכר</w:t>
            </w:r>
            <w:r w:rsidR="00325903">
              <w:rPr>
                <w:rFonts w:hint="cs"/>
                <w:rtl/>
              </w:rPr>
              <w:t>ו</w:t>
            </w:r>
            <w:r>
              <w:rPr>
                <w:rFonts w:hint="cs"/>
                <w:rtl/>
              </w:rPr>
              <w:t xml:space="preserve"> ליעדי </w:t>
            </w:r>
            <w:r w:rsidR="00325903">
              <w:rPr>
                <w:rFonts w:hint="cs"/>
                <w:rtl/>
              </w:rPr>
              <w:t>האיסוף והמחזור</w:t>
            </w:r>
            <w:r>
              <w:rPr>
                <w:rFonts w:hint="cs"/>
                <w:rtl/>
              </w:rPr>
              <w:t xml:space="preserve"> מכלי משקה שלא הופרדו במקור.</w:t>
            </w:r>
          </w:p>
        </w:tc>
      </w:tr>
      <w:tr w:rsidR="00EF16D0" w14:paraId="714F899D" w14:textId="77777777" w:rsidTr="008E62CE">
        <w:trPr>
          <w:trHeight w:val="924"/>
        </w:trPr>
        <w:tc>
          <w:tcPr>
            <w:tcW w:w="5046" w:type="dxa"/>
            <w:vAlign w:val="center"/>
          </w:tcPr>
          <w:p w14:paraId="02C2A081" w14:textId="797FF262" w:rsidR="00EF16D0" w:rsidRPr="0026263B" w:rsidRDefault="0026263B" w:rsidP="00750138">
            <w:pPr>
              <w:rPr>
                <w:rtl/>
              </w:rPr>
            </w:pPr>
            <w:r>
              <w:rPr>
                <w:rFonts w:hint="cs"/>
                <w:rtl/>
              </w:rPr>
              <w:t xml:space="preserve">על המשרד להוסיף באופציות המחזור אפשרות של מחזור </w:t>
            </w:r>
            <w:r>
              <w:rPr>
                <w:rFonts w:hint="cs"/>
              </w:rPr>
              <w:t>B</w:t>
            </w:r>
            <w:r>
              <w:rPr>
                <w:rFonts w:hint="cs"/>
                <w:rtl/>
              </w:rPr>
              <w:t>2</w:t>
            </w:r>
            <w:r>
              <w:rPr>
                <w:rFonts w:hint="cs"/>
              </w:rPr>
              <w:t>B</w:t>
            </w:r>
            <w:r>
              <w:rPr>
                <w:rFonts w:hint="cs"/>
                <w:rtl/>
              </w:rPr>
              <w:t xml:space="preserve"> בחו"ל.</w:t>
            </w:r>
          </w:p>
        </w:tc>
        <w:tc>
          <w:tcPr>
            <w:tcW w:w="4528" w:type="dxa"/>
            <w:vAlign w:val="center"/>
          </w:tcPr>
          <w:p w14:paraId="7F9424AA" w14:textId="354CDED6" w:rsidR="00EF16D0" w:rsidRDefault="00257E34" w:rsidP="00750138">
            <w:pPr>
              <w:rPr>
                <w:rtl/>
              </w:rPr>
            </w:pPr>
            <w:r w:rsidRPr="00C20092">
              <w:rPr>
                <w:rFonts w:hint="eastAsia"/>
                <w:rtl/>
              </w:rPr>
              <w:t>ההערה</w:t>
            </w:r>
            <w:r w:rsidRPr="00C20092">
              <w:rPr>
                <w:rtl/>
              </w:rPr>
              <w:t xml:space="preserve"> התקבלה</w:t>
            </w:r>
            <w:r w:rsidRPr="00C06CB2">
              <w:rPr>
                <w:rtl/>
              </w:rPr>
              <w:t xml:space="preserve"> והוטמעה בגיליון ה</w:t>
            </w:r>
            <w:r w:rsidRPr="00C20092">
              <w:rPr>
                <w:rtl/>
              </w:rPr>
              <w:t xml:space="preserve">אקסל. </w:t>
            </w:r>
          </w:p>
        </w:tc>
      </w:tr>
      <w:tr w:rsidR="00EF16D0" w14:paraId="3C8EE1F3" w14:textId="77777777" w:rsidTr="008E62CE">
        <w:trPr>
          <w:trHeight w:val="1262"/>
        </w:trPr>
        <w:tc>
          <w:tcPr>
            <w:tcW w:w="5046" w:type="dxa"/>
            <w:vAlign w:val="center"/>
          </w:tcPr>
          <w:p w14:paraId="135F468C" w14:textId="3920D39C" w:rsidR="00EF16D0" w:rsidRPr="007C1762" w:rsidRDefault="007C1762" w:rsidP="00750138">
            <w:pPr>
              <w:rPr>
                <w:rtl/>
              </w:rPr>
            </w:pPr>
            <w:r>
              <w:rPr>
                <w:rFonts w:hint="cs"/>
                <w:rtl/>
              </w:rPr>
              <w:t>המשרד לא יתיר שריפת פסולת למחזור לא בארץ ולא בחו"ל, שכן המשמעות האופרטיבית של הכרה כזו היא משלוחים של אשפה לחו"ל.</w:t>
            </w:r>
          </w:p>
        </w:tc>
        <w:tc>
          <w:tcPr>
            <w:tcW w:w="4528" w:type="dxa"/>
            <w:vAlign w:val="center"/>
          </w:tcPr>
          <w:p w14:paraId="49221BBC" w14:textId="10365653" w:rsidR="00EF16D0" w:rsidRPr="00A63909" w:rsidRDefault="00A63909" w:rsidP="00750138">
            <w:pPr>
              <w:rPr>
                <w:rtl/>
              </w:rPr>
            </w:pPr>
            <w:r w:rsidRPr="00C20092">
              <w:rPr>
                <w:rFonts w:hint="eastAsia"/>
                <w:rtl/>
              </w:rPr>
              <w:t>בהתאם</w:t>
            </w:r>
            <w:r w:rsidRPr="00C20092">
              <w:rPr>
                <w:rtl/>
              </w:rPr>
              <w:t xml:space="preserve"> </w:t>
            </w:r>
            <w:proofErr w:type="spellStart"/>
            <w:r w:rsidRPr="00C20092">
              <w:rPr>
                <w:rFonts w:hint="eastAsia"/>
                <w:rtl/>
              </w:rPr>
              <w:t>לחוו</w:t>
            </w:r>
            <w:r w:rsidRPr="00C20092">
              <w:rPr>
                <w:rtl/>
              </w:rPr>
              <w:t>"ד</w:t>
            </w:r>
            <w:proofErr w:type="spellEnd"/>
            <w:r w:rsidRPr="00C20092">
              <w:rPr>
                <w:rtl/>
              </w:rPr>
              <w:t xml:space="preserve"> </w:t>
            </w:r>
            <w:r w:rsidRPr="000614BB">
              <w:rPr>
                <w:rFonts w:hint="eastAsia"/>
                <w:rtl/>
              </w:rPr>
              <w:t>הלשכה</w:t>
            </w:r>
            <w:r w:rsidRPr="000614BB">
              <w:rPr>
                <w:rtl/>
              </w:rPr>
              <w:t xml:space="preserve"> המשפטית של המשרד, </w:t>
            </w:r>
            <w:r w:rsidRPr="00C20092">
              <w:rPr>
                <w:rtl/>
              </w:rPr>
              <w:t xml:space="preserve">ההגדרה </w:t>
            </w:r>
            <w:r>
              <w:rPr>
                <w:rFonts w:hint="cs"/>
                <w:rtl/>
              </w:rPr>
              <w:t xml:space="preserve">הנוכחית </w:t>
            </w:r>
            <w:r w:rsidRPr="00C20092">
              <w:rPr>
                <w:rtl/>
              </w:rPr>
              <w:t xml:space="preserve">של </w:t>
            </w:r>
            <w:r w:rsidR="00750138">
              <w:rPr>
                <w:rtl/>
              </w:rPr>
              <w:t>מחזור</w:t>
            </w:r>
            <w:r w:rsidRPr="00C20092">
              <w:rPr>
                <w:rtl/>
              </w:rPr>
              <w:t xml:space="preserve"> בחוק אי</w:t>
            </w:r>
            <w:r>
              <w:rPr>
                <w:rFonts w:hint="cs"/>
                <w:rtl/>
              </w:rPr>
              <w:t>נה</w:t>
            </w:r>
            <w:r w:rsidRPr="00C20092">
              <w:rPr>
                <w:rtl/>
              </w:rPr>
              <w:t xml:space="preserve"> </w:t>
            </w:r>
            <w:r>
              <w:rPr>
                <w:rFonts w:hint="cs"/>
                <w:rtl/>
              </w:rPr>
              <w:t xml:space="preserve">מבחינה בין </w:t>
            </w:r>
            <w:r w:rsidRPr="00C20092">
              <w:rPr>
                <w:rtl/>
              </w:rPr>
              <w:t xml:space="preserve">השבה </w:t>
            </w:r>
            <w:r>
              <w:rPr>
                <w:rFonts w:hint="cs"/>
                <w:rtl/>
              </w:rPr>
              <w:t>ל</w:t>
            </w:r>
            <w:r w:rsidR="00750138">
              <w:rPr>
                <w:rFonts w:hint="cs"/>
                <w:rtl/>
              </w:rPr>
              <w:t>אנרגייה</w:t>
            </w:r>
            <w:r>
              <w:rPr>
                <w:rFonts w:hint="cs"/>
                <w:rtl/>
              </w:rPr>
              <w:t xml:space="preserve"> </w:t>
            </w:r>
            <w:r w:rsidRPr="00C20092">
              <w:rPr>
                <w:rtl/>
              </w:rPr>
              <w:t xml:space="preserve">לבין </w:t>
            </w:r>
            <w:r w:rsidR="00750138">
              <w:rPr>
                <w:rtl/>
              </w:rPr>
              <w:t>מחזור</w:t>
            </w:r>
            <w:r w:rsidRPr="000614BB">
              <w:rPr>
                <w:rtl/>
              </w:rPr>
              <w:t xml:space="preserve">. </w:t>
            </w:r>
            <w:r w:rsidRPr="000614BB">
              <w:rPr>
                <w:rFonts w:hint="eastAsia"/>
                <w:rtl/>
              </w:rPr>
              <w:t>יחד</w:t>
            </w:r>
            <w:r w:rsidRPr="000614BB">
              <w:rPr>
                <w:rtl/>
              </w:rPr>
              <w:t xml:space="preserve"> עם זאת, </w:t>
            </w:r>
            <w:r>
              <w:rPr>
                <w:rFonts w:hint="cs"/>
                <w:rtl/>
              </w:rPr>
              <w:t xml:space="preserve">המשרד בוחן </w:t>
            </w:r>
            <w:r w:rsidRPr="006605D4">
              <w:rPr>
                <w:rtl/>
              </w:rPr>
              <w:t xml:space="preserve">בימים אלה </w:t>
            </w:r>
            <w:r>
              <w:rPr>
                <w:rFonts w:hint="cs"/>
                <w:rtl/>
              </w:rPr>
              <w:t>את מדיניותו בנושא</w:t>
            </w:r>
            <w:r w:rsidRPr="000614BB">
              <w:rPr>
                <w:rtl/>
              </w:rPr>
              <w:t>.</w:t>
            </w:r>
          </w:p>
        </w:tc>
      </w:tr>
      <w:tr w:rsidR="00EF16D0" w14:paraId="1F4D4FF6" w14:textId="77777777" w:rsidTr="008E62CE">
        <w:trPr>
          <w:trHeight w:val="1409"/>
        </w:trPr>
        <w:tc>
          <w:tcPr>
            <w:tcW w:w="5046" w:type="dxa"/>
            <w:vAlign w:val="center"/>
          </w:tcPr>
          <w:p w14:paraId="507EFB45" w14:textId="340E78DB" w:rsidR="00EF16D0" w:rsidRPr="00F54B2A" w:rsidRDefault="00F54B2A" w:rsidP="00750138">
            <w:pPr>
              <w:rPr>
                <w:rtl/>
              </w:rPr>
            </w:pPr>
            <w:r>
              <w:rPr>
                <w:rFonts w:hint="cs"/>
                <w:rtl/>
              </w:rPr>
              <w:lastRenderedPageBreak/>
              <w:t>על מנת להתמודד עם תופעת ה"דלת המסתובבת" על המשרד לדרוש כי מפעל המחזור "יסיים" את חייו של ה</w:t>
            </w:r>
            <w:r w:rsidR="00750138">
              <w:rPr>
                <w:rFonts w:hint="cs"/>
                <w:rtl/>
              </w:rPr>
              <w:t>מכל</w:t>
            </w:r>
            <w:r>
              <w:rPr>
                <w:rFonts w:hint="cs"/>
                <w:rtl/>
              </w:rPr>
              <w:t xml:space="preserve"> באמצעות גריסה והצגת אסמכתאות תומכות (גם במקרה של ייצוא לחו"ל).</w:t>
            </w:r>
          </w:p>
        </w:tc>
        <w:tc>
          <w:tcPr>
            <w:tcW w:w="4528" w:type="dxa"/>
            <w:vAlign w:val="center"/>
          </w:tcPr>
          <w:p w14:paraId="717D6FB1" w14:textId="77D042F8" w:rsidR="00F54B2A" w:rsidRPr="00C20092" w:rsidRDefault="00F54B2A" w:rsidP="00750138">
            <w:r>
              <w:rPr>
                <w:rFonts w:hint="cs"/>
                <w:rtl/>
              </w:rPr>
              <w:t xml:space="preserve">על יצרנים ויבואנים לוודא כי המפעל המורשה אליו מועברת הפסולת אכן פועל לבצע </w:t>
            </w:r>
            <w:r w:rsidR="00750138">
              <w:rPr>
                <w:rFonts w:hint="cs"/>
                <w:rtl/>
              </w:rPr>
              <w:t>מחזור</w:t>
            </w:r>
            <w:r>
              <w:rPr>
                <w:rFonts w:hint="cs"/>
                <w:rtl/>
              </w:rPr>
              <w:t>, ובאיזה אופן מבוצע ה</w:t>
            </w:r>
            <w:r w:rsidR="00750138">
              <w:rPr>
                <w:rFonts w:hint="cs"/>
                <w:rtl/>
              </w:rPr>
              <w:t>מחזור</w:t>
            </w:r>
            <w:r w:rsidRPr="00C20092">
              <w:rPr>
                <w:rtl/>
              </w:rPr>
              <w:t>.</w:t>
            </w:r>
          </w:p>
          <w:p w14:paraId="327A77A9" w14:textId="77777777" w:rsidR="00EF16D0" w:rsidRPr="00F54B2A" w:rsidRDefault="00EF16D0" w:rsidP="00750138">
            <w:pPr>
              <w:rPr>
                <w:rtl/>
              </w:rPr>
            </w:pPr>
          </w:p>
        </w:tc>
      </w:tr>
      <w:tr w:rsidR="00545BBD" w14:paraId="5F3B2B8C" w14:textId="77777777" w:rsidTr="008E62CE">
        <w:trPr>
          <w:trHeight w:val="989"/>
        </w:trPr>
        <w:tc>
          <w:tcPr>
            <w:tcW w:w="5046" w:type="dxa"/>
            <w:vAlign w:val="center"/>
          </w:tcPr>
          <w:p w14:paraId="2993B2F7" w14:textId="00C55E2F" w:rsidR="00545BBD" w:rsidRPr="000F53FB" w:rsidRDefault="000F53FB" w:rsidP="00750138">
            <w:pPr>
              <w:rPr>
                <w:rtl/>
              </w:rPr>
            </w:pPr>
            <w:r>
              <w:rPr>
                <w:rFonts w:hint="cs"/>
                <w:rtl/>
              </w:rPr>
              <w:t>יש לדרוש ממפעלי ה</w:t>
            </w:r>
            <w:r w:rsidR="00750138">
              <w:rPr>
                <w:rFonts w:hint="cs"/>
                <w:rtl/>
              </w:rPr>
              <w:t>מחזור</w:t>
            </w:r>
            <w:r>
              <w:rPr>
                <w:rFonts w:hint="cs"/>
                <w:rtl/>
              </w:rPr>
              <w:t xml:space="preserve"> לציין בתעודת השקילה המופקת על ידם כי החומרים הינם מכלי משקה ולא רק סוג החומר.</w:t>
            </w:r>
          </w:p>
        </w:tc>
        <w:tc>
          <w:tcPr>
            <w:tcW w:w="4528" w:type="dxa"/>
            <w:vAlign w:val="center"/>
          </w:tcPr>
          <w:p w14:paraId="22457F8E" w14:textId="3F6047D6" w:rsidR="00545BBD" w:rsidRPr="00581441" w:rsidRDefault="000F53FB" w:rsidP="00750138">
            <w:pPr>
              <w:rPr>
                <w:rtl/>
              </w:rPr>
            </w:pPr>
            <w:r>
              <w:rPr>
                <w:rFonts w:hint="cs"/>
                <w:rtl/>
              </w:rPr>
              <w:t>ההערה התקבלה.</w:t>
            </w:r>
          </w:p>
        </w:tc>
      </w:tr>
      <w:tr w:rsidR="00545BBD" w14:paraId="3AA9B67C" w14:textId="77777777" w:rsidTr="008E62CE">
        <w:trPr>
          <w:trHeight w:val="975"/>
        </w:trPr>
        <w:tc>
          <w:tcPr>
            <w:tcW w:w="5046" w:type="dxa"/>
            <w:vAlign w:val="center"/>
          </w:tcPr>
          <w:p w14:paraId="7C028634" w14:textId="7B0095B2" w:rsidR="00545BBD" w:rsidRPr="000F53FB" w:rsidRDefault="000F53FB" w:rsidP="00750138">
            <w:pPr>
              <w:rPr>
                <w:rtl/>
              </w:rPr>
            </w:pPr>
            <w:r>
              <w:rPr>
                <w:rFonts w:hint="cs"/>
                <w:rtl/>
              </w:rPr>
              <w:t xml:space="preserve">יש לדרוש מיצרן ויבואן להציג אסמכתאות תומכות לגבי גלגולו של </w:t>
            </w:r>
            <w:r w:rsidR="00750138">
              <w:rPr>
                <w:rFonts w:hint="cs"/>
                <w:rtl/>
              </w:rPr>
              <w:t>מכל</w:t>
            </w:r>
            <w:r>
              <w:rPr>
                <w:rFonts w:hint="cs"/>
                <w:rtl/>
              </w:rPr>
              <w:t xml:space="preserve"> אשר נקלט במכונות אוטומטיות להשבת </w:t>
            </w:r>
            <w:r w:rsidR="00750138">
              <w:rPr>
                <w:rFonts w:hint="cs"/>
                <w:rtl/>
              </w:rPr>
              <w:t>מכל</w:t>
            </w:r>
            <w:r>
              <w:rPr>
                <w:rFonts w:hint="cs"/>
                <w:rtl/>
              </w:rPr>
              <w:t xml:space="preserve">י משקה. </w:t>
            </w:r>
          </w:p>
        </w:tc>
        <w:tc>
          <w:tcPr>
            <w:tcW w:w="4528" w:type="dxa"/>
            <w:vAlign w:val="center"/>
          </w:tcPr>
          <w:p w14:paraId="07E36BC2" w14:textId="381E5C31" w:rsidR="00545BBD" w:rsidRDefault="000F53FB" w:rsidP="00750138">
            <w:pPr>
              <w:rPr>
                <w:rtl/>
              </w:rPr>
            </w:pPr>
            <w:r w:rsidRPr="00581441">
              <w:rPr>
                <w:rFonts w:hint="eastAsia"/>
                <w:rtl/>
              </w:rPr>
              <w:t>ההערה</w:t>
            </w:r>
            <w:r w:rsidRPr="00581441">
              <w:rPr>
                <w:rtl/>
              </w:rPr>
              <w:t xml:space="preserve"> התקבלה</w:t>
            </w:r>
            <w:r>
              <w:rPr>
                <w:rFonts w:hint="cs"/>
                <w:rtl/>
              </w:rPr>
              <w:t>,</w:t>
            </w:r>
            <w:r w:rsidRPr="00581441">
              <w:rPr>
                <w:rtl/>
              </w:rPr>
              <w:t xml:space="preserve"> </w:t>
            </w:r>
            <w:r w:rsidRPr="00581441">
              <w:rPr>
                <w:rFonts w:hint="eastAsia"/>
                <w:rtl/>
              </w:rPr>
              <w:t>התווסף</w:t>
            </w:r>
            <w:r w:rsidRPr="00581441">
              <w:rPr>
                <w:rtl/>
              </w:rPr>
              <w:t xml:space="preserve"> </w:t>
            </w:r>
            <w:r w:rsidRPr="00581441">
              <w:rPr>
                <w:rFonts w:hint="eastAsia"/>
                <w:rtl/>
              </w:rPr>
              <w:t>ל</w:t>
            </w:r>
            <w:r w:rsidRPr="00581441">
              <w:rPr>
                <w:rFonts w:hint="cs"/>
                <w:rtl/>
              </w:rPr>
              <w:t>מתכונת הדיווח</w:t>
            </w:r>
            <w:r w:rsidRPr="00581441">
              <w:rPr>
                <w:rtl/>
              </w:rPr>
              <w:t xml:space="preserve"> </w:t>
            </w:r>
            <w:r w:rsidRPr="00581441">
              <w:rPr>
                <w:rFonts w:hint="eastAsia"/>
                <w:rtl/>
              </w:rPr>
              <w:t>סעיף</w:t>
            </w:r>
            <w:r w:rsidRPr="00581441">
              <w:rPr>
                <w:rtl/>
              </w:rPr>
              <w:t xml:space="preserve"> 2(</w:t>
            </w:r>
            <w:r w:rsidRPr="00581441">
              <w:rPr>
                <w:rFonts w:hint="cs"/>
                <w:rtl/>
              </w:rPr>
              <w:t>10</w:t>
            </w:r>
            <w:r w:rsidRPr="00581441">
              <w:rPr>
                <w:rtl/>
              </w:rPr>
              <w:t>).</w:t>
            </w:r>
          </w:p>
        </w:tc>
      </w:tr>
      <w:tr w:rsidR="00545BBD" w14:paraId="6D3963D0" w14:textId="77777777" w:rsidTr="008E62CE">
        <w:trPr>
          <w:trHeight w:val="3396"/>
        </w:trPr>
        <w:tc>
          <w:tcPr>
            <w:tcW w:w="5046" w:type="dxa"/>
            <w:vAlign w:val="center"/>
          </w:tcPr>
          <w:p w14:paraId="13A7BFCF" w14:textId="3246BC26" w:rsidR="00E76961" w:rsidRDefault="00E76961" w:rsidP="00750138">
            <w:r>
              <w:rPr>
                <w:rFonts w:hint="cs"/>
                <w:rtl/>
              </w:rPr>
              <w:t xml:space="preserve">הפקת </w:t>
            </w:r>
            <w:r w:rsidR="00750138">
              <w:rPr>
                <w:rFonts w:hint="cs"/>
                <w:rtl/>
              </w:rPr>
              <w:t>אנרגייה</w:t>
            </w:r>
            <w:r>
              <w:rPr>
                <w:rFonts w:hint="cs"/>
                <w:rtl/>
              </w:rPr>
              <w:t xml:space="preserve"> בישראל:</w:t>
            </w:r>
          </w:p>
          <w:p w14:paraId="25763693" w14:textId="171E331F" w:rsidR="00E76961" w:rsidRDefault="00E76961" w:rsidP="00750138">
            <w:pPr>
              <w:pStyle w:val="ListParagraph"/>
              <w:numPr>
                <w:ilvl w:val="0"/>
                <w:numId w:val="11"/>
              </w:numPr>
            </w:pPr>
            <w:r>
              <w:rPr>
                <w:rFonts w:hint="cs"/>
                <w:rtl/>
              </w:rPr>
              <w:t xml:space="preserve"> </w:t>
            </w:r>
            <w:proofErr w:type="spellStart"/>
            <w:r>
              <w:rPr>
                <w:rFonts w:hint="cs"/>
                <w:rtl/>
              </w:rPr>
              <w:t>חוו"ד</w:t>
            </w:r>
            <w:proofErr w:type="spellEnd"/>
            <w:r>
              <w:rPr>
                <w:rFonts w:hint="cs"/>
                <w:rtl/>
              </w:rPr>
              <w:t xml:space="preserve"> משפטית שהוגשה למשרד כמו גם עמדת הדירקטיבה היא ששריפת פסולת אינה יכולה להיחשב למחזור.</w:t>
            </w:r>
          </w:p>
          <w:p w14:paraId="43187F17" w14:textId="77777777" w:rsidR="00E76961" w:rsidRDefault="00E76961" w:rsidP="00750138">
            <w:pPr>
              <w:pStyle w:val="ListParagraph"/>
              <w:numPr>
                <w:ilvl w:val="0"/>
                <w:numId w:val="11"/>
              </w:numPr>
            </w:pPr>
            <w:r>
              <w:rPr>
                <w:rFonts w:hint="cs"/>
                <w:rtl/>
              </w:rPr>
              <w:t>שריפת מכלי משקה ריקים אינה יכולה להיחשב כאיסוף לצורך עמידה ביעדי החוק. ומקור זה נחות אף מתחנות מעבר.</w:t>
            </w:r>
          </w:p>
          <w:p w14:paraId="1DD07F75" w14:textId="77777777" w:rsidR="00E76961" w:rsidRDefault="00E76961" w:rsidP="00750138">
            <w:pPr>
              <w:pStyle w:val="ListParagraph"/>
              <w:numPr>
                <w:ilvl w:val="0"/>
                <w:numId w:val="11"/>
              </w:numPr>
            </w:pPr>
            <w:r>
              <w:rPr>
                <w:rFonts w:hint="cs"/>
                <w:rtl/>
              </w:rPr>
              <w:t>ככל שהמשרד מעוניין לקדם איסוף ומחזור איכותי עליו לתמרץ פריסה של מכונות אוטומטיות להשבת מכלי משקה.</w:t>
            </w:r>
          </w:p>
          <w:p w14:paraId="1BCA980E" w14:textId="5BFF2599" w:rsidR="00545BBD" w:rsidRPr="00E76961" w:rsidRDefault="00E76961" w:rsidP="00750138">
            <w:pPr>
              <w:pStyle w:val="ListParagraph"/>
              <w:numPr>
                <w:ilvl w:val="0"/>
                <w:numId w:val="11"/>
              </w:numPr>
              <w:rPr>
                <w:rtl/>
              </w:rPr>
            </w:pPr>
            <w:r>
              <w:rPr>
                <w:rFonts w:hint="cs"/>
                <w:rtl/>
              </w:rPr>
              <w:t xml:space="preserve">יש להגביל את הדיווח האפשרי על </w:t>
            </w:r>
            <w:r>
              <w:rPr>
                <w:rFonts w:hint="cs"/>
              </w:rPr>
              <w:t>RDF</w:t>
            </w:r>
            <w:r>
              <w:rPr>
                <w:rFonts w:hint="cs"/>
                <w:rtl/>
              </w:rPr>
              <w:t xml:space="preserve"> ל-10% בלבד.</w:t>
            </w:r>
          </w:p>
        </w:tc>
        <w:tc>
          <w:tcPr>
            <w:tcW w:w="4528" w:type="dxa"/>
            <w:vAlign w:val="center"/>
          </w:tcPr>
          <w:p w14:paraId="7142D57A" w14:textId="153D9916" w:rsidR="008E62CE" w:rsidRPr="00C20092" w:rsidRDefault="008E62CE" w:rsidP="00750138">
            <w:r>
              <w:rPr>
                <w:rFonts w:hint="cs"/>
                <w:rtl/>
              </w:rPr>
              <w:t xml:space="preserve">ראו תשובה </w:t>
            </w:r>
            <w:r w:rsidR="00976E85">
              <w:rPr>
                <w:rFonts w:hint="cs"/>
                <w:rtl/>
              </w:rPr>
              <w:t xml:space="preserve">לסעיף </w:t>
            </w:r>
            <w:r>
              <w:rPr>
                <w:rFonts w:hint="cs"/>
                <w:rtl/>
              </w:rPr>
              <w:t>3 לעיל</w:t>
            </w:r>
            <w:r w:rsidRPr="00C20092">
              <w:rPr>
                <w:rtl/>
              </w:rPr>
              <w:t>.</w:t>
            </w:r>
          </w:p>
          <w:p w14:paraId="4637FEDE" w14:textId="77777777" w:rsidR="00545BBD" w:rsidRDefault="00545BBD" w:rsidP="00750138">
            <w:pPr>
              <w:rPr>
                <w:rtl/>
              </w:rPr>
            </w:pPr>
          </w:p>
        </w:tc>
      </w:tr>
      <w:tr w:rsidR="00545BBD" w14:paraId="6028E816" w14:textId="77777777" w:rsidTr="009C4E6E">
        <w:trPr>
          <w:trHeight w:val="1119"/>
        </w:trPr>
        <w:tc>
          <w:tcPr>
            <w:tcW w:w="5046" w:type="dxa"/>
            <w:vAlign w:val="center"/>
          </w:tcPr>
          <w:p w14:paraId="4DB7023F" w14:textId="05BFB414" w:rsidR="00545BBD" w:rsidRPr="009C4E6E" w:rsidRDefault="009C4E6E" w:rsidP="00750138">
            <w:pPr>
              <w:rPr>
                <w:rtl/>
              </w:rPr>
            </w:pPr>
            <w:r>
              <w:rPr>
                <w:rFonts w:hint="cs"/>
                <w:rtl/>
              </w:rPr>
              <w:t>יש להוסיף למתכונת הדיווח המפורטת בנספח ג' גם את ערוצי האיסוף בהם נעשה שימוש ע"י יצרנים ויבואנים.</w:t>
            </w:r>
          </w:p>
        </w:tc>
        <w:tc>
          <w:tcPr>
            <w:tcW w:w="4528" w:type="dxa"/>
            <w:vAlign w:val="center"/>
          </w:tcPr>
          <w:p w14:paraId="00DE0315" w14:textId="072B5FB2" w:rsidR="00545BBD" w:rsidRPr="00D57021" w:rsidRDefault="00D57021" w:rsidP="00750138">
            <w:pPr>
              <w:rPr>
                <w:rtl/>
              </w:rPr>
            </w:pPr>
            <w:r>
              <w:rPr>
                <w:rFonts w:hint="cs"/>
                <w:rtl/>
              </w:rPr>
              <w:t>כנדרש בסעיף 10 לחוק, הדיווח כולל פילוח בין מספר המכלים הריקים שנאספו למספר ה</w:t>
            </w:r>
            <w:r w:rsidR="00750138">
              <w:rPr>
                <w:rFonts w:hint="cs"/>
                <w:rtl/>
              </w:rPr>
              <w:t>מכל</w:t>
            </w:r>
            <w:r>
              <w:rPr>
                <w:rFonts w:hint="cs"/>
                <w:rtl/>
              </w:rPr>
              <w:t xml:space="preserve">ים הריקים שהושב בגינם פיקדון. </w:t>
            </w:r>
          </w:p>
        </w:tc>
      </w:tr>
      <w:tr w:rsidR="00545BBD" w14:paraId="7DA24AA4" w14:textId="77777777" w:rsidTr="007C58FF">
        <w:trPr>
          <w:trHeight w:val="1829"/>
        </w:trPr>
        <w:tc>
          <w:tcPr>
            <w:tcW w:w="5046" w:type="dxa"/>
            <w:vAlign w:val="center"/>
          </w:tcPr>
          <w:p w14:paraId="3809359A" w14:textId="77777777" w:rsidR="007C58FF" w:rsidRDefault="007C58FF" w:rsidP="00750138">
            <w:r>
              <w:rPr>
                <w:rFonts w:hint="cs"/>
                <w:rtl/>
              </w:rPr>
              <w:t xml:space="preserve">תדירות הפינוי הנדרש </w:t>
            </w:r>
            <w:r>
              <w:rPr>
                <w:rtl/>
              </w:rPr>
              <w:t>–</w:t>
            </w:r>
            <w:r>
              <w:rPr>
                <w:rFonts w:hint="cs"/>
                <w:rtl/>
              </w:rPr>
              <w:t xml:space="preserve"> על המשרד לפרסם הנחיות בדבר תדירות האיסוף.</w:t>
            </w:r>
          </w:p>
          <w:p w14:paraId="1C5C7B52" w14:textId="77268B1A" w:rsidR="00545BBD" w:rsidRDefault="007C58FF" w:rsidP="00750138">
            <w:pPr>
              <w:rPr>
                <w:rtl/>
              </w:rPr>
            </w:pPr>
            <w:r>
              <w:rPr>
                <w:rFonts w:hint="cs"/>
                <w:rtl/>
              </w:rPr>
              <w:t xml:space="preserve">כמו כן </w:t>
            </w:r>
            <w:r>
              <w:rPr>
                <w:rtl/>
              </w:rPr>
              <w:t>–</w:t>
            </w:r>
            <w:r>
              <w:rPr>
                <w:rFonts w:hint="cs"/>
                <w:rtl/>
              </w:rPr>
              <w:t xml:space="preserve"> איסוף שיבוצע בידי אספן מקצועי אשר יוכיח כי ביצע את האיסוף מבתי עסק </w:t>
            </w:r>
            <w:r>
              <w:rPr>
                <w:rtl/>
              </w:rPr>
              <w:t>–</w:t>
            </w:r>
            <w:r>
              <w:rPr>
                <w:rFonts w:hint="cs"/>
                <w:rtl/>
              </w:rPr>
              <w:t xml:space="preserve"> ייחשב כאיסוף מבתי עסק ועל היצרן / היבואן יש חובה לפנותו בהתאם לתדירות שתיקבע.</w:t>
            </w:r>
          </w:p>
        </w:tc>
        <w:tc>
          <w:tcPr>
            <w:tcW w:w="4528" w:type="dxa"/>
            <w:vAlign w:val="center"/>
          </w:tcPr>
          <w:p w14:paraId="02A4F7C4" w14:textId="77777777" w:rsidR="007C58FF" w:rsidRPr="00C20092" w:rsidRDefault="007C58FF" w:rsidP="00750138">
            <w:pPr>
              <w:rPr>
                <w:rtl/>
              </w:rPr>
            </w:pPr>
            <w:r>
              <w:rPr>
                <w:rFonts w:hint="cs"/>
                <w:rtl/>
              </w:rPr>
              <w:t>תדירות האיסוף אינה רלוונטית למתכונת הדיווח לפי סעיף 10 לחוק. לעניין תדירות האיסוף, בימים אלה המשרד פועל לגיבוש הוראות.</w:t>
            </w:r>
          </w:p>
          <w:p w14:paraId="22F3CA3D" w14:textId="77777777" w:rsidR="00545BBD" w:rsidRDefault="00545BBD" w:rsidP="00750138">
            <w:pPr>
              <w:rPr>
                <w:rtl/>
              </w:rPr>
            </w:pPr>
          </w:p>
        </w:tc>
      </w:tr>
    </w:tbl>
    <w:p w14:paraId="16733930" w14:textId="2FD06C1A" w:rsidR="00B43CFB" w:rsidRDefault="00B43CFB">
      <w:pPr>
        <w:rPr>
          <w:rtl/>
        </w:rPr>
      </w:pPr>
    </w:p>
    <w:p w14:paraId="69CFE1BB" w14:textId="77777777" w:rsidR="00101C4F" w:rsidRDefault="00101C4F" w:rsidP="00726E1B">
      <w:pPr>
        <w:jc w:val="both"/>
      </w:pPr>
    </w:p>
    <w:sectPr w:rsidR="00101C4F" w:rsidSect="00750138">
      <w:headerReference w:type="default" r:id="rId11"/>
      <w:pgSz w:w="11906" w:h="16838"/>
      <w:pgMar w:top="1440" w:right="1800" w:bottom="1440" w:left="1800" w:header="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CD49" w14:textId="77777777" w:rsidR="00D25158" w:rsidRDefault="00D25158" w:rsidP="00730B02">
      <w:r>
        <w:separator/>
      </w:r>
    </w:p>
  </w:endnote>
  <w:endnote w:type="continuationSeparator" w:id="0">
    <w:p w14:paraId="353BC58D" w14:textId="77777777" w:rsidR="00D25158" w:rsidRDefault="00D25158" w:rsidP="00730B02">
      <w:r>
        <w:continuationSeparator/>
      </w:r>
    </w:p>
  </w:endnote>
  <w:endnote w:type="continuationNotice" w:id="1">
    <w:p w14:paraId="668CD010" w14:textId="77777777" w:rsidR="00D25158" w:rsidRDefault="00D2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0497" w14:textId="77777777" w:rsidR="00D25158" w:rsidRDefault="00D25158" w:rsidP="00730B02">
      <w:r>
        <w:separator/>
      </w:r>
    </w:p>
  </w:footnote>
  <w:footnote w:type="continuationSeparator" w:id="0">
    <w:p w14:paraId="2B52846E" w14:textId="77777777" w:rsidR="00D25158" w:rsidRDefault="00D25158" w:rsidP="00730B02">
      <w:r>
        <w:continuationSeparator/>
      </w:r>
    </w:p>
  </w:footnote>
  <w:footnote w:type="continuationNotice" w:id="1">
    <w:p w14:paraId="39647E05" w14:textId="77777777" w:rsidR="00D25158" w:rsidRDefault="00D25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AF43" w14:textId="77777777" w:rsidR="00750138" w:rsidRDefault="00750138" w:rsidP="00750138">
    <w:pPr>
      <w:ind w:left="-1759"/>
    </w:pPr>
    <w:r>
      <w:rPr>
        <w:noProof/>
      </w:rPr>
      <w:drawing>
        <wp:inline distT="114300" distB="114300" distL="114300" distR="114300" wp14:anchorId="28ED5B9C" wp14:editId="34E037FB">
          <wp:extent cx="7772400" cy="1854200"/>
          <wp:effectExtent l="0" t="0" r="0" b="0"/>
          <wp:docPr id="8" name="image2.jpg" descr="סמל מדינת ישראל, המשרד להגנת הסביבה, אגף אחריות יצרן"/>
          <wp:cNvGraphicFramePr/>
          <a:graphic xmlns:a="http://schemas.openxmlformats.org/drawingml/2006/main">
            <a:graphicData uri="http://schemas.openxmlformats.org/drawingml/2006/picture">
              <pic:pic xmlns:pic="http://schemas.openxmlformats.org/drawingml/2006/picture">
                <pic:nvPicPr>
                  <pic:cNvPr id="2" name="image2.jpg" descr="סמל מדינת ישראל, המשרד להגנת הסביבה, אגף אחריות יצרן"/>
                  <pic:cNvPicPr preferRelativeResize="0"/>
                </pic:nvPicPr>
                <pic:blipFill>
                  <a:blip r:embed="rId1"/>
                  <a:srcRect l="1997" r="1997"/>
                  <a:stretch>
                    <a:fillRect/>
                  </a:stretch>
                </pic:blipFill>
                <pic:spPr>
                  <a:xfrm>
                    <a:off x="0" y="0"/>
                    <a:ext cx="7772400" cy="1854200"/>
                  </a:xfrm>
                  <a:prstGeom prst="rect">
                    <a:avLst/>
                  </a:prstGeom>
                  <a:ln/>
                </pic:spPr>
              </pic:pic>
            </a:graphicData>
          </a:graphic>
        </wp:inline>
      </w:drawing>
    </w:r>
  </w:p>
  <w:p w14:paraId="557920DC" w14:textId="024BBA96" w:rsidR="00730B02" w:rsidRDefault="00730B02" w:rsidP="00730B02">
    <w:pP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A9F"/>
    <w:multiLevelType w:val="hybridMultilevel"/>
    <w:tmpl w:val="6A663044"/>
    <w:lvl w:ilvl="0" w:tplc="0409000F">
      <w:start w:val="1"/>
      <w:numFmt w:val="decimal"/>
      <w:lvlText w:val="%1."/>
      <w:lvlJc w:val="left"/>
      <w:pPr>
        <w:ind w:left="-106" w:hanging="360"/>
      </w:pPr>
      <w:rPr>
        <w:rFonts w:hint="default"/>
      </w:rPr>
    </w:lvl>
    <w:lvl w:ilvl="1" w:tplc="04090019" w:tentative="1">
      <w:start w:val="1"/>
      <w:numFmt w:val="lowerLetter"/>
      <w:lvlText w:val="%2."/>
      <w:lvlJc w:val="left"/>
      <w:pPr>
        <w:ind w:left="614" w:hanging="360"/>
      </w:pPr>
    </w:lvl>
    <w:lvl w:ilvl="2" w:tplc="0409001B" w:tentative="1">
      <w:start w:val="1"/>
      <w:numFmt w:val="lowerRoman"/>
      <w:lvlText w:val="%3."/>
      <w:lvlJc w:val="right"/>
      <w:pPr>
        <w:ind w:left="1334" w:hanging="180"/>
      </w:pPr>
    </w:lvl>
    <w:lvl w:ilvl="3" w:tplc="0409000F" w:tentative="1">
      <w:start w:val="1"/>
      <w:numFmt w:val="decimal"/>
      <w:lvlText w:val="%4."/>
      <w:lvlJc w:val="left"/>
      <w:pPr>
        <w:ind w:left="2054" w:hanging="360"/>
      </w:pPr>
    </w:lvl>
    <w:lvl w:ilvl="4" w:tplc="04090019" w:tentative="1">
      <w:start w:val="1"/>
      <w:numFmt w:val="lowerLetter"/>
      <w:lvlText w:val="%5."/>
      <w:lvlJc w:val="left"/>
      <w:pPr>
        <w:ind w:left="2774" w:hanging="360"/>
      </w:pPr>
    </w:lvl>
    <w:lvl w:ilvl="5" w:tplc="0409001B" w:tentative="1">
      <w:start w:val="1"/>
      <w:numFmt w:val="lowerRoman"/>
      <w:lvlText w:val="%6."/>
      <w:lvlJc w:val="right"/>
      <w:pPr>
        <w:ind w:left="3494" w:hanging="180"/>
      </w:pPr>
    </w:lvl>
    <w:lvl w:ilvl="6" w:tplc="0409000F" w:tentative="1">
      <w:start w:val="1"/>
      <w:numFmt w:val="decimal"/>
      <w:lvlText w:val="%7."/>
      <w:lvlJc w:val="left"/>
      <w:pPr>
        <w:ind w:left="4214" w:hanging="360"/>
      </w:pPr>
    </w:lvl>
    <w:lvl w:ilvl="7" w:tplc="04090019" w:tentative="1">
      <w:start w:val="1"/>
      <w:numFmt w:val="lowerLetter"/>
      <w:lvlText w:val="%8."/>
      <w:lvlJc w:val="left"/>
      <w:pPr>
        <w:ind w:left="4934" w:hanging="360"/>
      </w:pPr>
    </w:lvl>
    <w:lvl w:ilvl="8" w:tplc="0409001B" w:tentative="1">
      <w:start w:val="1"/>
      <w:numFmt w:val="lowerRoman"/>
      <w:lvlText w:val="%9."/>
      <w:lvlJc w:val="right"/>
      <w:pPr>
        <w:ind w:left="5654" w:hanging="180"/>
      </w:pPr>
    </w:lvl>
  </w:abstractNum>
  <w:abstractNum w:abstractNumId="1" w15:restartNumberingAfterBreak="0">
    <w:nsid w:val="1D1E34F2"/>
    <w:multiLevelType w:val="hybridMultilevel"/>
    <w:tmpl w:val="5CD4B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BD06EF"/>
    <w:multiLevelType w:val="hybridMultilevel"/>
    <w:tmpl w:val="C076E3E6"/>
    <w:lvl w:ilvl="0" w:tplc="A9AE02F0">
      <w:start w:val="1"/>
      <w:numFmt w:val="hebrew1"/>
      <w:lvlText w:val="%1."/>
      <w:lvlJc w:val="left"/>
      <w:pPr>
        <w:ind w:left="472" w:hanging="360"/>
      </w:pPr>
      <w:rPr>
        <w:rFonts w:ascii="Arial" w:eastAsia="Times New Roman" w:hAnsi="Arial" w:cs="David"/>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26F70B28"/>
    <w:multiLevelType w:val="hybridMultilevel"/>
    <w:tmpl w:val="D78492CC"/>
    <w:lvl w:ilvl="0" w:tplc="0798D348">
      <w:start w:val="1"/>
      <w:numFmt w:val="hebrew1"/>
      <w:lvlText w:val="%1."/>
      <w:lvlJc w:val="left"/>
      <w:pPr>
        <w:ind w:left="1440" w:hanging="360"/>
      </w:pPr>
      <w:rPr>
        <w:rFonts w:ascii="Arial" w:eastAsia="Times New Roman" w:hAnsi="Arial" w:cs="Dav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A50A16"/>
    <w:multiLevelType w:val="hybridMultilevel"/>
    <w:tmpl w:val="3A8EAAC2"/>
    <w:lvl w:ilvl="0" w:tplc="3A566FD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B37E8"/>
    <w:multiLevelType w:val="hybridMultilevel"/>
    <w:tmpl w:val="2C2A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F3F47"/>
    <w:multiLevelType w:val="hybridMultilevel"/>
    <w:tmpl w:val="DA16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36D7D"/>
    <w:multiLevelType w:val="hybridMultilevel"/>
    <w:tmpl w:val="00D4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0116C"/>
    <w:multiLevelType w:val="hybridMultilevel"/>
    <w:tmpl w:val="1A0A4EC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CEF5B58"/>
    <w:multiLevelType w:val="hybridMultilevel"/>
    <w:tmpl w:val="5CD4B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060D17"/>
    <w:multiLevelType w:val="hybridMultilevel"/>
    <w:tmpl w:val="5CD4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F4C07"/>
    <w:multiLevelType w:val="hybridMultilevel"/>
    <w:tmpl w:val="5D6A1364"/>
    <w:lvl w:ilvl="0" w:tplc="34DAE8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74D0F"/>
    <w:multiLevelType w:val="hybridMultilevel"/>
    <w:tmpl w:val="50FA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A553F"/>
    <w:multiLevelType w:val="hybridMultilevel"/>
    <w:tmpl w:val="B7A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452FDA"/>
    <w:multiLevelType w:val="hybridMultilevel"/>
    <w:tmpl w:val="F9B6470A"/>
    <w:lvl w:ilvl="0" w:tplc="212AA25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E464D"/>
    <w:multiLevelType w:val="hybridMultilevel"/>
    <w:tmpl w:val="5A16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456C4"/>
    <w:multiLevelType w:val="hybridMultilevel"/>
    <w:tmpl w:val="41941666"/>
    <w:lvl w:ilvl="0" w:tplc="87902BB6">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23A16"/>
    <w:multiLevelType w:val="hybridMultilevel"/>
    <w:tmpl w:val="5D724EEA"/>
    <w:lvl w:ilvl="0" w:tplc="A6442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3"/>
  </w:num>
  <w:num w:numId="4">
    <w:abstractNumId w:val="15"/>
  </w:num>
  <w:num w:numId="5">
    <w:abstractNumId w:val="7"/>
  </w:num>
  <w:num w:numId="6">
    <w:abstractNumId w:val="10"/>
  </w:num>
  <w:num w:numId="7">
    <w:abstractNumId w:val="17"/>
  </w:num>
  <w:num w:numId="8">
    <w:abstractNumId w:val="11"/>
  </w:num>
  <w:num w:numId="9">
    <w:abstractNumId w:val="6"/>
  </w:num>
  <w:num w:numId="10">
    <w:abstractNumId w:val="3"/>
  </w:num>
  <w:num w:numId="11">
    <w:abstractNumId w:val="2"/>
  </w:num>
  <w:num w:numId="12">
    <w:abstractNumId w:val="5"/>
  </w:num>
  <w:num w:numId="13">
    <w:abstractNumId w:val="4"/>
  </w:num>
  <w:num w:numId="14">
    <w:abstractNumId w:val="8"/>
  </w:num>
  <w:num w:numId="15">
    <w:abstractNumId w:val="1"/>
  </w:num>
  <w:num w:numId="16">
    <w:abstractNumId w:val="9"/>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02"/>
    <w:rsid w:val="00001393"/>
    <w:rsid w:val="00002DC5"/>
    <w:rsid w:val="00003E90"/>
    <w:rsid w:val="00020C2B"/>
    <w:rsid w:val="00022A9B"/>
    <w:rsid w:val="00031FE2"/>
    <w:rsid w:val="000340FB"/>
    <w:rsid w:val="00035A19"/>
    <w:rsid w:val="00036B99"/>
    <w:rsid w:val="00041708"/>
    <w:rsid w:val="000614BB"/>
    <w:rsid w:val="00076858"/>
    <w:rsid w:val="0008104A"/>
    <w:rsid w:val="00084852"/>
    <w:rsid w:val="000A68FB"/>
    <w:rsid w:val="000C020A"/>
    <w:rsid w:val="000C475A"/>
    <w:rsid w:val="000C7FD0"/>
    <w:rsid w:val="000D38E1"/>
    <w:rsid w:val="000E3207"/>
    <w:rsid w:val="000F299D"/>
    <w:rsid w:val="000F44EE"/>
    <w:rsid w:val="000F53FB"/>
    <w:rsid w:val="001009F7"/>
    <w:rsid w:val="00101C4F"/>
    <w:rsid w:val="00104AEB"/>
    <w:rsid w:val="00110E71"/>
    <w:rsid w:val="00145F26"/>
    <w:rsid w:val="001606A5"/>
    <w:rsid w:val="00183CFE"/>
    <w:rsid w:val="00193959"/>
    <w:rsid w:val="00194DC8"/>
    <w:rsid w:val="001A3994"/>
    <w:rsid w:val="001A5C42"/>
    <w:rsid w:val="001B4CE1"/>
    <w:rsid w:val="001C289E"/>
    <w:rsid w:val="001C2EEB"/>
    <w:rsid w:val="001E6113"/>
    <w:rsid w:val="001F32B6"/>
    <w:rsid w:val="002077C1"/>
    <w:rsid w:val="00214980"/>
    <w:rsid w:val="002325A5"/>
    <w:rsid w:val="00241C61"/>
    <w:rsid w:val="00243081"/>
    <w:rsid w:val="00253A77"/>
    <w:rsid w:val="00257E34"/>
    <w:rsid w:val="0026263B"/>
    <w:rsid w:val="002647B1"/>
    <w:rsid w:val="002915D7"/>
    <w:rsid w:val="002B129D"/>
    <w:rsid w:val="002B41DE"/>
    <w:rsid w:val="002B6B21"/>
    <w:rsid w:val="002C1C82"/>
    <w:rsid w:val="002C2A29"/>
    <w:rsid w:val="002D2203"/>
    <w:rsid w:val="002E1878"/>
    <w:rsid w:val="002E2D7A"/>
    <w:rsid w:val="002E3C7D"/>
    <w:rsid w:val="002E78B7"/>
    <w:rsid w:val="002F468A"/>
    <w:rsid w:val="002F535F"/>
    <w:rsid w:val="002F625F"/>
    <w:rsid w:val="00314AD7"/>
    <w:rsid w:val="00323E4C"/>
    <w:rsid w:val="00325903"/>
    <w:rsid w:val="003419D6"/>
    <w:rsid w:val="00345DFD"/>
    <w:rsid w:val="00364556"/>
    <w:rsid w:val="00374D9E"/>
    <w:rsid w:val="003917C7"/>
    <w:rsid w:val="003B1840"/>
    <w:rsid w:val="003B7029"/>
    <w:rsid w:val="003C54A1"/>
    <w:rsid w:val="003C7A52"/>
    <w:rsid w:val="00413578"/>
    <w:rsid w:val="00421733"/>
    <w:rsid w:val="004232BA"/>
    <w:rsid w:val="00440DDE"/>
    <w:rsid w:val="00442024"/>
    <w:rsid w:val="00444AD5"/>
    <w:rsid w:val="004563C2"/>
    <w:rsid w:val="00463620"/>
    <w:rsid w:val="00470901"/>
    <w:rsid w:val="004827FC"/>
    <w:rsid w:val="0049304B"/>
    <w:rsid w:val="004963AD"/>
    <w:rsid w:val="004A3E33"/>
    <w:rsid w:val="004B473B"/>
    <w:rsid w:val="004C7D66"/>
    <w:rsid w:val="004D6CD7"/>
    <w:rsid w:val="004E193C"/>
    <w:rsid w:val="004E23D7"/>
    <w:rsid w:val="004F285F"/>
    <w:rsid w:val="004F420A"/>
    <w:rsid w:val="005035A0"/>
    <w:rsid w:val="00530EF2"/>
    <w:rsid w:val="00535D7C"/>
    <w:rsid w:val="00545266"/>
    <w:rsid w:val="00545514"/>
    <w:rsid w:val="00545BBD"/>
    <w:rsid w:val="005643D9"/>
    <w:rsid w:val="00581441"/>
    <w:rsid w:val="00586758"/>
    <w:rsid w:val="00594847"/>
    <w:rsid w:val="005A29FB"/>
    <w:rsid w:val="005A2C12"/>
    <w:rsid w:val="005B13DA"/>
    <w:rsid w:val="005C3376"/>
    <w:rsid w:val="005C3ED8"/>
    <w:rsid w:val="005D4D3F"/>
    <w:rsid w:val="005E247F"/>
    <w:rsid w:val="005F6105"/>
    <w:rsid w:val="006019B4"/>
    <w:rsid w:val="006027B9"/>
    <w:rsid w:val="006031A8"/>
    <w:rsid w:val="00610EB2"/>
    <w:rsid w:val="00623994"/>
    <w:rsid w:val="00632D10"/>
    <w:rsid w:val="00645E36"/>
    <w:rsid w:val="00670D3E"/>
    <w:rsid w:val="006755CD"/>
    <w:rsid w:val="00682299"/>
    <w:rsid w:val="00687614"/>
    <w:rsid w:val="00694245"/>
    <w:rsid w:val="006A1D33"/>
    <w:rsid w:val="006B525B"/>
    <w:rsid w:val="006B6080"/>
    <w:rsid w:val="006D2AE3"/>
    <w:rsid w:val="006D419E"/>
    <w:rsid w:val="006E068A"/>
    <w:rsid w:val="006E12F3"/>
    <w:rsid w:val="006F00D0"/>
    <w:rsid w:val="006F2420"/>
    <w:rsid w:val="006F398C"/>
    <w:rsid w:val="00723CA7"/>
    <w:rsid w:val="00724AF7"/>
    <w:rsid w:val="0072590D"/>
    <w:rsid w:val="00726E1B"/>
    <w:rsid w:val="00730B02"/>
    <w:rsid w:val="0074487E"/>
    <w:rsid w:val="00750138"/>
    <w:rsid w:val="007572D6"/>
    <w:rsid w:val="00775542"/>
    <w:rsid w:val="007779D6"/>
    <w:rsid w:val="0078483A"/>
    <w:rsid w:val="0079249F"/>
    <w:rsid w:val="007C1762"/>
    <w:rsid w:val="007C58FF"/>
    <w:rsid w:val="0081772F"/>
    <w:rsid w:val="00857D8C"/>
    <w:rsid w:val="0086464E"/>
    <w:rsid w:val="008750FC"/>
    <w:rsid w:val="00884AA7"/>
    <w:rsid w:val="00891CDC"/>
    <w:rsid w:val="008B1035"/>
    <w:rsid w:val="008B40C8"/>
    <w:rsid w:val="008C2495"/>
    <w:rsid w:val="008D29A3"/>
    <w:rsid w:val="008E62CE"/>
    <w:rsid w:val="00915986"/>
    <w:rsid w:val="00916366"/>
    <w:rsid w:val="009341A3"/>
    <w:rsid w:val="00950E81"/>
    <w:rsid w:val="0095128B"/>
    <w:rsid w:val="0095502F"/>
    <w:rsid w:val="009606F3"/>
    <w:rsid w:val="00964C14"/>
    <w:rsid w:val="00976E85"/>
    <w:rsid w:val="00981667"/>
    <w:rsid w:val="009B56CA"/>
    <w:rsid w:val="009B5FE6"/>
    <w:rsid w:val="009C4E6E"/>
    <w:rsid w:val="009C6574"/>
    <w:rsid w:val="009D36B7"/>
    <w:rsid w:val="009F17EB"/>
    <w:rsid w:val="009F310D"/>
    <w:rsid w:val="00A01A00"/>
    <w:rsid w:val="00A05A1A"/>
    <w:rsid w:val="00A312A9"/>
    <w:rsid w:val="00A4313A"/>
    <w:rsid w:val="00A45574"/>
    <w:rsid w:val="00A45B5E"/>
    <w:rsid w:val="00A5320F"/>
    <w:rsid w:val="00A55AA9"/>
    <w:rsid w:val="00A63909"/>
    <w:rsid w:val="00A80928"/>
    <w:rsid w:val="00A8470C"/>
    <w:rsid w:val="00A9477A"/>
    <w:rsid w:val="00AA0882"/>
    <w:rsid w:val="00AB37D7"/>
    <w:rsid w:val="00AD5EF8"/>
    <w:rsid w:val="00AE254B"/>
    <w:rsid w:val="00AE4D78"/>
    <w:rsid w:val="00AF20C4"/>
    <w:rsid w:val="00B06562"/>
    <w:rsid w:val="00B22526"/>
    <w:rsid w:val="00B274C3"/>
    <w:rsid w:val="00B40199"/>
    <w:rsid w:val="00B43CFB"/>
    <w:rsid w:val="00B74314"/>
    <w:rsid w:val="00B92978"/>
    <w:rsid w:val="00B952A9"/>
    <w:rsid w:val="00B97081"/>
    <w:rsid w:val="00BA443B"/>
    <w:rsid w:val="00BA7C8B"/>
    <w:rsid w:val="00BD508B"/>
    <w:rsid w:val="00BD5444"/>
    <w:rsid w:val="00BD6B95"/>
    <w:rsid w:val="00BF27E1"/>
    <w:rsid w:val="00C03B77"/>
    <w:rsid w:val="00C06CB2"/>
    <w:rsid w:val="00C16E4B"/>
    <w:rsid w:val="00C20092"/>
    <w:rsid w:val="00C23DA1"/>
    <w:rsid w:val="00C26EC6"/>
    <w:rsid w:val="00C378EB"/>
    <w:rsid w:val="00C41E14"/>
    <w:rsid w:val="00C57C4C"/>
    <w:rsid w:val="00C82B5D"/>
    <w:rsid w:val="00CB0C6E"/>
    <w:rsid w:val="00CE2491"/>
    <w:rsid w:val="00CF74E0"/>
    <w:rsid w:val="00D17C71"/>
    <w:rsid w:val="00D25158"/>
    <w:rsid w:val="00D339B6"/>
    <w:rsid w:val="00D41E31"/>
    <w:rsid w:val="00D5448E"/>
    <w:rsid w:val="00D57021"/>
    <w:rsid w:val="00D67ADF"/>
    <w:rsid w:val="00D909B7"/>
    <w:rsid w:val="00DA0208"/>
    <w:rsid w:val="00DA17A2"/>
    <w:rsid w:val="00DB041B"/>
    <w:rsid w:val="00DB56E4"/>
    <w:rsid w:val="00DF1DFF"/>
    <w:rsid w:val="00DF3FA0"/>
    <w:rsid w:val="00E05CE2"/>
    <w:rsid w:val="00E31BBE"/>
    <w:rsid w:val="00E34F9C"/>
    <w:rsid w:val="00E438ED"/>
    <w:rsid w:val="00E44ECB"/>
    <w:rsid w:val="00E463B0"/>
    <w:rsid w:val="00E51052"/>
    <w:rsid w:val="00E5548B"/>
    <w:rsid w:val="00E756B6"/>
    <w:rsid w:val="00E76961"/>
    <w:rsid w:val="00E81CCE"/>
    <w:rsid w:val="00EA220A"/>
    <w:rsid w:val="00EA3AAD"/>
    <w:rsid w:val="00EA477D"/>
    <w:rsid w:val="00EA76C8"/>
    <w:rsid w:val="00EC3516"/>
    <w:rsid w:val="00EC3652"/>
    <w:rsid w:val="00EC6839"/>
    <w:rsid w:val="00EE716F"/>
    <w:rsid w:val="00EF16D0"/>
    <w:rsid w:val="00EF545D"/>
    <w:rsid w:val="00F01A31"/>
    <w:rsid w:val="00F26751"/>
    <w:rsid w:val="00F26A4E"/>
    <w:rsid w:val="00F54B2A"/>
    <w:rsid w:val="00F61817"/>
    <w:rsid w:val="00F61DFB"/>
    <w:rsid w:val="00F657F3"/>
    <w:rsid w:val="00F66377"/>
    <w:rsid w:val="00FA3D7B"/>
    <w:rsid w:val="00FA49FB"/>
    <w:rsid w:val="00FB34A8"/>
    <w:rsid w:val="00FB516C"/>
    <w:rsid w:val="00FB7728"/>
    <w:rsid w:val="00FC1F79"/>
    <w:rsid w:val="00FC43EE"/>
    <w:rsid w:val="00FD504D"/>
    <w:rsid w:val="00FE0F63"/>
    <w:rsid w:val="00FF3A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76CC"/>
  <w15:docId w15:val="{A962A9C2-A15D-457A-B167-F5D048C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DC8"/>
    <w:pPr>
      <w:bidi/>
      <w:spacing w:after="0" w:line="240" w:lineRule="auto"/>
    </w:pPr>
    <w:rPr>
      <w:rFonts w:ascii="Arial" w:eastAsia="Times New Roman" w:hAnsi="Arial" w:cs="David"/>
      <w:sz w:val="24"/>
      <w:szCs w:val="24"/>
    </w:rPr>
  </w:style>
  <w:style w:type="paragraph" w:styleId="Heading1">
    <w:name w:val="heading 1"/>
    <w:basedOn w:val="Normal"/>
    <w:next w:val="Normal"/>
    <w:link w:val="Heading1Char"/>
    <w:uiPriority w:val="9"/>
    <w:qFormat/>
    <w:rsid w:val="0075013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B02"/>
    <w:pPr>
      <w:tabs>
        <w:tab w:val="center" w:pos="4153"/>
        <w:tab w:val="right" w:pos="8306"/>
      </w:tabs>
    </w:pPr>
  </w:style>
  <w:style w:type="character" w:customStyle="1" w:styleId="HeaderChar">
    <w:name w:val="Header Char"/>
    <w:basedOn w:val="DefaultParagraphFont"/>
    <w:link w:val="Header"/>
    <w:uiPriority w:val="99"/>
    <w:rsid w:val="00730B02"/>
  </w:style>
  <w:style w:type="paragraph" w:styleId="Footer">
    <w:name w:val="footer"/>
    <w:basedOn w:val="Normal"/>
    <w:link w:val="FooterChar"/>
    <w:unhideWhenUsed/>
    <w:rsid w:val="00730B02"/>
    <w:pPr>
      <w:tabs>
        <w:tab w:val="center" w:pos="4153"/>
        <w:tab w:val="right" w:pos="8306"/>
      </w:tabs>
    </w:pPr>
  </w:style>
  <w:style w:type="character" w:customStyle="1" w:styleId="FooterChar">
    <w:name w:val="Footer Char"/>
    <w:basedOn w:val="DefaultParagraphFont"/>
    <w:link w:val="Footer"/>
    <w:uiPriority w:val="99"/>
    <w:rsid w:val="00730B02"/>
  </w:style>
  <w:style w:type="character" w:styleId="Hyperlink">
    <w:name w:val="Hyperlink"/>
    <w:uiPriority w:val="99"/>
    <w:rsid w:val="00730B02"/>
    <w:rPr>
      <w:color w:val="0000FF"/>
      <w:u w:val="single"/>
    </w:rPr>
  </w:style>
  <w:style w:type="table" w:styleId="TableGrid">
    <w:name w:val="Table Grid"/>
    <w:basedOn w:val="TableNormal"/>
    <w:uiPriority w:val="39"/>
    <w:rsid w:val="0010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47F"/>
    <w:pPr>
      <w:ind w:left="720"/>
      <w:contextualSpacing/>
    </w:pPr>
  </w:style>
  <w:style w:type="character" w:styleId="CommentReference">
    <w:name w:val="annotation reference"/>
    <w:basedOn w:val="DefaultParagraphFont"/>
    <w:uiPriority w:val="99"/>
    <w:semiHidden/>
    <w:unhideWhenUsed/>
    <w:rsid w:val="00E438ED"/>
    <w:rPr>
      <w:sz w:val="16"/>
      <w:szCs w:val="16"/>
    </w:rPr>
  </w:style>
  <w:style w:type="paragraph" w:styleId="CommentText">
    <w:name w:val="annotation text"/>
    <w:basedOn w:val="Normal"/>
    <w:link w:val="CommentTextChar"/>
    <w:uiPriority w:val="99"/>
    <w:semiHidden/>
    <w:unhideWhenUsed/>
    <w:rsid w:val="00E438ED"/>
    <w:rPr>
      <w:sz w:val="20"/>
      <w:szCs w:val="20"/>
    </w:rPr>
  </w:style>
  <w:style w:type="character" w:customStyle="1" w:styleId="CommentTextChar">
    <w:name w:val="Comment Text Char"/>
    <w:basedOn w:val="DefaultParagraphFont"/>
    <w:link w:val="CommentText"/>
    <w:uiPriority w:val="99"/>
    <w:semiHidden/>
    <w:rsid w:val="00E438ED"/>
    <w:rPr>
      <w:rFonts w:ascii="Arial" w:eastAsia="Times New Roman" w:hAnsi="Arial" w:cs="David"/>
      <w:sz w:val="20"/>
      <w:szCs w:val="20"/>
    </w:rPr>
  </w:style>
  <w:style w:type="paragraph" w:styleId="CommentSubject">
    <w:name w:val="annotation subject"/>
    <w:basedOn w:val="CommentText"/>
    <w:next w:val="CommentText"/>
    <w:link w:val="CommentSubjectChar"/>
    <w:uiPriority w:val="99"/>
    <w:semiHidden/>
    <w:unhideWhenUsed/>
    <w:rsid w:val="00E438ED"/>
    <w:rPr>
      <w:b/>
      <w:bCs/>
    </w:rPr>
  </w:style>
  <w:style w:type="character" w:customStyle="1" w:styleId="CommentSubjectChar">
    <w:name w:val="Comment Subject Char"/>
    <w:basedOn w:val="CommentTextChar"/>
    <w:link w:val="CommentSubject"/>
    <w:uiPriority w:val="99"/>
    <w:semiHidden/>
    <w:rsid w:val="00E438ED"/>
    <w:rPr>
      <w:rFonts w:ascii="Arial" w:eastAsia="Times New Roman" w:hAnsi="Arial" w:cs="David"/>
      <w:b/>
      <w:bCs/>
      <w:sz w:val="20"/>
      <w:szCs w:val="20"/>
    </w:rPr>
  </w:style>
  <w:style w:type="paragraph" w:styleId="Revision">
    <w:name w:val="Revision"/>
    <w:hidden/>
    <w:uiPriority w:val="99"/>
    <w:semiHidden/>
    <w:rsid w:val="00586758"/>
    <w:pPr>
      <w:spacing w:after="0" w:line="240" w:lineRule="auto"/>
    </w:pPr>
    <w:rPr>
      <w:rFonts w:ascii="Arial" w:eastAsia="Times New Roman" w:hAnsi="Arial" w:cs="David"/>
      <w:sz w:val="24"/>
      <w:szCs w:val="24"/>
    </w:rPr>
  </w:style>
  <w:style w:type="paragraph" w:customStyle="1" w:styleId="big-header">
    <w:name w:val="big-header"/>
    <w:basedOn w:val="Normal"/>
    <w:rsid w:val="0095502F"/>
    <w:pPr>
      <w:bidi w:val="0"/>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7501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2687">
      <w:bodyDiv w:val="1"/>
      <w:marLeft w:val="0"/>
      <w:marRight w:val="0"/>
      <w:marTop w:val="0"/>
      <w:marBottom w:val="0"/>
      <w:divBdr>
        <w:top w:val="none" w:sz="0" w:space="0" w:color="auto"/>
        <w:left w:val="none" w:sz="0" w:space="0" w:color="auto"/>
        <w:bottom w:val="none" w:sz="0" w:space="0" w:color="auto"/>
        <w:right w:val="none" w:sz="0" w:space="0" w:color="auto"/>
      </w:divBdr>
    </w:div>
    <w:div w:id="1946376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vivaDescriptionContentDocument xmlns="http://schemas.microsoft.com/sharepoint/v3" xsi:nil="true"/>
    <addNotesFields xmlns="50354b77-aedb-4aa8-bab0-d07b7ed4c53d" xsi:nil="true"/>
    <TaxCatchAll xmlns="cd176683-f386-4427-8b81-f86b02d16ad3"/>
    <SvivaDocSource xmlns="768d7c6a-c0de-4a09-b8cf-57dd5f94ab56" xsi:nil="true"/>
    <SvivaOfficeUnitsMMetaTaxHTField0 xmlns="50354b77-aedb-4aa8-bab0-d07b7ed4c53d">
      <Terms xmlns="http://schemas.microsoft.com/office/infopath/2007/PartnerControls"/>
    </SvivaOfficeUnitsMMetaTaxHTField0>
    <ForDocIDSufixSearch xmlns="50354b77-aedb-4aa8-bab0-d07b7ed4c53d">130422164654379 30422164654379 0422164654379 422164654379 22164654379 2164654379 164654379 64654379 4654379 654379 54379 4379 </ForDocIDSufixSearch>
    <IdDocSviva xmlns="50354b77-aedb-4aa8-bab0-d07b7ed4c53d" xsi:nil="true"/>
    <From1 xmlns="50354b77-aedb-4aa8-bab0-d07b7ed4c53d" xsi:nil="true"/>
    <InterestsMetaTaxHTField0 xmlns="50354b77-aedb-4aa8-bab0-d07b7ed4c53d">
      <Terms xmlns="http://schemas.microsoft.com/office/infopath/2007/PartnerControls"/>
    </InterestsMetaTaxHTField0>
    <SvivaLabelingFreeMMetaTaxHTField0 xmlns="50354b77-aedb-4aa8-bab0-d07b7ed4c53d">
      <Terms xmlns="http://schemas.microsoft.com/office/infopath/2007/PartnerControls"/>
    </SvivaLabelingFreeMMetaTaxHTField0>
    <DocumentDate xmlns="50354b77-aedb-4aa8-bab0-d07b7ed4c53d">2022-03-30T10:40:56+00:00</DocumentDate>
    <To xmlns="50354b77-aedb-4aa8-bab0-d07b7ed4c53d" xsi:nil="true"/>
    <_dlc_DocId xmlns="cd176683-f386-4427-8b81-f86b02d16ad3">PR_240422163421011</_dlc_DocId>
    <_dlc_DocIdUrl xmlns="cd176683-f386-4427-8b81-f86b02d16ad3">
      <Url>https://portal.sviva.gov.il/community/ManufacturerWarranty/deposit/_layouts/15/DocIdRedir.aspx?ID=PR_240422163421011</Url>
      <Description>PR_240422163421011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A87DC6C21962A0458EB1F70327683589" ma:contentTypeVersion="6437" ma:contentTypeDescription="" ma:contentTypeScope="" ma:versionID="b0ed500bbdd1038d1c5be0f7ae7cbcf0">
  <xsd:schema xmlns:xsd="http://www.w3.org/2001/XMLSchema" xmlns:xs="http://www.w3.org/2001/XMLSchema" xmlns:p="http://schemas.microsoft.com/office/2006/metadata/properties" xmlns:ns1="http://schemas.microsoft.com/sharepoint/v3" xmlns:ns2="50354b77-aedb-4aa8-bab0-d07b7ed4c53d" xmlns:ns3="cd176683-f386-4427-8b81-f86b02d16ad3" xmlns:ns4="768d7c6a-c0de-4a09-b8cf-57dd5f94ab56" xmlns:ns5="db751b44-43b9-4a67-89cd-b64f9cef1198" targetNamespace="http://schemas.microsoft.com/office/2006/metadata/properties" ma:root="true" ma:fieldsID="24ac26b359f21dd70132d4fa33510993" ns1:_="" ns2:_="" ns3:_="" ns4:_="" ns5:_="">
    <xsd:import namespace="http://schemas.microsoft.com/sharepoint/v3"/>
    <xsd:import namespace="50354b77-aedb-4aa8-bab0-d07b7ed4c53d"/>
    <xsd:import namespace="cd176683-f386-4427-8b81-f86b02d16ad3"/>
    <xsd:import namespace="768d7c6a-c0de-4a09-b8cf-57dd5f94ab56"/>
    <xsd:import namespace="db751b44-43b9-4a67-89cd-b64f9cef1198"/>
    <xsd:element name="properties">
      <xsd:complexType>
        <xsd:sequence>
          <xsd:element name="documentManagement">
            <xsd:complexType>
              <xsd:all>
                <xsd:element ref="ns2:IdDocSviva" minOccurs="0"/>
                <xsd:element ref="ns3:_dlc_DocId" minOccurs="0"/>
                <xsd:element ref="ns3:_dlc_DocIdUrl" minOccurs="0"/>
                <xsd:element ref="ns3:_dlc_DocIdPersistId" minOccurs="0"/>
                <xsd:element ref="ns2:InterestsMetaTaxHTField0" minOccurs="0"/>
                <xsd:element ref="ns3:TaxCatchAll" minOccurs="0"/>
                <xsd:element ref="ns3:TaxCatchAllLabel" minOccurs="0"/>
                <xsd:element ref="ns4:SvivaDocSource" minOccurs="0"/>
                <xsd:element ref="ns2:DocumentDate" minOccurs="0"/>
                <xsd:element ref="ns2:From1" minOccurs="0"/>
                <xsd:element ref="ns2:To" minOccurs="0"/>
                <xsd:element ref="ns2:SvivaOfficeUnitsMMetaTaxHTField0" minOccurs="0"/>
                <xsd:element ref="ns2:SvivaLabelingFreeMMetaTaxHTField0" minOccurs="0"/>
                <xsd:element ref="ns1:SvivaDescriptionContentDocument" minOccurs="0"/>
                <xsd:element ref="ns2:addNotesFields" minOccurs="0"/>
                <xsd:element ref="ns2:ForDocIDSufixSearch"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vivaDescriptionContentDocument" ma:index="24" nillable="true" ma:displayName="תיאור תוכן המסמך" ma:internalName="SvivaDescriptionContentDocu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54b77-aedb-4aa8-bab0-d07b7ed4c53d" elementFormDefault="qualified">
    <xsd:import namespace="http://schemas.microsoft.com/office/2006/documentManagement/types"/>
    <xsd:import namespace="http://schemas.microsoft.com/office/infopath/2007/PartnerControls"/>
    <xsd:element name="IdDocSviva" ma:index="8" nillable="true" ma:displayName="סימוכין ישן" ma:hidden="true" ma:internalName="IdDocSviva">
      <xsd:simpleType>
        <xsd:restriction base="dms:Text">
          <xsd:maxLength value="255"/>
        </xsd:restriction>
      </xsd:simpleType>
    </xsd:element>
    <xsd:element name="InterestsMetaTaxHTField0" ma:index="12" nillable="true" ma:taxonomy="true" ma:internalName="InterestsMetaTaxHTField0" ma:taxonomyFieldName="InterestsMeta" ma:displayName="נושאים סביבתיים"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DocumentDate" ma:index="17" nillable="true" ma:displayName="תאריך המסמך" ma:default="[today]" ma:description="" ma:format="DateOnly" ma:internalName="DocumentDate">
      <xsd:simpleType>
        <xsd:restriction base="dms:DateTime"/>
      </xsd:simpleType>
    </xsd:element>
    <xsd:element name="From1" ma:index="18" nillable="true" ma:displayName="מאת" ma:internalName="From1">
      <xsd:simpleType>
        <xsd:restriction base="dms:Text">
          <xsd:maxLength value="255"/>
        </xsd:restriction>
      </xsd:simpleType>
    </xsd:element>
    <xsd:element name="To" ma:index="19" nillable="true" ma:displayName="אל" ma:internalName="To">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addNotesFields" ma:index="25" nillable="true" ma:displayName="הערות" ma:internalName="addNotesFields">
      <xsd:simpleType>
        <xsd:restriction base="dms:Note"/>
      </xsd:simpleType>
    </xsd:element>
    <xsd:element name="ForDocIDSufixSearch" ma:index="26"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 ma:index="9" nillable="true" ma:displayName="ערך של סימוכין" ma:description="הערך של מזהה המסמך שהוקצה לפריט זה." ma:internalName="_dlc_DocId" ma:readOnly="true">
      <xsd:simpleType>
        <xsd:restriction base="dms:Text"/>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16"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db751b44-43b9-4a67-89cd-b64f9cef1198" elementFormDefault="qualified">
    <xsd:import namespace="http://schemas.microsoft.com/office/2006/documentManagement/types"/>
    <xsd:import namespace="http://schemas.microsoft.com/office/infopath/2007/PartnerControls"/>
    <xsd:element name="SharedWithUsers" ma:index="2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E9541C-3C82-4608-944E-7D55790D16A2}">
  <ds:schemaRefs>
    <ds:schemaRef ds:uri="http://schemas.microsoft.com/office/2006/metadata/properties"/>
    <ds:schemaRef ds:uri="http://schemas.microsoft.com/office/infopath/2007/PartnerControls"/>
    <ds:schemaRef ds:uri="http://schemas.microsoft.com/sharepoint/v3"/>
    <ds:schemaRef ds:uri="50354b77-aedb-4aa8-bab0-d07b7ed4c53d"/>
    <ds:schemaRef ds:uri="cd176683-f386-4427-8b81-f86b02d16ad3"/>
    <ds:schemaRef ds:uri="768d7c6a-c0de-4a09-b8cf-57dd5f94ab56"/>
  </ds:schemaRefs>
</ds:datastoreItem>
</file>

<file path=customXml/itemProps2.xml><?xml version="1.0" encoding="utf-8"?>
<ds:datastoreItem xmlns:ds="http://schemas.openxmlformats.org/officeDocument/2006/customXml" ds:itemID="{393B3944-6373-46DE-ADCC-0771E226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54b77-aedb-4aa8-bab0-d07b7ed4c53d"/>
    <ds:schemaRef ds:uri="cd176683-f386-4427-8b81-f86b02d16ad3"/>
    <ds:schemaRef ds:uri="768d7c6a-c0de-4a09-b8cf-57dd5f94ab56"/>
    <ds:schemaRef ds:uri="db751b44-43b9-4a67-89cd-b64f9cef1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0F1F3-D953-4C43-82BE-C735BF9A1732}">
  <ds:schemaRefs>
    <ds:schemaRef ds:uri="http://schemas.microsoft.com/sharepoint/v3/contenttype/forms"/>
  </ds:schemaRefs>
</ds:datastoreItem>
</file>

<file path=customXml/itemProps4.xml><?xml version="1.0" encoding="utf-8"?>
<ds:datastoreItem xmlns:ds="http://schemas.openxmlformats.org/officeDocument/2006/customXml" ds:itemID="{3E18F498-8B8B-42AF-AAF1-544A9280B0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1357</Words>
  <Characters>6788</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Sviva.gov.il</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מוריה שפנגנטל  Moriya Shpangental</dc:creator>
  <cp:keywords/>
  <dc:description/>
  <cp:lastModifiedBy>אסתר טל  Esther Tal</cp:lastModifiedBy>
  <cp:revision>4</cp:revision>
  <cp:lastPrinted>2022-03-21T15:43:00Z</cp:lastPrinted>
  <dcterms:created xsi:type="dcterms:W3CDTF">2022-04-24T13:34:00Z</dcterms:created>
  <dcterms:modified xsi:type="dcterms:W3CDTF">2022-04-25T12:10:00Z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0x010100E5B8FEC42D71C148B1ADD56636BBBBBB00A87DC6C21962A0458EB1F70327683589</vt:lpwstr>
  </property>
  <property fmtid="{D5CDD505-2E9C-101B-9397-08002B2CF9AE}" pid="3" name="SvivaOfficeUnitsMMeta">
    <vt:lpwstr/>
  </property>
  <property fmtid="{D5CDD505-2E9C-101B-9397-08002B2CF9AE}" pid="4" name="SvivaLabelingFreeMMeta">
    <vt:lpwstr/>
  </property>
  <property fmtid="{D5CDD505-2E9C-101B-9397-08002B2CF9AE}" pid="5" name="InterestsMeta">
    <vt:lpwstr/>
  </property>
  <property fmtid="{D5CDD505-2E9C-101B-9397-08002B2CF9AE}" pid="6" name="_dlc_DocIdItemGuid">
    <vt:lpwstr>4f6bc90b-b13d-43b2-adf4-42d02501c162</vt:lpwstr>
  </property>
</Properties>
</file>