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12C" w:rsidRPr="00D31E7C" w:rsidRDefault="00335AC2" w:rsidP="00335AC2">
      <w:pPr>
        <w:ind w:left="-625"/>
        <w:rPr>
          <w:rStyle w:val="10"/>
          <w:rtl/>
        </w:rPr>
      </w:pPr>
      <w:bookmarkStart w:id="0" w:name="_GoBack"/>
      <w:bookmarkEnd w:id="0"/>
      <w:r>
        <w:rPr>
          <w:sz w:val="24"/>
          <w:szCs w:val="24"/>
          <w:rtl/>
        </w:rPr>
        <w:t>טופס 716</w:t>
      </w:r>
      <w:r>
        <w:rPr>
          <w:rFonts w:hint="cs"/>
          <w:sz w:val="24"/>
          <w:szCs w:val="24"/>
          <w:rtl/>
        </w:rPr>
        <w:t>0</w:t>
      </w:r>
      <w:r>
        <w:rPr>
          <w:sz w:val="24"/>
          <w:szCs w:val="24"/>
          <w:rtl/>
        </w:rPr>
        <w:br/>
      </w:r>
      <w:r w:rsidR="0040312C" w:rsidRPr="00D31E7C">
        <w:rPr>
          <w:rStyle w:val="10"/>
          <w:rFonts w:hint="cs"/>
          <w:rtl/>
        </w:rPr>
        <w:t xml:space="preserve">בקשה לקבלת אישור מקדמה למס רכישה לרישום בפנקסי המקרקעין </w:t>
      </w:r>
    </w:p>
    <w:p w:rsidR="0040312C" w:rsidRPr="008C7CC0" w:rsidRDefault="0040312C" w:rsidP="008956CB">
      <w:pPr>
        <w:ind w:left="-625"/>
        <w:rPr>
          <w:rFonts w:ascii="Arial" w:hAnsi="Arial" w:cs="Arial"/>
          <w:sz w:val="18"/>
          <w:szCs w:val="18"/>
          <w:rtl/>
        </w:rPr>
      </w:pPr>
      <w:r w:rsidRPr="008C7CC0">
        <w:rPr>
          <w:rFonts w:ascii="Arial" w:hAnsi="Arial" w:cs="Arial" w:hint="cs"/>
          <w:sz w:val="18"/>
          <w:szCs w:val="18"/>
          <w:rtl/>
        </w:rPr>
        <w:t>מסלול "עמידה בתנאים שקבע המנהל"-סעיף 15 (ט)(1)(ב)</w:t>
      </w:r>
    </w:p>
    <w:p w:rsidR="0040312C" w:rsidRPr="008C7CC0" w:rsidRDefault="0040312C" w:rsidP="008956CB">
      <w:pPr>
        <w:ind w:left="-625"/>
        <w:rPr>
          <w:rFonts w:ascii="Arial" w:hAnsi="Arial" w:cs="Arial"/>
          <w:sz w:val="18"/>
          <w:szCs w:val="18"/>
          <w:rtl/>
        </w:rPr>
      </w:pPr>
      <w:r w:rsidRPr="008C7CC0">
        <w:rPr>
          <w:rFonts w:ascii="Arial" w:hAnsi="Arial" w:cs="Arial" w:hint="cs"/>
          <w:sz w:val="18"/>
          <w:szCs w:val="18"/>
          <w:rtl/>
        </w:rPr>
        <w:t xml:space="preserve">למכירות מתאריך 30.5.2018 ועד 30.4.2018 בהתאם לתיקון 89 לחוק מיסוי מקרקעין סמן/י </w:t>
      </w:r>
      <w:r w:rsidRPr="008C7CC0">
        <w:rPr>
          <w:rFonts w:ascii="Arial" w:hAnsi="Arial" w:cs="Arial"/>
          <w:sz w:val="18"/>
          <w:szCs w:val="18"/>
        </w:rPr>
        <w:t>v</w:t>
      </w:r>
      <w:r w:rsidRPr="008C7CC0">
        <w:rPr>
          <w:rFonts w:ascii="Arial" w:hAnsi="Arial" w:cs="Arial" w:hint="cs"/>
          <w:sz w:val="18"/>
          <w:szCs w:val="18"/>
          <w:rtl/>
        </w:rPr>
        <w:t xml:space="preserve"> בריבוע המתאים</w:t>
      </w:r>
    </w:p>
    <w:p w:rsidR="0040312C" w:rsidRPr="0040312C" w:rsidRDefault="0040312C" w:rsidP="008956CB">
      <w:pPr>
        <w:pStyle w:val="a3"/>
        <w:numPr>
          <w:ilvl w:val="0"/>
          <w:numId w:val="3"/>
        </w:numPr>
        <w:ind w:left="-341"/>
        <w:rPr>
          <w:rFonts w:ascii="Arial" w:hAnsi="Arial" w:cs="Arial"/>
          <w:b/>
          <w:bCs/>
        </w:rPr>
      </w:pPr>
      <w:r>
        <w:rPr>
          <w:rFonts w:ascii="Arial" w:hAnsi="Arial" w:cs="Arial" w:hint="cs"/>
          <w:b/>
          <w:bCs/>
          <w:rtl/>
        </w:rPr>
        <w:t>פרטי הרוכש/ים מבקשי האישור</w:t>
      </w:r>
    </w:p>
    <w:p w:rsidR="0040312C" w:rsidRDefault="0040312C" w:rsidP="008956CB">
      <w:pPr>
        <w:pStyle w:val="a3"/>
        <w:ind w:left="-341"/>
        <w:rPr>
          <w:rFonts w:ascii="Arial" w:hAnsi="Arial" w:cs="Arial"/>
          <w:rtl/>
        </w:rPr>
      </w:pPr>
      <w:r>
        <w:rPr>
          <w:rFonts w:ascii="Arial" w:hAnsi="Arial" w:cs="Arial" w:hint="cs"/>
          <w:rtl/>
        </w:rPr>
        <w:t>שם מלא</w:t>
      </w:r>
    </w:p>
    <w:p w:rsidR="0040312C" w:rsidRDefault="0040312C" w:rsidP="008956CB">
      <w:pPr>
        <w:pStyle w:val="a3"/>
        <w:ind w:left="-341"/>
        <w:rPr>
          <w:rFonts w:ascii="Arial" w:hAnsi="Arial" w:cs="Arial"/>
          <w:rtl/>
        </w:rPr>
      </w:pPr>
      <w:r>
        <w:rPr>
          <w:rFonts w:ascii="Arial" w:hAnsi="Arial" w:cs="Arial" w:hint="cs"/>
          <w:rtl/>
        </w:rPr>
        <w:t>מספר זהות</w:t>
      </w:r>
    </w:p>
    <w:p w:rsidR="0040312C" w:rsidRDefault="0040312C" w:rsidP="008956CB">
      <w:pPr>
        <w:pStyle w:val="a3"/>
        <w:ind w:left="-341"/>
        <w:rPr>
          <w:rFonts w:ascii="Arial" w:hAnsi="Arial" w:cs="Arial"/>
          <w:rtl/>
        </w:rPr>
      </w:pPr>
      <w:r>
        <w:rPr>
          <w:rFonts w:ascii="Arial" w:hAnsi="Arial" w:cs="Arial" w:hint="cs"/>
          <w:rtl/>
        </w:rPr>
        <w:t>שם מלא</w:t>
      </w:r>
    </w:p>
    <w:p w:rsidR="0040312C" w:rsidRPr="0040312C" w:rsidRDefault="0040312C" w:rsidP="008956CB">
      <w:pPr>
        <w:pStyle w:val="a3"/>
        <w:ind w:left="-341"/>
        <w:rPr>
          <w:rFonts w:ascii="Arial" w:hAnsi="Arial" w:cs="Arial"/>
          <w:rtl/>
        </w:rPr>
      </w:pPr>
      <w:r>
        <w:rPr>
          <w:rFonts w:ascii="Arial" w:hAnsi="Arial" w:cs="Arial" w:hint="cs"/>
          <w:rtl/>
        </w:rPr>
        <w:t>מספר זהות</w:t>
      </w:r>
    </w:p>
    <w:p w:rsidR="0040312C" w:rsidRPr="0040312C" w:rsidRDefault="0040312C" w:rsidP="008956CB">
      <w:pPr>
        <w:pStyle w:val="a3"/>
        <w:numPr>
          <w:ilvl w:val="0"/>
          <w:numId w:val="3"/>
        </w:numPr>
        <w:ind w:left="-341"/>
        <w:rPr>
          <w:rFonts w:ascii="Arial" w:hAnsi="Arial" w:cs="Arial"/>
          <w:b/>
          <w:bCs/>
        </w:rPr>
      </w:pPr>
      <w:r w:rsidRPr="0040312C">
        <w:rPr>
          <w:rFonts w:ascii="Arial" w:hAnsi="Arial" w:cs="Arial" w:hint="cs"/>
          <w:b/>
          <w:bCs/>
          <w:rtl/>
        </w:rPr>
        <w:t>פ</w:t>
      </w:r>
      <w:r>
        <w:rPr>
          <w:rFonts w:ascii="Arial" w:hAnsi="Arial" w:cs="Arial" w:hint="cs"/>
          <w:b/>
          <w:bCs/>
          <w:rtl/>
        </w:rPr>
        <w:t>רטי העסקה</w:t>
      </w:r>
    </w:p>
    <w:p w:rsidR="0040312C" w:rsidRDefault="008956CB" w:rsidP="008956CB">
      <w:pPr>
        <w:pStyle w:val="a3"/>
        <w:ind w:left="-341"/>
        <w:rPr>
          <w:rFonts w:ascii="Arial" w:hAnsi="Arial" w:cs="Arial"/>
          <w:rtl/>
        </w:rPr>
      </w:pPr>
      <w:r>
        <w:rPr>
          <w:rFonts w:ascii="Arial" w:hAnsi="Arial" w:cs="Arial" w:hint="cs"/>
          <w:rtl/>
        </w:rPr>
        <w:t>מספר השומה נושא הבקשה</w:t>
      </w:r>
    </w:p>
    <w:p w:rsidR="0040312C" w:rsidRDefault="0040312C" w:rsidP="008956CB">
      <w:pPr>
        <w:pStyle w:val="a3"/>
        <w:ind w:left="-341"/>
        <w:rPr>
          <w:rFonts w:ascii="Arial" w:hAnsi="Arial" w:cs="Arial"/>
          <w:rtl/>
        </w:rPr>
      </w:pPr>
      <w:r>
        <w:rPr>
          <w:rFonts w:ascii="Arial" w:hAnsi="Arial" w:cs="Arial" w:hint="cs"/>
          <w:rtl/>
        </w:rPr>
        <w:t xml:space="preserve">תת חלקה </w:t>
      </w:r>
    </w:p>
    <w:p w:rsidR="0040312C" w:rsidRDefault="0040312C" w:rsidP="008956CB">
      <w:pPr>
        <w:pStyle w:val="a3"/>
        <w:ind w:left="-341"/>
        <w:rPr>
          <w:rFonts w:ascii="Arial" w:hAnsi="Arial" w:cs="Arial"/>
          <w:rtl/>
        </w:rPr>
      </w:pPr>
      <w:r>
        <w:rPr>
          <w:rFonts w:ascii="Arial" w:hAnsi="Arial" w:cs="Arial" w:hint="cs"/>
          <w:rtl/>
        </w:rPr>
        <w:t>חלקה</w:t>
      </w:r>
    </w:p>
    <w:p w:rsidR="0040312C" w:rsidRDefault="0040312C" w:rsidP="008956CB">
      <w:pPr>
        <w:pStyle w:val="a3"/>
        <w:ind w:left="-341"/>
        <w:rPr>
          <w:rFonts w:ascii="Arial" w:hAnsi="Arial" w:cs="Arial"/>
          <w:rtl/>
        </w:rPr>
      </w:pPr>
      <w:r>
        <w:rPr>
          <w:rFonts w:ascii="Arial" w:hAnsi="Arial" w:cs="Arial" w:hint="cs"/>
          <w:rtl/>
        </w:rPr>
        <w:t>גוש</w:t>
      </w:r>
    </w:p>
    <w:p w:rsidR="0040312C" w:rsidRPr="0040312C" w:rsidRDefault="0040312C" w:rsidP="008956CB">
      <w:pPr>
        <w:pStyle w:val="a3"/>
        <w:numPr>
          <w:ilvl w:val="0"/>
          <w:numId w:val="3"/>
        </w:numPr>
        <w:ind w:left="-341"/>
        <w:rPr>
          <w:rFonts w:ascii="Arial" w:hAnsi="Arial" w:cs="Arial"/>
          <w:b/>
          <w:bCs/>
        </w:rPr>
      </w:pPr>
      <w:r w:rsidRPr="0040312C">
        <w:rPr>
          <w:rFonts w:ascii="Arial" w:hAnsi="Arial" w:cs="Arial" w:hint="cs"/>
          <w:b/>
          <w:bCs/>
          <w:rtl/>
        </w:rPr>
        <w:t>פרוט התנאים</w:t>
      </w:r>
    </w:p>
    <w:p w:rsidR="0040312C" w:rsidRDefault="0040312C" w:rsidP="008956CB">
      <w:pPr>
        <w:pStyle w:val="a3"/>
        <w:numPr>
          <w:ilvl w:val="0"/>
          <w:numId w:val="4"/>
        </w:numPr>
        <w:ind w:left="-341" w:firstLine="0"/>
        <w:rPr>
          <w:rFonts w:ascii="Arial" w:hAnsi="Arial" w:cs="Arial"/>
        </w:rPr>
      </w:pPr>
      <w:r>
        <w:rPr>
          <w:rFonts w:ascii="Arial" w:hAnsi="Arial" w:cs="Arial" w:hint="cs"/>
          <w:rtl/>
        </w:rPr>
        <w:t>שולמה מקדמה למס שבח בהתאם לסעיף 15 (ב) והמקדמה כולה או חלקה לא הוחזרה לרוכש לפי סעיף 15 (ד)(3)ב)</w:t>
      </w:r>
    </w:p>
    <w:p w:rsidR="0040312C" w:rsidRDefault="0040312C" w:rsidP="008956CB">
      <w:pPr>
        <w:pStyle w:val="a3"/>
        <w:numPr>
          <w:ilvl w:val="0"/>
          <w:numId w:val="4"/>
        </w:numPr>
        <w:ind w:left="-341" w:firstLine="0"/>
        <w:rPr>
          <w:rFonts w:ascii="Arial" w:hAnsi="Arial" w:cs="Arial"/>
        </w:rPr>
      </w:pPr>
      <w:r>
        <w:rPr>
          <w:rFonts w:ascii="Arial" w:hAnsi="Arial" w:cs="Arial" w:hint="cs"/>
          <w:rtl/>
        </w:rPr>
        <w:t>שולמה השומה העצמית במס רכישה במועד הקבוע בסעיף 90 א</w:t>
      </w:r>
    </w:p>
    <w:p w:rsidR="0040312C" w:rsidRDefault="0040312C" w:rsidP="008956CB">
      <w:pPr>
        <w:pStyle w:val="a3"/>
        <w:numPr>
          <w:ilvl w:val="0"/>
          <w:numId w:val="4"/>
        </w:numPr>
        <w:ind w:left="-341" w:firstLine="0"/>
        <w:rPr>
          <w:rFonts w:ascii="Arial" w:hAnsi="Arial" w:cs="Arial"/>
        </w:rPr>
      </w:pPr>
      <w:r>
        <w:rPr>
          <w:rFonts w:ascii="Arial" w:hAnsi="Arial" w:cs="Arial" w:hint="cs"/>
          <w:rtl/>
        </w:rPr>
        <w:t>הרוכש המציא למנהל את כל המסמכים והפרטים שנדרש להמציאם</w:t>
      </w:r>
    </w:p>
    <w:p w:rsidR="0040312C" w:rsidRDefault="0040312C" w:rsidP="008956CB">
      <w:pPr>
        <w:pStyle w:val="a3"/>
        <w:numPr>
          <w:ilvl w:val="0"/>
          <w:numId w:val="4"/>
        </w:numPr>
        <w:ind w:left="-341" w:firstLine="0"/>
        <w:rPr>
          <w:rFonts w:ascii="Arial" w:hAnsi="Arial" w:cs="Arial"/>
        </w:rPr>
      </w:pPr>
      <w:r>
        <w:rPr>
          <w:rFonts w:ascii="Arial" w:hAnsi="Arial" w:cs="Arial" w:hint="cs"/>
          <w:rtl/>
        </w:rPr>
        <w:t xml:space="preserve">שולם המס </w:t>
      </w:r>
      <w:r w:rsidR="002C7036">
        <w:rPr>
          <w:rFonts w:ascii="Arial" w:hAnsi="Arial" w:cs="Arial" w:hint="cs"/>
          <w:rtl/>
        </w:rPr>
        <w:t>המגיע על פי שומה שנעשתה לפי סעיף 78 (ב) בשל המכירה שבה הגיעה לידי המוכר הזכות הנרכשת (העסקה הקודמת)</w:t>
      </w:r>
    </w:p>
    <w:p w:rsidR="002C7036" w:rsidRDefault="002C7036" w:rsidP="008956CB">
      <w:pPr>
        <w:pStyle w:val="a3"/>
        <w:numPr>
          <w:ilvl w:val="0"/>
          <w:numId w:val="4"/>
        </w:numPr>
        <w:ind w:left="-341" w:firstLine="0"/>
        <w:rPr>
          <w:rFonts w:ascii="Arial" w:hAnsi="Arial" w:cs="Arial"/>
        </w:rPr>
      </w:pPr>
      <w:r>
        <w:rPr>
          <w:rFonts w:ascii="Arial" w:hAnsi="Arial" w:cs="Arial" w:hint="cs"/>
          <w:rtl/>
        </w:rPr>
        <w:t>לא נעשתה לגבי המכירה הנוכחית שומה לעניין מס רכישה לפי סעיף 78 (ב)</w:t>
      </w:r>
    </w:p>
    <w:p w:rsidR="002C7036" w:rsidRDefault="002C7036" w:rsidP="008956CB">
      <w:pPr>
        <w:pStyle w:val="a3"/>
        <w:numPr>
          <w:ilvl w:val="0"/>
          <w:numId w:val="4"/>
        </w:numPr>
        <w:ind w:left="-341" w:firstLine="0"/>
        <w:rPr>
          <w:rFonts w:ascii="Arial" w:hAnsi="Arial" w:cs="Arial"/>
        </w:rPr>
      </w:pPr>
      <w:r>
        <w:rPr>
          <w:rFonts w:ascii="Arial" w:hAnsi="Arial" w:cs="Arial" w:hint="cs"/>
          <w:rtl/>
        </w:rPr>
        <w:t xml:space="preserve">אם ביקש הרוכש הקלה או פטור ממס רכישה בהתאם להוראות לפי סעיף 9 הוא הגיש את כל המסמכים להוכחת כאותו להקלה או לפטור כאמור </w:t>
      </w:r>
    </w:p>
    <w:p w:rsidR="002C7036" w:rsidRDefault="002C7036" w:rsidP="008956CB">
      <w:pPr>
        <w:pStyle w:val="a3"/>
        <w:numPr>
          <w:ilvl w:val="0"/>
          <w:numId w:val="4"/>
        </w:numPr>
        <w:ind w:left="-341" w:firstLine="0"/>
        <w:rPr>
          <w:rFonts w:ascii="Arial" w:hAnsi="Arial" w:cs="Arial"/>
        </w:rPr>
      </w:pPr>
      <w:r>
        <w:rPr>
          <w:rFonts w:ascii="Arial" w:hAnsi="Arial" w:cs="Arial" w:hint="cs"/>
          <w:rtl/>
        </w:rPr>
        <w:t>הרוכש עומד בתנאים שקבע המנה בהוראות מיסוי מקרקעין (שבח ורכישה) (תנאים לעניי</w:t>
      </w:r>
      <w:r>
        <w:rPr>
          <w:rFonts w:ascii="Arial" w:hAnsi="Arial" w:cs="Arial" w:hint="eastAsia"/>
          <w:rtl/>
        </w:rPr>
        <w:t>ן</w:t>
      </w:r>
      <w:r>
        <w:rPr>
          <w:rFonts w:ascii="Arial" w:hAnsi="Arial" w:cs="Arial" w:hint="cs"/>
          <w:rtl/>
        </w:rPr>
        <w:t xml:space="preserve"> סעיף 15 (ט)(1)(ב) לחוק) (מצ"ב לטופס)</w:t>
      </w:r>
    </w:p>
    <w:p w:rsidR="002C7036" w:rsidRDefault="002C7036" w:rsidP="008956CB">
      <w:pPr>
        <w:ind w:left="-341" w:hanging="360"/>
        <w:rPr>
          <w:rFonts w:ascii="Arial" w:hAnsi="Arial" w:cs="Arial"/>
          <w:b/>
          <w:bCs/>
          <w:u w:val="single"/>
          <w:rtl/>
        </w:rPr>
      </w:pPr>
      <w:r w:rsidRPr="002C7036">
        <w:rPr>
          <w:rFonts w:ascii="Arial" w:hAnsi="Arial" w:cs="Arial" w:hint="cs"/>
          <w:b/>
          <w:bCs/>
          <w:u w:val="single"/>
          <w:rtl/>
        </w:rPr>
        <w:t>דגשים:</w:t>
      </w:r>
    </w:p>
    <w:p w:rsidR="002C7036" w:rsidRDefault="002C7036" w:rsidP="008956CB">
      <w:pPr>
        <w:ind w:left="-341" w:hanging="360"/>
        <w:rPr>
          <w:rFonts w:ascii="Arial" w:hAnsi="Arial" w:cs="Arial"/>
          <w:rtl/>
        </w:rPr>
      </w:pPr>
      <w:r>
        <w:rPr>
          <w:rFonts w:ascii="Arial" w:hAnsi="Arial" w:cs="Arial" w:hint="cs"/>
          <w:rtl/>
        </w:rPr>
        <w:t>מסלול זה הינו הוראת שעה בין התאריכים 30.5.2018 ועד 30.4.2020</w:t>
      </w:r>
    </w:p>
    <w:p w:rsidR="002C7036" w:rsidRDefault="002C7036" w:rsidP="008956CB">
      <w:pPr>
        <w:ind w:left="-341" w:hanging="360"/>
        <w:rPr>
          <w:rFonts w:ascii="Arial" w:hAnsi="Arial" w:cs="Arial"/>
          <w:rtl/>
        </w:rPr>
      </w:pPr>
      <w:r>
        <w:rPr>
          <w:rFonts w:ascii="Arial" w:hAnsi="Arial" w:cs="Arial" w:hint="cs"/>
          <w:rtl/>
        </w:rPr>
        <w:t>התנאים במפרטים הינם תנאים מצטברים</w:t>
      </w:r>
    </w:p>
    <w:p w:rsidR="002C7036" w:rsidRDefault="002C7036" w:rsidP="008956CB">
      <w:pPr>
        <w:ind w:left="-341" w:hanging="360"/>
        <w:rPr>
          <w:rFonts w:ascii="Arial" w:hAnsi="Arial" w:cs="Arial"/>
          <w:rtl/>
        </w:rPr>
      </w:pPr>
      <w:r>
        <w:rPr>
          <w:rFonts w:ascii="Arial" w:hAnsi="Arial" w:cs="Arial" w:hint="cs"/>
          <w:rtl/>
        </w:rPr>
        <w:t>ברכישה ע"י מספר רוכשים, לרבות בני זוג, הבדיקה תיעשה על כל רוכש בנפרד</w:t>
      </w:r>
    </w:p>
    <w:p w:rsidR="002C7036" w:rsidRDefault="002C7036" w:rsidP="008956CB">
      <w:pPr>
        <w:ind w:left="-341" w:hanging="360"/>
        <w:rPr>
          <w:rFonts w:ascii="Arial" w:hAnsi="Arial" w:cs="Arial"/>
          <w:b/>
          <w:bCs/>
          <w:rtl/>
        </w:rPr>
      </w:pPr>
      <w:r w:rsidRPr="003820E8">
        <w:rPr>
          <w:rFonts w:ascii="Arial" w:hAnsi="Arial" w:cs="Arial" w:hint="cs"/>
          <w:b/>
          <w:bCs/>
          <w:rtl/>
        </w:rPr>
        <w:t>השירות</w:t>
      </w:r>
      <w:r w:rsidR="003820E8" w:rsidRPr="003820E8">
        <w:rPr>
          <w:rFonts w:ascii="Arial" w:hAnsi="Arial" w:cs="Arial" w:hint="cs"/>
          <w:b/>
          <w:bCs/>
          <w:rtl/>
        </w:rPr>
        <w:t xml:space="preserve"> יינתן ע"י מוקד מסמ"ק בלבד והאישורים ישלחו במייל חוזר </w:t>
      </w:r>
    </w:p>
    <w:p w:rsidR="003820E8" w:rsidRPr="003820E8" w:rsidRDefault="003820E8" w:rsidP="008956CB">
      <w:pPr>
        <w:pStyle w:val="a3"/>
        <w:numPr>
          <w:ilvl w:val="0"/>
          <w:numId w:val="3"/>
        </w:numPr>
        <w:ind w:left="-341"/>
        <w:rPr>
          <w:rFonts w:ascii="Arial" w:hAnsi="Arial" w:cs="Arial"/>
          <w:b/>
          <w:bCs/>
        </w:rPr>
      </w:pPr>
      <w:r>
        <w:rPr>
          <w:rFonts w:ascii="Arial" w:hAnsi="Arial" w:cs="Arial" w:hint="cs"/>
          <w:b/>
          <w:bCs/>
          <w:rtl/>
        </w:rPr>
        <w:t xml:space="preserve">מסמכים מצורפים </w:t>
      </w:r>
      <w:r>
        <w:rPr>
          <w:rFonts w:ascii="Arial" w:hAnsi="Arial" w:cs="Arial" w:hint="cs"/>
          <w:rtl/>
        </w:rPr>
        <w:t>(ככל שהזכות רשומה, חובה לצרף)</w:t>
      </w:r>
    </w:p>
    <w:p w:rsidR="003820E8" w:rsidRPr="003820E8" w:rsidRDefault="003820E8" w:rsidP="008956CB">
      <w:pPr>
        <w:pStyle w:val="a3"/>
        <w:numPr>
          <w:ilvl w:val="0"/>
          <w:numId w:val="5"/>
        </w:numPr>
        <w:ind w:left="-341" w:firstLine="0"/>
        <w:rPr>
          <w:rFonts w:ascii="Arial" w:hAnsi="Arial" w:cs="Arial"/>
          <w:b/>
          <w:bCs/>
        </w:rPr>
      </w:pPr>
      <w:r>
        <w:rPr>
          <w:rFonts w:ascii="Arial" w:hAnsi="Arial" w:cs="Arial" w:hint="cs"/>
          <w:rtl/>
        </w:rPr>
        <w:t>רישום זכויות ברשם המקרקעין (נסח טאבו)</w:t>
      </w:r>
    </w:p>
    <w:p w:rsidR="003820E8" w:rsidRPr="003820E8" w:rsidRDefault="003820E8" w:rsidP="008956CB">
      <w:pPr>
        <w:pStyle w:val="a3"/>
        <w:numPr>
          <w:ilvl w:val="0"/>
          <w:numId w:val="5"/>
        </w:numPr>
        <w:ind w:left="-341" w:firstLine="0"/>
        <w:rPr>
          <w:rFonts w:ascii="Arial" w:hAnsi="Arial" w:cs="Arial"/>
          <w:b/>
          <w:bCs/>
        </w:rPr>
      </w:pPr>
      <w:r>
        <w:rPr>
          <w:rFonts w:ascii="Arial" w:hAnsi="Arial" w:cs="Arial" w:hint="cs"/>
          <w:rtl/>
        </w:rPr>
        <w:t>רישום זכויות במרשמי רשות מקרקעי ישראל</w:t>
      </w:r>
    </w:p>
    <w:p w:rsidR="003820E8" w:rsidRDefault="003820E8" w:rsidP="008956CB">
      <w:pPr>
        <w:pStyle w:val="a3"/>
        <w:numPr>
          <w:ilvl w:val="0"/>
          <w:numId w:val="5"/>
        </w:numPr>
        <w:ind w:left="-341" w:firstLine="0"/>
        <w:rPr>
          <w:rFonts w:ascii="Arial" w:hAnsi="Arial" w:cs="Arial"/>
          <w:b/>
          <w:bCs/>
        </w:rPr>
      </w:pPr>
      <w:r>
        <w:rPr>
          <w:rFonts w:ascii="Arial" w:hAnsi="Arial" w:cs="Arial" w:hint="cs"/>
          <w:rtl/>
        </w:rPr>
        <w:t xml:space="preserve">רישום זכויות בחברה משכנת </w:t>
      </w:r>
    </w:p>
    <w:p w:rsidR="003820E8" w:rsidRDefault="003820E8" w:rsidP="008956CB">
      <w:pPr>
        <w:ind w:left="-341" w:hanging="360"/>
        <w:rPr>
          <w:rFonts w:ascii="Arial" w:hAnsi="Arial" w:cs="Arial"/>
          <w:b/>
          <w:bCs/>
          <w:rtl/>
        </w:rPr>
      </w:pPr>
      <w:r>
        <w:rPr>
          <w:rFonts w:ascii="Arial" w:hAnsi="Arial" w:cs="Arial" w:hint="cs"/>
          <w:b/>
          <w:bCs/>
          <w:rtl/>
        </w:rPr>
        <w:t>הצהרת הרוכש/ים</w:t>
      </w:r>
    </w:p>
    <w:p w:rsidR="003820E8" w:rsidRDefault="003820E8" w:rsidP="008956CB">
      <w:pPr>
        <w:pStyle w:val="a3"/>
        <w:numPr>
          <w:ilvl w:val="0"/>
          <w:numId w:val="7"/>
        </w:numPr>
        <w:ind w:left="-199" w:hanging="142"/>
        <w:rPr>
          <w:rFonts w:ascii="Arial" w:hAnsi="Arial" w:cs="Arial"/>
          <w:b/>
          <w:bCs/>
        </w:rPr>
      </w:pPr>
      <w:r>
        <w:rPr>
          <w:rFonts w:ascii="Arial" w:hAnsi="Arial" w:cs="Arial" w:hint="cs"/>
          <w:rtl/>
        </w:rPr>
        <w:t>הנני מצהיר/ה בזאת כי אני עומד בכל התנאים שבסעיף 15 (ט)(1)(ב), כולל בהוראות מיסי מקרקעין (שבח ורכישה) (תנאים</w:t>
      </w:r>
      <w:r w:rsidR="008956CB">
        <w:rPr>
          <w:rFonts w:ascii="Arial" w:hAnsi="Arial" w:cs="Arial" w:hint="cs"/>
          <w:rtl/>
        </w:rPr>
        <w:t xml:space="preserve"> </w:t>
      </w:r>
      <w:proofErr w:type="spellStart"/>
      <w:r w:rsidR="008956CB">
        <w:rPr>
          <w:rFonts w:ascii="Arial" w:hAnsi="Arial" w:cs="Arial" w:hint="cs"/>
          <w:rtl/>
        </w:rPr>
        <w:t>לענין</w:t>
      </w:r>
      <w:proofErr w:type="spellEnd"/>
      <w:r w:rsidR="008956CB">
        <w:rPr>
          <w:rFonts w:ascii="Arial" w:hAnsi="Arial" w:cs="Arial" w:hint="cs"/>
          <w:rtl/>
        </w:rPr>
        <w:t xml:space="preserve"> סעיף 15(ט)(1)(ב) לחוק), </w:t>
      </w:r>
      <w:r>
        <w:rPr>
          <w:rFonts w:ascii="Arial" w:hAnsi="Arial" w:cs="Arial" w:hint="cs"/>
          <w:rtl/>
        </w:rPr>
        <w:t>כמפורט לעיל וכי כל הפרטים בהצהרתי זו הם נכונים , שלמים ומדויקים</w:t>
      </w:r>
    </w:p>
    <w:p w:rsidR="003820E8" w:rsidRPr="008C7CC0" w:rsidRDefault="003820E8" w:rsidP="00E473EF">
      <w:pPr>
        <w:pStyle w:val="a3"/>
        <w:tabs>
          <w:tab w:val="left" w:pos="5398"/>
        </w:tabs>
        <w:ind w:left="-199"/>
        <w:rPr>
          <w:rFonts w:ascii="Arial" w:hAnsi="Arial" w:cs="Arial"/>
          <w:rtl/>
        </w:rPr>
      </w:pPr>
      <w:r w:rsidRPr="008C7CC0">
        <w:rPr>
          <w:rFonts w:ascii="Arial" w:hAnsi="Arial" w:cs="Arial" w:hint="cs"/>
          <w:rtl/>
        </w:rPr>
        <w:t>תאריך</w:t>
      </w:r>
      <w:r w:rsidR="00E473EF" w:rsidRPr="008C7CC0">
        <w:rPr>
          <w:rFonts w:ascii="Arial" w:hAnsi="Arial" w:cs="Arial"/>
          <w:rtl/>
        </w:rPr>
        <w:tab/>
      </w:r>
    </w:p>
    <w:p w:rsidR="003820E8" w:rsidRPr="008C7CC0" w:rsidRDefault="003820E8" w:rsidP="008956CB">
      <w:pPr>
        <w:pStyle w:val="a3"/>
        <w:ind w:left="-199"/>
        <w:rPr>
          <w:rFonts w:ascii="Arial" w:hAnsi="Arial" w:cs="Arial"/>
          <w:rtl/>
        </w:rPr>
      </w:pPr>
      <w:r w:rsidRPr="008C7CC0">
        <w:rPr>
          <w:rFonts w:ascii="Arial" w:hAnsi="Arial" w:cs="Arial" w:hint="cs"/>
          <w:rtl/>
        </w:rPr>
        <w:t>שם</w:t>
      </w:r>
    </w:p>
    <w:p w:rsidR="003820E8" w:rsidRPr="008C7CC0" w:rsidRDefault="003820E8" w:rsidP="008956CB">
      <w:pPr>
        <w:pStyle w:val="a3"/>
        <w:ind w:left="-199"/>
        <w:rPr>
          <w:rFonts w:ascii="Arial" w:hAnsi="Arial" w:cs="Arial"/>
          <w:rtl/>
        </w:rPr>
      </w:pPr>
      <w:r w:rsidRPr="008C7CC0">
        <w:rPr>
          <w:rFonts w:ascii="Arial" w:hAnsi="Arial" w:cs="Arial" w:hint="cs"/>
          <w:rtl/>
        </w:rPr>
        <w:t>חתימה</w:t>
      </w:r>
    </w:p>
    <w:p w:rsidR="008956CB" w:rsidRPr="008956CB" w:rsidRDefault="008956CB" w:rsidP="008956CB">
      <w:pPr>
        <w:ind w:left="-908"/>
        <w:rPr>
          <w:rFonts w:ascii="Arial" w:hAnsi="Arial" w:cs="Arial"/>
          <w:b/>
          <w:bCs/>
          <w:sz w:val="24"/>
          <w:szCs w:val="24"/>
          <w:rtl/>
        </w:rPr>
      </w:pPr>
      <w:r w:rsidRPr="008956CB">
        <w:rPr>
          <w:rFonts w:ascii="Arial" w:hAnsi="Arial" w:cs="Arial"/>
          <w:b/>
          <w:bCs/>
          <w:sz w:val="24"/>
          <w:szCs w:val="24"/>
          <w:rtl/>
        </w:rPr>
        <w:lastRenderedPageBreak/>
        <w:t>הוראות מיסוי מקרקעין (שבח ורכישה) (תנאים לעניין סעיף 15(ט)(1)(ב) לחוק), התשע"ח-2018</w:t>
      </w:r>
    </w:p>
    <w:p w:rsidR="008956CB" w:rsidRPr="008C7CC0" w:rsidRDefault="008956CB" w:rsidP="008956CB">
      <w:pPr>
        <w:ind w:left="-1050"/>
        <w:rPr>
          <w:rFonts w:ascii="Arial" w:hAnsi="Arial" w:cs="Arial"/>
          <w:b/>
          <w:bCs/>
          <w:rtl/>
        </w:rPr>
      </w:pPr>
      <w:r w:rsidRPr="008C7CC0">
        <w:rPr>
          <w:rFonts w:ascii="Arial" w:hAnsi="Arial" w:cs="Arial"/>
          <w:b/>
          <w:bCs/>
          <w:rtl/>
        </w:rPr>
        <w:t>תנאים לעניין סעיף 15(ט)(1)(ב) לחוק</w:t>
      </w:r>
    </w:p>
    <w:tbl>
      <w:tblPr>
        <w:bidiVisual/>
        <w:tblW w:w="9641" w:type="dxa"/>
        <w:tblLayout w:type="fixed"/>
        <w:tblCellMar>
          <w:top w:w="57" w:type="dxa"/>
          <w:left w:w="0" w:type="dxa"/>
          <w:bottom w:w="57" w:type="dxa"/>
          <w:right w:w="0" w:type="dxa"/>
        </w:tblCellMar>
        <w:tblLook w:val="01E0" w:firstRow="1" w:lastRow="1" w:firstColumn="1" w:lastColumn="1" w:noHBand="0" w:noVBand="0"/>
        <w:tblCaption w:val="תנאים לענין סעיף 15"/>
      </w:tblPr>
      <w:tblGrid>
        <w:gridCol w:w="775"/>
        <w:gridCol w:w="774"/>
        <w:gridCol w:w="8092"/>
      </w:tblGrid>
      <w:tr w:rsidR="008956CB" w:rsidRPr="008956CB" w:rsidTr="00151938">
        <w:trPr>
          <w:cantSplit/>
          <w:trHeight w:val="60"/>
        </w:trPr>
        <w:tc>
          <w:tcPr>
            <w:tcW w:w="624" w:type="dxa"/>
          </w:tcPr>
          <w:p w:rsidR="008956CB" w:rsidRPr="008956CB" w:rsidRDefault="008956CB" w:rsidP="008956CB">
            <w:pPr>
              <w:pStyle w:val="TableText"/>
              <w:numPr>
                <w:ilvl w:val="0"/>
                <w:numId w:val="8"/>
              </w:numPr>
              <w:rPr>
                <w:rFonts w:cs="Arial"/>
                <w:sz w:val="24"/>
                <w:szCs w:val="24"/>
              </w:rPr>
            </w:pPr>
          </w:p>
        </w:tc>
        <w:tc>
          <w:tcPr>
            <w:tcW w:w="7146" w:type="dxa"/>
            <w:gridSpan w:val="2"/>
          </w:tcPr>
          <w:p w:rsidR="008956CB" w:rsidRPr="008956CB" w:rsidRDefault="008956CB" w:rsidP="008956CB">
            <w:pPr>
              <w:pStyle w:val="TableBlock"/>
              <w:jc w:val="left"/>
              <w:rPr>
                <w:rFonts w:cs="Arial"/>
                <w:sz w:val="24"/>
                <w:szCs w:val="24"/>
                <w:rtl/>
              </w:rPr>
            </w:pPr>
            <w:r w:rsidRPr="008956CB">
              <w:rPr>
                <w:rFonts w:cs="Arial"/>
                <w:sz w:val="24"/>
                <w:szCs w:val="24"/>
                <w:rtl/>
              </w:rPr>
              <w:t>התנאים שצריכים להתקיים ברוכש, במועד בדיקת בקשתו לקבלת אישור המנהל כאמור בסעיף 16(א)(2) לחוק (להלן- מועד הבדיקה), כדי שיחול לגבי רכישתו סעיף 15(ט)(1)(ב) לחוק</w:t>
            </w:r>
            <w:r>
              <w:rPr>
                <w:rFonts w:cs="Arial"/>
                <w:sz w:val="24"/>
                <w:szCs w:val="24"/>
                <w:rtl/>
              </w:rPr>
              <w:t>:</w:t>
            </w:r>
          </w:p>
        </w:tc>
      </w:tr>
      <w:tr w:rsidR="008956CB" w:rsidRPr="008956CB" w:rsidTr="00151938">
        <w:trPr>
          <w:cantSplit/>
          <w:trHeight w:val="60"/>
        </w:trPr>
        <w:tc>
          <w:tcPr>
            <w:tcW w:w="624" w:type="dxa"/>
          </w:tcPr>
          <w:p w:rsidR="008956CB" w:rsidRPr="008956CB" w:rsidRDefault="008956CB" w:rsidP="008956CB">
            <w:pPr>
              <w:pStyle w:val="TableText"/>
              <w:rPr>
                <w:rFonts w:cs="Arial"/>
                <w:sz w:val="24"/>
                <w:szCs w:val="24"/>
              </w:rPr>
            </w:pPr>
          </w:p>
        </w:tc>
        <w:tc>
          <w:tcPr>
            <w:tcW w:w="7146" w:type="dxa"/>
            <w:gridSpan w:val="2"/>
          </w:tcPr>
          <w:p w:rsidR="008956CB" w:rsidRPr="008956CB" w:rsidRDefault="008956CB" w:rsidP="008956CB">
            <w:pPr>
              <w:pStyle w:val="TableBlock"/>
              <w:numPr>
                <w:ilvl w:val="0"/>
                <w:numId w:val="9"/>
              </w:numPr>
              <w:tabs>
                <w:tab w:val="left" w:pos="624"/>
              </w:tabs>
              <w:jc w:val="left"/>
              <w:rPr>
                <w:rFonts w:cs="Arial"/>
                <w:sz w:val="24"/>
                <w:szCs w:val="24"/>
                <w:rtl/>
              </w:rPr>
            </w:pPr>
            <w:r w:rsidRPr="008956CB">
              <w:rPr>
                <w:rFonts w:cs="Arial"/>
                <w:sz w:val="24"/>
                <w:szCs w:val="24"/>
                <w:rtl/>
              </w:rPr>
              <w:t>אין לרוכש חוב מס בסכום של 10,000 שקלים חדשים או יותר; לעניין זה-</w:t>
            </w:r>
          </w:p>
        </w:tc>
      </w:tr>
      <w:tr w:rsidR="008956CB" w:rsidRPr="008956CB" w:rsidTr="00151938">
        <w:trPr>
          <w:cantSplit/>
          <w:trHeight w:val="60"/>
        </w:trPr>
        <w:tc>
          <w:tcPr>
            <w:tcW w:w="624" w:type="dxa"/>
          </w:tcPr>
          <w:p w:rsidR="008956CB" w:rsidRPr="008956CB" w:rsidRDefault="008956CB" w:rsidP="008956CB">
            <w:pPr>
              <w:pStyle w:val="TableText"/>
              <w:rPr>
                <w:rFonts w:cs="Arial"/>
                <w:sz w:val="24"/>
                <w:szCs w:val="24"/>
              </w:rPr>
            </w:pPr>
          </w:p>
        </w:tc>
        <w:tc>
          <w:tcPr>
            <w:tcW w:w="624" w:type="dxa"/>
          </w:tcPr>
          <w:p w:rsidR="008956CB" w:rsidRPr="008956CB" w:rsidRDefault="008956CB" w:rsidP="008956CB">
            <w:pPr>
              <w:pStyle w:val="TableText"/>
              <w:rPr>
                <w:rFonts w:cs="Arial"/>
                <w:sz w:val="24"/>
                <w:szCs w:val="24"/>
              </w:rPr>
            </w:pPr>
          </w:p>
        </w:tc>
        <w:tc>
          <w:tcPr>
            <w:tcW w:w="6522" w:type="dxa"/>
          </w:tcPr>
          <w:p w:rsidR="008956CB" w:rsidRPr="008956CB" w:rsidRDefault="008956CB" w:rsidP="008956CB">
            <w:pPr>
              <w:pStyle w:val="TableBlockOutdent"/>
              <w:tabs>
                <w:tab w:val="clear" w:pos="624"/>
                <w:tab w:val="left" w:pos="0"/>
              </w:tabs>
              <w:ind w:hanging="618"/>
              <w:jc w:val="left"/>
              <w:rPr>
                <w:rFonts w:cs="Arial"/>
                <w:sz w:val="24"/>
                <w:szCs w:val="24"/>
              </w:rPr>
            </w:pPr>
            <w:r w:rsidRPr="008956CB">
              <w:rPr>
                <w:rFonts w:cs="Arial"/>
                <w:sz w:val="24"/>
                <w:szCs w:val="24"/>
                <w:rtl/>
              </w:rPr>
              <w:t>"</w:t>
            </w:r>
            <w:r w:rsidRPr="008956CB">
              <w:rPr>
                <w:rFonts w:cs="Arial"/>
                <w:b/>
                <w:bCs/>
                <w:sz w:val="24"/>
                <w:szCs w:val="24"/>
                <w:rtl/>
              </w:rPr>
              <w:t>חוב מס" –</w:t>
            </w:r>
            <w:r w:rsidRPr="008956CB">
              <w:rPr>
                <w:rFonts w:cs="Arial"/>
                <w:sz w:val="24"/>
                <w:szCs w:val="24"/>
                <w:rtl/>
              </w:rPr>
              <w:t xml:space="preserve"> סכום שאדם נדרש לשלמו לפי חוק מס בכתב הרשאה לפי סעיף 5 לפקודת המסים (גבייה) שלא שולם במועד בדיקת הבקשה; אך לא יראו כחוב מס, סכום שלא שולם כאמור, שעובד רשות המסים אישר לאותו אדם לשלמו בתשלומים;</w:t>
            </w:r>
          </w:p>
        </w:tc>
      </w:tr>
      <w:tr w:rsidR="008956CB" w:rsidRPr="008956CB" w:rsidTr="00151938">
        <w:trPr>
          <w:cantSplit/>
          <w:trHeight w:val="60"/>
        </w:trPr>
        <w:tc>
          <w:tcPr>
            <w:tcW w:w="624" w:type="dxa"/>
          </w:tcPr>
          <w:p w:rsidR="008956CB" w:rsidRPr="008956CB" w:rsidRDefault="008956CB" w:rsidP="008956CB">
            <w:pPr>
              <w:pStyle w:val="TableText"/>
              <w:rPr>
                <w:rFonts w:cs="Arial"/>
                <w:sz w:val="24"/>
                <w:szCs w:val="24"/>
              </w:rPr>
            </w:pPr>
          </w:p>
        </w:tc>
        <w:tc>
          <w:tcPr>
            <w:tcW w:w="624" w:type="dxa"/>
          </w:tcPr>
          <w:p w:rsidR="008956CB" w:rsidRPr="008956CB" w:rsidRDefault="008956CB" w:rsidP="008956CB">
            <w:pPr>
              <w:pStyle w:val="TableText"/>
              <w:rPr>
                <w:rFonts w:cs="Arial"/>
                <w:sz w:val="24"/>
                <w:szCs w:val="24"/>
              </w:rPr>
            </w:pPr>
          </w:p>
        </w:tc>
        <w:tc>
          <w:tcPr>
            <w:tcW w:w="6522" w:type="dxa"/>
          </w:tcPr>
          <w:p w:rsidR="008956CB" w:rsidRPr="008956CB" w:rsidRDefault="008956CB" w:rsidP="008956CB">
            <w:pPr>
              <w:pStyle w:val="TableBlockOutdent"/>
              <w:jc w:val="left"/>
              <w:rPr>
                <w:rFonts w:cs="Arial"/>
                <w:sz w:val="24"/>
                <w:szCs w:val="24"/>
                <w:rtl/>
              </w:rPr>
            </w:pPr>
            <w:r w:rsidRPr="008956CB">
              <w:rPr>
                <w:rFonts w:cs="Arial"/>
                <w:sz w:val="24"/>
                <w:szCs w:val="24"/>
                <w:rtl/>
              </w:rPr>
              <w:t>"</w:t>
            </w:r>
            <w:r w:rsidRPr="008956CB">
              <w:rPr>
                <w:rFonts w:cs="Arial"/>
                <w:b/>
                <w:bCs/>
                <w:sz w:val="24"/>
                <w:szCs w:val="24"/>
                <w:rtl/>
              </w:rPr>
              <w:t>חוק מס"–</w:t>
            </w:r>
            <w:r w:rsidRPr="008956CB">
              <w:rPr>
                <w:rFonts w:cs="Arial"/>
                <w:sz w:val="24"/>
                <w:szCs w:val="24"/>
                <w:rtl/>
              </w:rPr>
              <w:t xml:space="preserve"> חיקוק הדן בהטלת מס או תשלום חובה, ששר האוצר ממונה על ביצועו או על הגביה לפיו</w:t>
            </w:r>
            <w:r w:rsidRPr="008956CB" w:rsidDel="00BD67DB">
              <w:rPr>
                <w:rFonts w:cs="Arial"/>
                <w:sz w:val="24"/>
                <w:szCs w:val="24"/>
                <w:rtl/>
              </w:rPr>
              <w:t xml:space="preserve"> </w:t>
            </w:r>
            <w:r w:rsidRPr="008956CB">
              <w:rPr>
                <w:rFonts w:cs="Arial"/>
                <w:sz w:val="24"/>
                <w:szCs w:val="24"/>
                <w:rtl/>
              </w:rPr>
              <w:t>;</w:t>
            </w:r>
          </w:p>
        </w:tc>
      </w:tr>
      <w:tr w:rsidR="008956CB" w:rsidRPr="008956CB" w:rsidTr="00151938">
        <w:trPr>
          <w:cantSplit/>
          <w:trHeight w:val="60"/>
        </w:trPr>
        <w:tc>
          <w:tcPr>
            <w:tcW w:w="624" w:type="dxa"/>
          </w:tcPr>
          <w:p w:rsidR="008956CB" w:rsidRPr="008956CB" w:rsidRDefault="008956CB" w:rsidP="008956CB">
            <w:pPr>
              <w:pStyle w:val="TableText"/>
              <w:rPr>
                <w:rFonts w:cs="Arial"/>
                <w:sz w:val="24"/>
                <w:szCs w:val="24"/>
              </w:rPr>
            </w:pPr>
          </w:p>
        </w:tc>
        <w:tc>
          <w:tcPr>
            <w:tcW w:w="7146" w:type="dxa"/>
            <w:gridSpan w:val="2"/>
          </w:tcPr>
          <w:p w:rsidR="008956CB" w:rsidRPr="008956CB" w:rsidRDefault="008956CB" w:rsidP="008956CB">
            <w:pPr>
              <w:pStyle w:val="TableBlock"/>
              <w:numPr>
                <w:ilvl w:val="0"/>
                <w:numId w:val="9"/>
              </w:numPr>
              <w:tabs>
                <w:tab w:val="left" w:pos="624"/>
              </w:tabs>
              <w:jc w:val="left"/>
              <w:rPr>
                <w:rFonts w:cs="Arial"/>
                <w:sz w:val="24"/>
                <w:szCs w:val="24"/>
              </w:rPr>
            </w:pPr>
            <w:r w:rsidRPr="008956CB">
              <w:rPr>
                <w:rFonts w:cs="Arial"/>
                <w:sz w:val="24"/>
                <w:szCs w:val="24"/>
                <w:rtl/>
              </w:rPr>
              <w:t>הרוכש הגיש את כל הדוחות לפי סעיף 131 או 166(ב) לפקודת מס הכנסה  (להלן- הפקודה) בשל כל אחת משלוש שנות המס הקודמות לשנת הגשת הבקשה אשר היה חייב להגישם לפני מועד הבדיקה;</w:t>
            </w:r>
          </w:p>
        </w:tc>
      </w:tr>
      <w:tr w:rsidR="008956CB" w:rsidRPr="008956CB" w:rsidTr="00151938">
        <w:trPr>
          <w:cantSplit/>
          <w:trHeight w:val="60"/>
        </w:trPr>
        <w:tc>
          <w:tcPr>
            <w:tcW w:w="624" w:type="dxa"/>
          </w:tcPr>
          <w:p w:rsidR="008956CB" w:rsidRPr="008956CB" w:rsidRDefault="008956CB" w:rsidP="008956CB">
            <w:pPr>
              <w:pStyle w:val="TableText"/>
              <w:rPr>
                <w:rFonts w:cs="Arial"/>
                <w:sz w:val="24"/>
                <w:szCs w:val="24"/>
              </w:rPr>
            </w:pPr>
          </w:p>
        </w:tc>
        <w:tc>
          <w:tcPr>
            <w:tcW w:w="7146" w:type="dxa"/>
            <w:gridSpan w:val="2"/>
          </w:tcPr>
          <w:p w:rsidR="008956CB" w:rsidRPr="008956CB" w:rsidRDefault="008956CB" w:rsidP="008956CB">
            <w:pPr>
              <w:pStyle w:val="TableBlock"/>
              <w:numPr>
                <w:ilvl w:val="0"/>
                <w:numId w:val="9"/>
              </w:numPr>
              <w:tabs>
                <w:tab w:val="left" w:pos="624"/>
              </w:tabs>
              <w:jc w:val="left"/>
              <w:rPr>
                <w:rFonts w:cs="Arial"/>
                <w:sz w:val="24"/>
                <w:szCs w:val="24"/>
                <w:rtl/>
              </w:rPr>
            </w:pPr>
            <w:r w:rsidRPr="008956CB">
              <w:rPr>
                <w:rFonts w:cs="Arial"/>
                <w:sz w:val="24"/>
                <w:szCs w:val="24"/>
                <w:rtl/>
              </w:rPr>
              <w:t>הרוכש הגיש את כל הדוחות לפי סעיף 135 לפקודה אשר נדרש להגישם לפני מועד הבדיקה;</w:t>
            </w:r>
          </w:p>
        </w:tc>
      </w:tr>
      <w:tr w:rsidR="008956CB" w:rsidRPr="008956CB" w:rsidTr="00151938">
        <w:trPr>
          <w:cantSplit/>
          <w:trHeight w:val="60"/>
        </w:trPr>
        <w:tc>
          <w:tcPr>
            <w:tcW w:w="624" w:type="dxa"/>
          </w:tcPr>
          <w:p w:rsidR="008956CB" w:rsidRPr="008956CB" w:rsidRDefault="008956CB" w:rsidP="008956CB">
            <w:pPr>
              <w:pStyle w:val="TableText"/>
              <w:rPr>
                <w:rFonts w:cs="Arial"/>
                <w:sz w:val="24"/>
                <w:szCs w:val="24"/>
              </w:rPr>
            </w:pPr>
          </w:p>
        </w:tc>
        <w:tc>
          <w:tcPr>
            <w:tcW w:w="7146" w:type="dxa"/>
            <w:gridSpan w:val="2"/>
          </w:tcPr>
          <w:p w:rsidR="008956CB" w:rsidRPr="008956CB" w:rsidRDefault="008956CB" w:rsidP="008956CB">
            <w:pPr>
              <w:pStyle w:val="TableBlock"/>
              <w:numPr>
                <w:ilvl w:val="0"/>
                <w:numId w:val="9"/>
              </w:numPr>
              <w:tabs>
                <w:tab w:val="left" w:pos="624"/>
              </w:tabs>
              <w:jc w:val="left"/>
              <w:rPr>
                <w:rFonts w:cs="Arial"/>
                <w:sz w:val="24"/>
                <w:szCs w:val="24"/>
                <w:rtl/>
              </w:rPr>
            </w:pPr>
            <w:r w:rsidRPr="008956CB">
              <w:rPr>
                <w:rFonts w:cs="Arial"/>
                <w:sz w:val="24"/>
                <w:szCs w:val="24"/>
                <w:rtl/>
              </w:rPr>
              <w:t xml:space="preserve">לא נקבע לרוכש סכום המס שעליו לשלם לפי סעיף 76(א) לחוק מס ערך מוסף, התשל"ו-1975 (להלן - </w:t>
            </w:r>
            <w:r w:rsidRPr="008956CB">
              <w:rPr>
                <w:rFonts w:cs="Arial"/>
                <w:b/>
                <w:bCs/>
                <w:sz w:val="24"/>
                <w:szCs w:val="24"/>
                <w:rtl/>
              </w:rPr>
              <w:t>חוק מס ערך מוסף</w:t>
            </w:r>
            <w:r w:rsidRPr="008956CB">
              <w:rPr>
                <w:rFonts w:cs="Arial"/>
                <w:sz w:val="24"/>
                <w:szCs w:val="24"/>
                <w:rtl/>
              </w:rPr>
              <w:t>) בחצי השנה שלפני מועד הבדיקה, ולא נקבע לרוכש סכום המס כאמור יותר מפעם אחת בשלוש השנים שקדמו למועד הבדיקה, ולעניין זה לא תילקח בחשבון קביעה כאמור  שהתבטלה או שהוגשה עליה השגה כאמור בסעיף 76(ב)  לחוק מס ערך מוסף.</w:t>
            </w:r>
          </w:p>
        </w:tc>
      </w:tr>
      <w:tr w:rsidR="008956CB" w:rsidRPr="008956CB" w:rsidTr="00151938">
        <w:trPr>
          <w:cantSplit/>
          <w:trHeight w:val="60"/>
        </w:trPr>
        <w:tc>
          <w:tcPr>
            <w:tcW w:w="624" w:type="dxa"/>
          </w:tcPr>
          <w:p w:rsidR="008956CB" w:rsidRPr="008956CB" w:rsidRDefault="008956CB" w:rsidP="008956CB">
            <w:pPr>
              <w:pStyle w:val="TableText"/>
              <w:rPr>
                <w:rFonts w:cs="Arial"/>
                <w:sz w:val="24"/>
                <w:szCs w:val="24"/>
              </w:rPr>
            </w:pPr>
          </w:p>
        </w:tc>
        <w:tc>
          <w:tcPr>
            <w:tcW w:w="7146" w:type="dxa"/>
            <w:gridSpan w:val="2"/>
          </w:tcPr>
          <w:p w:rsidR="008956CB" w:rsidRPr="008956CB" w:rsidRDefault="008956CB" w:rsidP="008956CB">
            <w:pPr>
              <w:pStyle w:val="TableBlock"/>
              <w:numPr>
                <w:ilvl w:val="0"/>
                <w:numId w:val="9"/>
              </w:numPr>
              <w:tabs>
                <w:tab w:val="left" w:pos="624"/>
              </w:tabs>
              <w:jc w:val="left"/>
              <w:rPr>
                <w:rFonts w:cs="Arial"/>
                <w:sz w:val="24"/>
                <w:szCs w:val="24"/>
                <w:rtl/>
              </w:rPr>
            </w:pPr>
            <w:r w:rsidRPr="008956CB">
              <w:rPr>
                <w:rFonts w:cs="Arial"/>
                <w:sz w:val="24"/>
                <w:szCs w:val="24"/>
                <w:rtl/>
              </w:rPr>
              <w:t>בתקופה המתחילה 5 שנים לפני מועד הבדיקה, לא הוטל על הרוכש קנס גרעון כאמור בסעיף 95 לחוק שעליו אין עוד זכות לערעור, והמנהל לא פטר את האדם מתשלום הקנס כולו לפי סמכותו בסעיף 95(ד) לחוק.</w:t>
            </w:r>
          </w:p>
        </w:tc>
      </w:tr>
      <w:tr w:rsidR="008956CB" w:rsidRPr="008956CB" w:rsidTr="00151938">
        <w:trPr>
          <w:cantSplit/>
          <w:trHeight w:val="60"/>
        </w:trPr>
        <w:tc>
          <w:tcPr>
            <w:tcW w:w="624" w:type="dxa"/>
          </w:tcPr>
          <w:p w:rsidR="008956CB" w:rsidRPr="008956CB" w:rsidRDefault="008956CB" w:rsidP="008956CB">
            <w:pPr>
              <w:pStyle w:val="TableText"/>
              <w:rPr>
                <w:rFonts w:cs="Arial"/>
                <w:sz w:val="24"/>
                <w:szCs w:val="24"/>
              </w:rPr>
            </w:pPr>
          </w:p>
        </w:tc>
        <w:tc>
          <w:tcPr>
            <w:tcW w:w="7146" w:type="dxa"/>
            <w:gridSpan w:val="2"/>
          </w:tcPr>
          <w:p w:rsidR="008956CB" w:rsidRPr="008956CB" w:rsidRDefault="008956CB" w:rsidP="008956CB">
            <w:pPr>
              <w:pStyle w:val="TableBlock"/>
              <w:numPr>
                <w:ilvl w:val="0"/>
                <w:numId w:val="9"/>
              </w:numPr>
              <w:tabs>
                <w:tab w:val="left" w:pos="624"/>
              </w:tabs>
              <w:jc w:val="left"/>
              <w:rPr>
                <w:rFonts w:cs="Arial"/>
                <w:sz w:val="24"/>
                <w:szCs w:val="24"/>
                <w:rtl/>
              </w:rPr>
            </w:pPr>
            <w:r w:rsidRPr="008956CB">
              <w:rPr>
                <w:rFonts w:cs="Arial"/>
                <w:sz w:val="24"/>
                <w:szCs w:val="24"/>
                <w:rtl/>
              </w:rPr>
              <w:t>במועד הבדיקה לא מתקיימת בעניינו של הרוכש חקירה בקשר עם עבירות לפי סעיף 98 לחוק, לפי סעיף 215 עד 220 לפקודה או לפי סעיפים 117 עד 118 לחוק מס ערך מוסף;</w:t>
            </w:r>
          </w:p>
        </w:tc>
      </w:tr>
      <w:tr w:rsidR="008956CB" w:rsidRPr="008956CB" w:rsidTr="00151938">
        <w:trPr>
          <w:cantSplit/>
          <w:trHeight w:val="60"/>
        </w:trPr>
        <w:tc>
          <w:tcPr>
            <w:tcW w:w="624" w:type="dxa"/>
          </w:tcPr>
          <w:p w:rsidR="008956CB" w:rsidRPr="008956CB" w:rsidRDefault="008956CB" w:rsidP="008956CB">
            <w:pPr>
              <w:pStyle w:val="TableText"/>
              <w:rPr>
                <w:rFonts w:cs="Arial"/>
                <w:sz w:val="24"/>
                <w:szCs w:val="24"/>
              </w:rPr>
            </w:pPr>
          </w:p>
        </w:tc>
        <w:tc>
          <w:tcPr>
            <w:tcW w:w="7146" w:type="dxa"/>
            <w:gridSpan w:val="2"/>
          </w:tcPr>
          <w:p w:rsidR="008956CB" w:rsidRPr="008956CB" w:rsidRDefault="008956CB" w:rsidP="008956CB">
            <w:pPr>
              <w:pStyle w:val="TableBlock"/>
              <w:numPr>
                <w:ilvl w:val="0"/>
                <w:numId w:val="9"/>
              </w:numPr>
              <w:tabs>
                <w:tab w:val="left" w:pos="624"/>
              </w:tabs>
              <w:jc w:val="left"/>
              <w:rPr>
                <w:rFonts w:cs="Arial"/>
                <w:sz w:val="24"/>
                <w:szCs w:val="24"/>
                <w:rtl/>
              </w:rPr>
            </w:pPr>
            <w:r w:rsidRPr="008956CB">
              <w:rPr>
                <w:rFonts w:cs="Arial"/>
                <w:sz w:val="24"/>
                <w:szCs w:val="24"/>
                <w:rtl/>
              </w:rPr>
              <w:t xml:space="preserve">בתקופה המתחילה 7 שנים לפני מועד הבדיקה לא הורשע הרוכש בעבירה לפי אחד הסעיפים האמורים בפסקה (6), ולא הוטל עליו כופר כסף לפי סעיף 101 לחוק זה, לפי סעיף 221 לפקודה או לפי סעיף 121 לחוק מס ערך מוסף בשל עבירה לפי אותם סעיפים; </w:t>
            </w:r>
          </w:p>
        </w:tc>
      </w:tr>
      <w:tr w:rsidR="008956CB" w:rsidRPr="008956CB" w:rsidTr="00151938">
        <w:trPr>
          <w:cantSplit/>
          <w:trHeight w:val="60"/>
        </w:trPr>
        <w:tc>
          <w:tcPr>
            <w:tcW w:w="624" w:type="dxa"/>
          </w:tcPr>
          <w:p w:rsidR="008956CB" w:rsidRPr="008956CB" w:rsidRDefault="008956CB" w:rsidP="008956CB">
            <w:pPr>
              <w:pStyle w:val="TableText"/>
              <w:rPr>
                <w:rFonts w:cs="Arial"/>
                <w:sz w:val="24"/>
                <w:szCs w:val="24"/>
              </w:rPr>
            </w:pPr>
          </w:p>
        </w:tc>
        <w:tc>
          <w:tcPr>
            <w:tcW w:w="7146" w:type="dxa"/>
            <w:gridSpan w:val="2"/>
          </w:tcPr>
          <w:p w:rsidR="008956CB" w:rsidRPr="008956CB" w:rsidRDefault="008956CB" w:rsidP="008956CB">
            <w:pPr>
              <w:pStyle w:val="TableBlock"/>
              <w:numPr>
                <w:ilvl w:val="0"/>
                <w:numId w:val="9"/>
              </w:numPr>
              <w:tabs>
                <w:tab w:val="left" w:pos="624"/>
              </w:tabs>
              <w:jc w:val="left"/>
              <w:rPr>
                <w:rFonts w:cs="Arial"/>
                <w:sz w:val="24"/>
                <w:szCs w:val="24"/>
                <w:rtl/>
              </w:rPr>
            </w:pPr>
            <w:r w:rsidRPr="008956CB">
              <w:rPr>
                <w:rFonts w:cs="Arial"/>
                <w:sz w:val="24"/>
                <w:szCs w:val="24"/>
                <w:rtl/>
              </w:rPr>
              <w:t xml:space="preserve">אין לרוכש חוב בשל קנס מנהלי כאמור בתקנות העבירות </w:t>
            </w:r>
            <w:proofErr w:type="spellStart"/>
            <w:r w:rsidRPr="008956CB">
              <w:rPr>
                <w:rFonts w:cs="Arial"/>
                <w:sz w:val="24"/>
                <w:szCs w:val="24"/>
                <w:rtl/>
              </w:rPr>
              <w:t>המינהליות</w:t>
            </w:r>
            <w:proofErr w:type="spellEnd"/>
            <w:r w:rsidRPr="008956CB">
              <w:rPr>
                <w:rFonts w:cs="Arial"/>
                <w:sz w:val="24"/>
                <w:szCs w:val="24"/>
                <w:rtl/>
              </w:rPr>
              <w:t xml:space="preserve"> (קנס </w:t>
            </w:r>
            <w:proofErr w:type="spellStart"/>
            <w:r w:rsidRPr="008956CB">
              <w:rPr>
                <w:rFonts w:cs="Arial"/>
                <w:sz w:val="24"/>
                <w:szCs w:val="24"/>
                <w:rtl/>
              </w:rPr>
              <w:t>מינהלי</w:t>
            </w:r>
            <w:proofErr w:type="spellEnd"/>
            <w:r w:rsidRPr="008956CB">
              <w:rPr>
                <w:rFonts w:cs="Arial"/>
                <w:sz w:val="24"/>
                <w:szCs w:val="24"/>
                <w:rtl/>
              </w:rPr>
              <w:t xml:space="preserve"> – חיקוקי מסים), התשמ"ז-1987; </w:t>
            </w:r>
          </w:p>
        </w:tc>
      </w:tr>
      <w:tr w:rsidR="008956CB" w:rsidRPr="008956CB" w:rsidTr="00151938">
        <w:trPr>
          <w:cantSplit/>
          <w:trHeight w:val="60"/>
        </w:trPr>
        <w:tc>
          <w:tcPr>
            <w:tcW w:w="624" w:type="dxa"/>
          </w:tcPr>
          <w:p w:rsidR="008956CB" w:rsidRPr="008956CB" w:rsidRDefault="008956CB" w:rsidP="008956CB">
            <w:pPr>
              <w:pStyle w:val="TableText"/>
              <w:rPr>
                <w:rFonts w:cs="Arial"/>
                <w:sz w:val="24"/>
                <w:szCs w:val="24"/>
              </w:rPr>
            </w:pPr>
          </w:p>
        </w:tc>
        <w:tc>
          <w:tcPr>
            <w:tcW w:w="7146" w:type="dxa"/>
            <w:gridSpan w:val="2"/>
          </w:tcPr>
          <w:p w:rsidR="008956CB" w:rsidRPr="008956CB" w:rsidRDefault="008956CB" w:rsidP="008956CB">
            <w:pPr>
              <w:pStyle w:val="TableBlock"/>
              <w:numPr>
                <w:ilvl w:val="0"/>
                <w:numId w:val="9"/>
              </w:numPr>
              <w:tabs>
                <w:tab w:val="left" w:pos="624"/>
              </w:tabs>
              <w:jc w:val="left"/>
              <w:rPr>
                <w:rFonts w:cs="Arial"/>
                <w:sz w:val="24"/>
                <w:szCs w:val="24"/>
                <w:rtl/>
              </w:rPr>
            </w:pPr>
            <w:r w:rsidRPr="008956CB">
              <w:rPr>
                <w:rFonts w:cs="Arial"/>
                <w:sz w:val="24"/>
                <w:szCs w:val="24"/>
                <w:rtl/>
              </w:rPr>
              <w:t xml:space="preserve">השומה העצמית של הרוכש אינה מותנית בהתקיימות תנאי עתידי אשר טרם התקיים; </w:t>
            </w:r>
          </w:p>
        </w:tc>
      </w:tr>
      <w:tr w:rsidR="008956CB" w:rsidRPr="006F7843" w:rsidTr="00151938">
        <w:trPr>
          <w:cantSplit/>
          <w:trHeight w:val="60"/>
        </w:trPr>
        <w:tc>
          <w:tcPr>
            <w:tcW w:w="624" w:type="dxa"/>
          </w:tcPr>
          <w:p w:rsidR="008956CB" w:rsidRPr="003C258A" w:rsidRDefault="008956CB" w:rsidP="008956CB">
            <w:pPr>
              <w:pStyle w:val="TableText"/>
              <w:rPr>
                <w:rFonts w:ascii="David" w:hAnsi="David"/>
              </w:rPr>
            </w:pPr>
          </w:p>
        </w:tc>
        <w:tc>
          <w:tcPr>
            <w:tcW w:w="7146" w:type="dxa"/>
            <w:gridSpan w:val="2"/>
          </w:tcPr>
          <w:p w:rsidR="008956CB" w:rsidRPr="008956CB" w:rsidRDefault="008956CB" w:rsidP="008956CB">
            <w:pPr>
              <w:pStyle w:val="TableBlock"/>
              <w:numPr>
                <w:ilvl w:val="0"/>
                <w:numId w:val="9"/>
              </w:numPr>
              <w:tabs>
                <w:tab w:val="left" w:pos="624"/>
              </w:tabs>
              <w:jc w:val="left"/>
              <w:rPr>
                <w:rFonts w:cs="Arial"/>
                <w:sz w:val="24"/>
                <w:szCs w:val="24"/>
              </w:rPr>
            </w:pPr>
            <w:r w:rsidRPr="008956CB">
              <w:rPr>
                <w:rFonts w:cs="Arial"/>
                <w:sz w:val="24"/>
                <w:szCs w:val="24"/>
                <w:rtl/>
              </w:rPr>
              <w:t>הרוכש מסר למנהל הצהרה כאמור בסעיף 73(ג) לחוק בתוך התקופה הקבועה באותו סעיף.</w:t>
            </w:r>
          </w:p>
          <w:p w:rsidR="008956CB" w:rsidRPr="008C7CC0" w:rsidRDefault="008956CB" w:rsidP="008956CB">
            <w:pPr>
              <w:pStyle w:val="TableBlock"/>
              <w:spacing w:before="240"/>
              <w:jc w:val="left"/>
              <w:rPr>
                <w:rFonts w:cs="Arial"/>
                <w:b/>
                <w:bCs/>
                <w:sz w:val="24"/>
                <w:szCs w:val="24"/>
                <w:rtl/>
              </w:rPr>
            </w:pPr>
            <w:r w:rsidRPr="008C7CC0">
              <w:rPr>
                <w:rFonts w:cs="Arial"/>
                <w:b/>
                <w:bCs/>
                <w:sz w:val="24"/>
                <w:szCs w:val="24"/>
                <w:rtl/>
              </w:rPr>
              <w:t>תוקף</w:t>
            </w:r>
          </w:p>
        </w:tc>
      </w:tr>
      <w:tr w:rsidR="008956CB" w:rsidRPr="006F7843" w:rsidTr="00151938">
        <w:trPr>
          <w:cantSplit/>
          <w:trHeight w:val="60"/>
        </w:trPr>
        <w:tc>
          <w:tcPr>
            <w:tcW w:w="624" w:type="dxa"/>
          </w:tcPr>
          <w:p w:rsidR="008956CB" w:rsidRPr="003C258A" w:rsidRDefault="008956CB" w:rsidP="008956CB">
            <w:pPr>
              <w:pStyle w:val="TableText"/>
              <w:keepLines w:val="0"/>
              <w:numPr>
                <w:ilvl w:val="0"/>
                <w:numId w:val="8"/>
              </w:numPr>
              <w:rPr>
                <w:rFonts w:ascii="David" w:hAnsi="David"/>
              </w:rPr>
            </w:pPr>
          </w:p>
        </w:tc>
        <w:tc>
          <w:tcPr>
            <w:tcW w:w="7146" w:type="dxa"/>
            <w:gridSpan w:val="2"/>
          </w:tcPr>
          <w:p w:rsidR="008956CB" w:rsidRPr="008956CB" w:rsidRDefault="008956CB" w:rsidP="008956CB">
            <w:pPr>
              <w:pStyle w:val="TableBlock"/>
              <w:keepLines w:val="0"/>
              <w:jc w:val="left"/>
              <w:rPr>
                <w:rFonts w:cs="Arial"/>
                <w:sz w:val="24"/>
                <w:szCs w:val="24"/>
              </w:rPr>
            </w:pPr>
            <w:r w:rsidRPr="008956CB">
              <w:rPr>
                <w:rFonts w:cs="Arial"/>
                <w:sz w:val="24"/>
                <w:szCs w:val="24"/>
                <w:rtl/>
              </w:rPr>
              <w:t>הוראות אלה יעמדו בתוקפן בתקופה הקבועה בסעיף 53(א) לחוק התכנית הכלכלית (תיקוני חקיקה ליישום המדיניות הכלכלית לשנות התקציב 2017 ו-2018), התשע"ז-2016.</w:t>
            </w:r>
          </w:p>
        </w:tc>
      </w:tr>
    </w:tbl>
    <w:p w:rsidR="008956CB" w:rsidRPr="008956CB" w:rsidRDefault="008956CB" w:rsidP="008956CB">
      <w:pPr>
        <w:pStyle w:val="a3"/>
        <w:ind w:left="-199"/>
        <w:rPr>
          <w:rFonts w:ascii="Arial" w:hAnsi="Arial" w:cs="Arial"/>
          <w:b/>
          <w:bCs/>
          <w:rtl/>
        </w:rPr>
      </w:pPr>
    </w:p>
    <w:sectPr w:rsidR="008956CB" w:rsidRPr="008956CB" w:rsidSect="00794A22">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8A8" w:rsidRDefault="009A78A8" w:rsidP="003820E8">
      <w:pPr>
        <w:spacing w:after="0" w:line="240" w:lineRule="auto"/>
      </w:pPr>
      <w:r>
        <w:separator/>
      </w:r>
    </w:p>
  </w:endnote>
  <w:endnote w:type="continuationSeparator" w:id="0">
    <w:p w:rsidR="009A78A8" w:rsidRDefault="009A78A8" w:rsidP="0038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8A8" w:rsidRDefault="009A78A8" w:rsidP="003820E8">
      <w:pPr>
        <w:spacing w:after="0" w:line="240" w:lineRule="auto"/>
      </w:pPr>
      <w:r>
        <w:separator/>
      </w:r>
    </w:p>
  </w:footnote>
  <w:footnote w:type="continuationSeparator" w:id="0">
    <w:p w:rsidR="009A78A8" w:rsidRDefault="009A78A8" w:rsidP="00382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0E8" w:rsidRDefault="003820E8" w:rsidP="003820E8">
    <w:pPr>
      <w:pStyle w:val="a4"/>
      <w:jc w:val="center"/>
    </w:pPr>
    <w:r>
      <w:rPr>
        <w:noProof/>
      </w:rPr>
      <w:drawing>
        <wp:inline distT="0" distB="0" distL="0" distR="0" wp14:anchorId="7D78EDC4" wp14:editId="234663BA">
          <wp:extent cx="895350" cy="895350"/>
          <wp:effectExtent l="0" t="0" r="0" b="0"/>
          <wp:docPr id="1" name="תמונה 1" title="לוגו של אתר רשות המסים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97470"/>
    <w:multiLevelType w:val="hybridMultilevel"/>
    <w:tmpl w:val="4646766C"/>
    <w:lvl w:ilvl="0" w:tplc="3D123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B0D9B"/>
    <w:multiLevelType w:val="hybridMultilevel"/>
    <w:tmpl w:val="AB46199C"/>
    <w:lvl w:ilvl="0" w:tplc="76D2F85A">
      <w:start w:val="1"/>
      <w:numFmt w:val="bullet"/>
      <w:lvlText w:val=""/>
      <w:lvlJc w:val="left"/>
      <w:pPr>
        <w:ind w:left="1080" w:hanging="360"/>
      </w:pPr>
      <w:rPr>
        <w:rFonts w:ascii="Wingdings" w:hAnsi="Wingdings" w:hint="default"/>
      </w:rPr>
    </w:lvl>
    <w:lvl w:ilvl="1" w:tplc="76D2F85A">
      <w:start w:val="1"/>
      <w:numFmt w:val="bullet"/>
      <w:lvlText w:val=""/>
      <w:lvlJc w:val="left"/>
      <w:pPr>
        <w:ind w:left="709"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C82374"/>
    <w:multiLevelType w:val="hybridMultilevel"/>
    <w:tmpl w:val="B27E1168"/>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462078E5"/>
    <w:multiLevelType w:val="hybridMultilevel"/>
    <w:tmpl w:val="777C6AD0"/>
    <w:lvl w:ilvl="0" w:tplc="76D2F85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3E496D"/>
    <w:multiLevelType w:val="hybridMultilevel"/>
    <w:tmpl w:val="29DEA81C"/>
    <w:lvl w:ilvl="0" w:tplc="76D2F85A">
      <w:start w:val="1"/>
      <w:numFmt w:val="bullet"/>
      <w:lvlText w:val=""/>
      <w:lvlJc w:val="left"/>
      <w:pPr>
        <w:ind w:left="3202" w:hanging="360"/>
      </w:pPr>
      <w:rPr>
        <w:rFonts w:ascii="Wingdings" w:hAnsi="Wingdings" w:hint="default"/>
      </w:rPr>
    </w:lvl>
    <w:lvl w:ilvl="1" w:tplc="04090003" w:tentative="1">
      <w:start w:val="1"/>
      <w:numFmt w:val="bullet"/>
      <w:lvlText w:val="o"/>
      <w:lvlJc w:val="left"/>
      <w:pPr>
        <w:ind w:left="3922" w:hanging="360"/>
      </w:pPr>
      <w:rPr>
        <w:rFonts w:ascii="Courier New" w:hAnsi="Courier New" w:cs="Courier New" w:hint="default"/>
      </w:rPr>
    </w:lvl>
    <w:lvl w:ilvl="2" w:tplc="04090005" w:tentative="1">
      <w:start w:val="1"/>
      <w:numFmt w:val="bullet"/>
      <w:lvlText w:val=""/>
      <w:lvlJc w:val="left"/>
      <w:pPr>
        <w:ind w:left="4642" w:hanging="360"/>
      </w:pPr>
      <w:rPr>
        <w:rFonts w:ascii="Wingdings" w:hAnsi="Wingdings" w:hint="default"/>
      </w:rPr>
    </w:lvl>
    <w:lvl w:ilvl="3" w:tplc="04090001" w:tentative="1">
      <w:start w:val="1"/>
      <w:numFmt w:val="bullet"/>
      <w:lvlText w:val=""/>
      <w:lvlJc w:val="left"/>
      <w:pPr>
        <w:ind w:left="5362" w:hanging="360"/>
      </w:pPr>
      <w:rPr>
        <w:rFonts w:ascii="Symbol" w:hAnsi="Symbol" w:hint="default"/>
      </w:rPr>
    </w:lvl>
    <w:lvl w:ilvl="4" w:tplc="04090003" w:tentative="1">
      <w:start w:val="1"/>
      <w:numFmt w:val="bullet"/>
      <w:lvlText w:val="o"/>
      <w:lvlJc w:val="left"/>
      <w:pPr>
        <w:ind w:left="6082" w:hanging="360"/>
      </w:pPr>
      <w:rPr>
        <w:rFonts w:ascii="Courier New" w:hAnsi="Courier New" w:cs="Courier New" w:hint="default"/>
      </w:rPr>
    </w:lvl>
    <w:lvl w:ilvl="5" w:tplc="04090005" w:tentative="1">
      <w:start w:val="1"/>
      <w:numFmt w:val="bullet"/>
      <w:lvlText w:val=""/>
      <w:lvlJc w:val="left"/>
      <w:pPr>
        <w:ind w:left="6802" w:hanging="360"/>
      </w:pPr>
      <w:rPr>
        <w:rFonts w:ascii="Wingdings" w:hAnsi="Wingdings" w:hint="default"/>
      </w:rPr>
    </w:lvl>
    <w:lvl w:ilvl="6" w:tplc="04090001" w:tentative="1">
      <w:start w:val="1"/>
      <w:numFmt w:val="bullet"/>
      <w:lvlText w:val=""/>
      <w:lvlJc w:val="left"/>
      <w:pPr>
        <w:ind w:left="7522" w:hanging="360"/>
      </w:pPr>
      <w:rPr>
        <w:rFonts w:ascii="Symbol" w:hAnsi="Symbol" w:hint="default"/>
      </w:rPr>
    </w:lvl>
    <w:lvl w:ilvl="7" w:tplc="04090003" w:tentative="1">
      <w:start w:val="1"/>
      <w:numFmt w:val="bullet"/>
      <w:lvlText w:val="o"/>
      <w:lvlJc w:val="left"/>
      <w:pPr>
        <w:ind w:left="8242" w:hanging="360"/>
      </w:pPr>
      <w:rPr>
        <w:rFonts w:ascii="Courier New" w:hAnsi="Courier New" w:cs="Courier New" w:hint="default"/>
      </w:rPr>
    </w:lvl>
    <w:lvl w:ilvl="8" w:tplc="04090005" w:tentative="1">
      <w:start w:val="1"/>
      <w:numFmt w:val="bullet"/>
      <w:lvlText w:val=""/>
      <w:lvlJc w:val="left"/>
      <w:pPr>
        <w:ind w:left="8962" w:hanging="360"/>
      </w:pPr>
      <w:rPr>
        <w:rFonts w:ascii="Wingdings" w:hAnsi="Wingdings" w:hint="default"/>
      </w:rPr>
    </w:lvl>
  </w:abstractNum>
  <w:abstractNum w:abstractNumId="5" w15:restartNumberingAfterBreak="0">
    <w:nsid w:val="5FE7738F"/>
    <w:multiLevelType w:val="hybridMultilevel"/>
    <w:tmpl w:val="E5E080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F35DB"/>
    <w:multiLevelType w:val="hybridMultilevel"/>
    <w:tmpl w:val="474A6694"/>
    <w:lvl w:ilvl="0" w:tplc="DA1024AE">
      <w:start w:val="1"/>
      <w:numFmt w:val="hebrew1"/>
      <w:lvlText w:val="%1."/>
      <w:lvlJc w:val="left"/>
      <w:pPr>
        <w:ind w:left="1080" w:hanging="360"/>
      </w:pPr>
      <w:rPr>
        <w:rFonts w:hint="default"/>
        <w:lang w:val="en-U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A45143"/>
    <w:multiLevelType w:val="hybridMultilevel"/>
    <w:tmpl w:val="80CCA360"/>
    <w:lvl w:ilvl="0" w:tplc="F7AE78F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3C544D"/>
    <w:multiLevelType w:val="hybridMultilevel"/>
    <w:tmpl w:val="2A0A2A84"/>
    <w:lvl w:ilvl="0" w:tplc="7C821FC8">
      <w:start w:val="1"/>
      <w:numFmt w:val="decimal"/>
      <w:lvlText w:val="%1."/>
      <w:lvlJc w:val="left"/>
      <w:pPr>
        <w:tabs>
          <w:tab w:val="num" w:pos="0"/>
        </w:tabs>
        <w:ind w:left="0" w:firstLine="0"/>
      </w:pPr>
      <w:rPr>
        <w:rFonts w:ascii="Arial" w:hAnsi="Arial" w:cs="Arial"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2C"/>
    <w:rsid w:val="001A67DB"/>
    <w:rsid w:val="00201715"/>
    <w:rsid w:val="0024209D"/>
    <w:rsid w:val="002C7036"/>
    <w:rsid w:val="00335AC2"/>
    <w:rsid w:val="003820E8"/>
    <w:rsid w:val="0040312C"/>
    <w:rsid w:val="00602588"/>
    <w:rsid w:val="00794A22"/>
    <w:rsid w:val="008956CB"/>
    <w:rsid w:val="008C7CC0"/>
    <w:rsid w:val="009A78A8"/>
    <w:rsid w:val="00D10E19"/>
    <w:rsid w:val="00D31E7C"/>
    <w:rsid w:val="00E473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35E8E44-9FBC-4F20-A5C7-49502EA8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D31E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12C"/>
    <w:pPr>
      <w:ind w:left="720"/>
      <w:contextualSpacing/>
    </w:pPr>
  </w:style>
  <w:style w:type="paragraph" w:styleId="a4">
    <w:name w:val="header"/>
    <w:basedOn w:val="a"/>
    <w:link w:val="a5"/>
    <w:uiPriority w:val="99"/>
    <w:unhideWhenUsed/>
    <w:rsid w:val="003820E8"/>
    <w:pPr>
      <w:tabs>
        <w:tab w:val="center" w:pos="4153"/>
        <w:tab w:val="right" w:pos="8306"/>
      </w:tabs>
      <w:spacing w:after="0" w:line="240" w:lineRule="auto"/>
    </w:pPr>
  </w:style>
  <w:style w:type="character" w:customStyle="1" w:styleId="a5">
    <w:name w:val="כותרת עליונה תו"/>
    <w:basedOn w:val="a0"/>
    <w:link w:val="a4"/>
    <w:uiPriority w:val="99"/>
    <w:rsid w:val="003820E8"/>
  </w:style>
  <w:style w:type="paragraph" w:styleId="a6">
    <w:name w:val="footer"/>
    <w:basedOn w:val="a"/>
    <w:link w:val="a7"/>
    <w:uiPriority w:val="99"/>
    <w:unhideWhenUsed/>
    <w:rsid w:val="003820E8"/>
    <w:pPr>
      <w:tabs>
        <w:tab w:val="center" w:pos="4153"/>
        <w:tab w:val="right" w:pos="8306"/>
      </w:tabs>
      <w:spacing w:after="0" w:line="240" w:lineRule="auto"/>
    </w:pPr>
  </w:style>
  <w:style w:type="character" w:customStyle="1" w:styleId="a7">
    <w:name w:val="כותרת תחתונה תו"/>
    <w:basedOn w:val="a0"/>
    <w:link w:val="a6"/>
    <w:uiPriority w:val="99"/>
    <w:rsid w:val="003820E8"/>
  </w:style>
  <w:style w:type="paragraph" w:customStyle="1" w:styleId="TableText">
    <w:name w:val="Table Text"/>
    <w:basedOn w:val="a"/>
    <w:rsid w:val="008956CB"/>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Block">
    <w:name w:val="Table Block"/>
    <w:basedOn w:val="TableText"/>
    <w:rsid w:val="008956CB"/>
    <w:pPr>
      <w:ind w:right="0"/>
      <w:jc w:val="both"/>
    </w:pPr>
  </w:style>
  <w:style w:type="paragraph" w:customStyle="1" w:styleId="TableBlockOutdent">
    <w:name w:val="Table BlockOutdent"/>
    <w:basedOn w:val="TableBlock"/>
    <w:rsid w:val="008956CB"/>
    <w:pPr>
      <w:ind w:left="624" w:hanging="624"/>
    </w:pPr>
  </w:style>
  <w:style w:type="character" w:customStyle="1" w:styleId="10">
    <w:name w:val="כותרת 1 תו"/>
    <w:basedOn w:val="a0"/>
    <w:link w:val="1"/>
    <w:uiPriority w:val="9"/>
    <w:rsid w:val="00D31E7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4165FA728140404DB5CE41B55CDD2CF7" ma:contentTypeVersion="11" ma:contentTypeDescription="צור מסמך חדש." ma:contentTypeScope="" ma:versionID="b6ab1e82e98b4c37acf0f0087e7819d5">
  <xsd:schema xmlns:xsd="http://www.w3.org/2001/XMLSchema" xmlns:xs="http://www.w3.org/2001/XMLSchema" xmlns:p="http://schemas.microsoft.com/office/2006/metadata/properties" xmlns:ns1="http://schemas.microsoft.com/sharepoint/v3" xmlns:ns2="605e85f2-268e-450d-9afb-d305d42b267e" targetNamespace="http://schemas.microsoft.com/office/2006/metadata/properties" ma:root="true" ma:fieldsID="bace4d496520f808c0ba5684e09d4b85" ns1:_="" ns2:_="">
    <xsd:import namespace="http://schemas.microsoft.com/sharepoint/v3"/>
    <xsd:import namespace="605e85f2-268e-450d-9afb-d305d42b267e"/>
    <xsd:element name="properties">
      <xsd:complexType>
        <xsd:sequence>
          <xsd:element name="documentManagement">
            <xsd:complexType>
              <xsd:all>
                <xsd:element ref="ns1:PublishingStartDate" minOccurs="0"/>
                <xsd:element ref="ns1:PublishingExpirationDate" minOccurs="0"/>
                <xsd:element ref="ns2:TaxesSearchTitle" minOccurs="0"/>
                <xsd:element ref="ns2:TaxesSearch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TaxesSearchTitle" ma:index="10" nillable="true" ma:displayName="TaxesSearchTitle" ma:internalName="TaxesSearchTitle">
      <xsd:simpleType>
        <xsd:restriction base="dms:Text">
          <xsd:maxLength value="255"/>
        </xsd:restriction>
      </xsd:simpleType>
    </xsd:element>
    <xsd:element name="TaxesSearchDescription" ma:index="11" nillable="true" ma:displayName="TaxesSearchDescription" ma:internalName="TaxesSearch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esSearchTitle xmlns="605e85f2-268e-450d-9afb-d305d42b267e">טופס מיסוי מקרקעין מספר 7160 - בקשה לקבלת אישור מקדמה למס רכישה לרישום בפנקסי המקרקעין </TaxesSearchTitle>
    <TaxesSearchDescription xmlns="605e85f2-268e-450d-9afb-d305d42b267e"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24F0DF-3F55-4408-82E0-A59EFC9B3808}"/>
</file>

<file path=customXml/itemProps2.xml><?xml version="1.0" encoding="utf-8"?>
<ds:datastoreItem xmlns:ds="http://schemas.openxmlformats.org/officeDocument/2006/customXml" ds:itemID="{4E36CEAA-194E-441A-8BD9-31D49E58349C}"/>
</file>

<file path=customXml/itemProps3.xml><?xml version="1.0" encoding="utf-8"?>
<ds:datastoreItem xmlns:ds="http://schemas.openxmlformats.org/officeDocument/2006/customXml" ds:itemID="{E7195721-72E0-42FC-AA9A-43C2F004C060}"/>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3118</Characters>
  <Application>Microsoft Office Word</Application>
  <DocSecurity>4</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מיסוי מקרקעין מספר 7160 - בקשה לקבלת אישור מקדמה למס רכישה לרישום בפנקסי המקרקעין </dc:title>
  <dc:subject/>
  <dc:creator>AvivaMe</dc:creator>
  <cp:keywords/>
  <dc:description/>
  <cp:lastModifiedBy>לירון כהן</cp:lastModifiedBy>
  <cp:revision>2</cp:revision>
  <dcterms:created xsi:type="dcterms:W3CDTF">2018-06-25T09:52:00Z</dcterms:created>
  <dcterms:modified xsi:type="dcterms:W3CDTF">2018-06-25T09:52:00Z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0x0101004165FA728140404DB5CE41B55CDD2CF7</vt:lpwstr>
  </property>
</Properties>
</file>