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83D" w:rsidRDefault="00266D19">
      <w:pPr>
        <w:rPr>
          <w:rtl/>
        </w:rPr>
      </w:pPr>
      <w:r>
        <w:rPr>
          <w:rFonts w:hint="cs"/>
          <w:rtl/>
        </w:rPr>
        <w:t>רשות המסים בישראל</w:t>
      </w:r>
    </w:p>
    <w:p w:rsidR="00266D19" w:rsidRDefault="00266D19">
      <w:pPr>
        <w:rPr>
          <w:rtl/>
        </w:rPr>
      </w:pPr>
      <w:r>
        <w:rPr>
          <w:rFonts w:hint="cs"/>
          <w:rtl/>
        </w:rPr>
        <w:t>945</w:t>
      </w:r>
    </w:p>
    <w:p w:rsidR="00266D19" w:rsidRDefault="00266D19">
      <w:pPr>
        <w:rPr>
          <w:rtl/>
        </w:rPr>
      </w:pPr>
      <w:r>
        <w:rPr>
          <w:rFonts w:hint="cs"/>
          <w:rtl/>
        </w:rPr>
        <w:t>דף 1 מתוך 3</w:t>
      </w:r>
    </w:p>
    <w:p w:rsidR="00266D19" w:rsidRDefault="00266D19" w:rsidP="00266D19">
      <w:pPr>
        <w:rPr>
          <w:rtl/>
        </w:rPr>
      </w:pPr>
      <w:r>
        <w:rPr>
          <w:rFonts w:cs="Arial"/>
          <w:rtl/>
        </w:rPr>
        <w:t>בקשה להחלטת מיסוי בהסכם ב"מסלול ירוק"</w:t>
      </w:r>
      <w:r>
        <w:rPr>
          <w:rFonts w:hint="cs"/>
          <w:rtl/>
        </w:rPr>
        <w:t xml:space="preserve"> </w:t>
      </w:r>
      <w:r>
        <w:rPr>
          <w:rFonts w:cs="Arial"/>
          <w:rtl/>
        </w:rPr>
        <w:t>בנושא: אישור סיווג כמלכ"ר לעניין חוק מע"מ</w:t>
      </w:r>
      <w:r>
        <w:rPr>
          <w:rFonts w:hint="cs"/>
          <w:rtl/>
        </w:rPr>
        <w:t xml:space="preserve"> </w:t>
      </w:r>
      <w:r>
        <w:rPr>
          <w:rFonts w:cs="Arial"/>
          <w:rtl/>
        </w:rPr>
        <w:t>לצורך השתתפות במכרז</w:t>
      </w:r>
    </w:p>
    <w:p w:rsidR="00266D19" w:rsidRDefault="00266D19" w:rsidP="00266D19">
      <w:pPr>
        <w:rPr>
          <w:rtl/>
        </w:rPr>
      </w:pPr>
      <w:r>
        <w:rPr>
          <w:rFonts w:hint="cs"/>
          <w:rtl/>
        </w:rPr>
        <w:t>לשימוש המשרד מספר בקשה</w:t>
      </w:r>
    </w:p>
    <w:p w:rsidR="00266D19" w:rsidRDefault="00266D19" w:rsidP="00266D19">
      <w:pPr>
        <w:rPr>
          <w:rFonts w:cs="Arial"/>
          <w:rtl/>
        </w:rPr>
      </w:pPr>
      <w:r>
        <w:rPr>
          <w:rFonts w:cs="Arial"/>
          <w:rtl/>
        </w:rPr>
        <w:t xml:space="preserve">מסלול ירוק זה מפורסם על רקע החלטת בית המשפט העליון(1) </w:t>
      </w:r>
    </w:p>
    <w:p w:rsidR="00266D19" w:rsidRPr="00266D19" w:rsidRDefault="00266D19" w:rsidP="00266D19">
      <w:pPr>
        <w:rPr>
          <w:rFonts w:cs="Arial"/>
          <w:rtl/>
        </w:rPr>
      </w:pPr>
      <w:r w:rsidRPr="00266D19">
        <w:rPr>
          <w:rFonts w:cs="Arial" w:hint="cs"/>
          <w:rtl/>
        </w:rPr>
        <w:t>(1</w:t>
      </w:r>
      <w:r>
        <w:rPr>
          <w:rFonts w:cs="Arial"/>
          <w:rtl/>
        </w:rPr>
        <w:t xml:space="preserve">) </w:t>
      </w:r>
      <w:proofErr w:type="spellStart"/>
      <w:r w:rsidRPr="00266D19">
        <w:rPr>
          <w:rFonts w:cs="Arial"/>
          <w:rtl/>
        </w:rPr>
        <w:t>עע"מ</w:t>
      </w:r>
      <w:proofErr w:type="spellEnd"/>
      <w:r w:rsidRPr="00266D19">
        <w:rPr>
          <w:rFonts w:cs="Arial"/>
          <w:rtl/>
        </w:rPr>
        <w:t xml:space="preserve"> 6466/19.</w:t>
      </w:r>
    </w:p>
    <w:p w:rsidR="00266D19" w:rsidRDefault="00266D19" w:rsidP="00266D19">
      <w:pPr>
        <w:rPr>
          <w:rtl/>
        </w:rPr>
      </w:pPr>
      <w:r>
        <w:rPr>
          <w:rFonts w:cs="Arial"/>
          <w:rtl/>
        </w:rPr>
        <w:t xml:space="preserve">לפיה על מלכ"ר המשתתף במכרז להמציא אישור מאת רשות המסים באשר לסיווגו לעניין חוק מס ערך מוסף, </w:t>
      </w:r>
      <w:proofErr w:type="spellStart"/>
      <w:r>
        <w:rPr>
          <w:rFonts w:cs="Arial"/>
          <w:rtl/>
        </w:rPr>
        <w:t>התשל"ו</w:t>
      </w:r>
      <w:proofErr w:type="spellEnd"/>
      <w:r>
        <w:rPr>
          <w:rFonts w:cs="Arial"/>
          <w:rtl/>
        </w:rPr>
        <w:t xml:space="preserve"> – 1975 (להלן: "חוק מע"מ") במסגרת השתתפותו במכרז.</w:t>
      </w:r>
    </w:p>
    <w:p w:rsidR="00266D19" w:rsidRDefault="00266D19" w:rsidP="00266D19">
      <w:pPr>
        <w:rPr>
          <w:rtl/>
        </w:rPr>
      </w:pPr>
      <w:r>
        <w:rPr>
          <w:rFonts w:cs="Arial"/>
          <w:rtl/>
        </w:rPr>
        <w:t>בעקבות פסק דינו של בית המשפט כאמור לעיל, פרסמה רשות המסים הנחיות לפעולה המסדירות את אכיפת החלטת בית המשפט כאמור לעיל.</w:t>
      </w:r>
    </w:p>
    <w:p w:rsidR="00266D19" w:rsidRDefault="00266D19" w:rsidP="00266D19">
      <w:pPr>
        <w:rPr>
          <w:rtl/>
        </w:rPr>
      </w:pPr>
      <w:r>
        <w:rPr>
          <w:rFonts w:cs="Arial"/>
          <w:rtl/>
        </w:rPr>
        <w:t>מטרת המסלול הירוק היא לתת מענה מהיר בקביעת סיווגו של מלכ"ר לעניין חוק מע"מ, בעת מתן שירות במסגרת מכרז, ובלבד שהמלכ"ר עומד בכל התנאים, ההצהרות והעובדות הנדרשות בו.</w:t>
      </w:r>
    </w:p>
    <w:p w:rsidR="00266D19" w:rsidRDefault="00266D19" w:rsidP="00266D19">
      <w:pPr>
        <w:pStyle w:val="a3"/>
        <w:numPr>
          <w:ilvl w:val="0"/>
          <w:numId w:val="1"/>
        </w:numPr>
      </w:pPr>
      <w:r>
        <w:rPr>
          <w:rFonts w:hint="cs"/>
          <w:rtl/>
        </w:rPr>
        <w:t>פרטי המלכ"ר</w:t>
      </w:r>
      <w:r>
        <w:rPr>
          <w:rtl/>
        </w:rPr>
        <w:br/>
      </w:r>
      <w:r>
        <w:rPr>
          <w:rFonts w:hint="cs"/>
          <w:rtl/>
        </w:rPr>
        <w:t>שם המלכ"ר</w:t>
      </w:r>
      <w:r>
        <w:rPr>
          <w:rtl/>
        </w:rPr>
        <w:br/>
      </w:r>
      <w:r>
        <w:rPr>
          <w:rFonts w:hint="cs"/>
          <w:rtl/>
        </w:rPr>
        <w:t>כתובת דוא"ל המלכ"ר</w:t>
      </w:r>
      <w:r>
        <w:rPr>
          <w:rtl/>
        </w:rPr>
        <w:br/>
      </w:r>
      <w:r>
        <w:rPr>
          <w:rFonts w:hint="cs"/>
          <w:rtl/>
        </w:rPr>
        <w:t>מספר תיק במע"מ</w:t>
      </w:r>
      <w:r>
        <w:rPr>
          <w:rtl/>
        </w:rPr>
        <w:br/>
      </w:r>
      <w:r>
        <w:rPr>
          <w:rFonts w:hint="cs"/>
          <w:rtl/>
        </w:rPr>
        <w:t>המשרד האזורי בו מתנהל התיק</w:t>
      </w:r>
      <w:r>
        <w:rPr>
          <w:rtl/>
        </w:rPr>
        <w:br/>
      </w:r>
      <w:r>
        <w:rPr>
          <w:rFonts w:hint="cs"/>
          <w:rtl/>
        </w:rPr>
        <w:t>כתובת המלכ"ר</w:t>
      </w:r>
      <w:r>
        <w:rPr>
          <w:rtl/>
        </w:rPr>
        <w:br/>
      </w:r>
      <w:r>
        <w:rPr>
          <w:rFonts w:hint="cs"/>
          <w:rtl/>
        </w:rPr>
        <w:t>רחוב</w:t>
      </w:r>
      <w:r>
        <w:rPr>
          <w:rtl/>
        </w:rPr>
        <w:br/>
      </w:r>
      <w:r>
        <w:rPr>
          <w:rFonts w:hint="cs"/>
          <w:rtl/>
        </w:rPr>
        <w:t>מספר</w:t>
      </w:r>
      <w:r>
        <w:rPr>
          <w:rtl/>
        </w:rPr>
        <w:br/>
      </w:r>
      <w:r>
        <w:rPr>
          <w:rFonts w:hint="cs"/>
          <w:rtl/>
        </w:rPr>
        <w:t xml:space="preserve"> ישוב</w:t>
      </w:r>
      <w:r>
        <w:rPr>
          <w:rtl/>
        </w:rPr>
        <w:br/>
      </w:r>
      <w:r>
        <w:rPr>
          <w:rFonts w:hint="cs"/>
          <w:rtl/>
        </w:rPr>
        <w:t>מיקוד</w:t>
      </w:r>
      <w:r>
        <w:rPr>
          <w:rtl/>
        </w:rPr>
        <w:br/>
      </w:r>
      <w:r>
        <w:rPr>
          <w:rFonts w:hint="cs"/>
          <w:rtl/>
        </w:rPr>
        <w:t>מספר טלפון</w:t>
      </w:r>
    </w:p>
    <w:p w:rsidR="00266D19" w:rsidRDefault="00266D19" w:rsidP="00266D19">
      <w:pPr>
        <w:pStyle w:val="a3"/>
        <w:rPr>
          <w:rtl/>
        </w:rPr>
      </w:pPr>
      <w:r>
        <w:rPr>
          <w:rFonts w:hint="cs"/>
          <w:rtl/>
        </w:rPr>
        <w:t>פרטי המייצג וכתובתו</w:t>
      </w:r>
    </w:p>
    <w:p w:rsidR="00266D19" w:rsidRDefault="00266D19" w:rsidP="00266D19">
      <w:pPr>
        <w:pStyle w:val="a3"/>
        <w:rPr>
          <w:rtl/>
        </w:rPr>
      </w:pPr>
      <w:r>
        <w:rPr>
          <w:rFonts w:hint="cs"/>
          <w:rtl/>
        </w:rPr>
        <w:t>שם המייצג</w:t>
      </w:r>
    </w:p>
    <w:p w:rsidR="00266D19" w:rsidRDefault="00266D19" w:rsidP="00266D19">
      <w:pPr>
        <w:pStyle w:val="a3"/>
        <w:rPr>
          <w:rtl/>
        </w:rPr>
      </w:pPr>
      <w:r>
        <w:rPr>
          <w:rFonts w:hint="cs"/>
          <w:rtl/>
        </w:rPr>
        <w:t>כתובת דוא"ל המייצג</w:t>
      </w:r>
    </w:p>
    <w:p w:rsidR="00266D19" w:rsidRDefault="00266D19" w:rsidP="00266D19">
      <w:pPr>
        <w:pStyle w:val="a3"/>
        <w:rPr>
          <w:rtl/>
        </w:rPr>
      </w:pPr>
      <w:r>
        <w:rPr>
          <w:rFonts w:hint="cs"/>
          <w:rtl/>
        </w:rPr>
        <w:t>כתובת המייצג</w:t>
      </w:r>
    </w:p>
    <w:p w:rsidR="00266D19" w:rsidRDefault="00266D19" w:rsidP="00266D19">
      <w:pPr>
        <w:pStyle w:val="a3"/>
        <w:rPr>
          <w:rtl/>
        </w:rPr>
      </w:pPr>
      <w:r>
        <w:rPr>
          <w:rFonts w:hint="cs"/>
          <w:rtl/>
        </w:rPr>
        <w:t>רחוב</w:t>
      </w:r>
    </w:p>
    <w:p w:rsidR="00266D19" w:rsidRDefault="00266D19" w:rsidP="00266D19">
      <w:pPr>
        <w:pStyle w:val="a3"/>
        <w:rPr>
          <w:rtl/>
        </w:rPr>
      </w:pPr>
      <w:r>
        <w:rPr>
          <w:rFonts w:hint="cs"/>
          <w:rtl/>
        </w:rPr>
        <w:t xml:space="preserve">מספר </w:t>
      </w:r>
    </w:p>
    <w:p w:rsidR="00266D19" w:rsidRDefault="00266D19" w:rsidP="00266D19">
      <w:pPr>
        <w:pStyle w:val="a3"/>
        <w:rPr>
          <w:rtl/>
        </w:rPr>
      </w:pPr>
      <w:r>
        <w:rPr>
          <w:rFonts w:hint="cs"/>
          <w:rtl/>
        </w:rPr>
        <w:t>ישוב</w:t>
      </w:r>
    </w:p>
    <w:p w:rsidR="00266D19" w:rsidRDefault="00266D19" w:rsidP="00266D19">
      <w:pPr>
        <w:pStyle w:val="a3"/>
        <w:rPr>
          <w:rtl/>
        </w:rPr>
      </w:pPr>
      <w:r>
        <w:rPr>
          <w:rFonts w:hint="cs"/>
          <w:rtl/>
        </w:rPr>
        <w:t>מיקוד</w:t>
      </w:r>
    </w:p>
    <w:p w:rsidR="00266D19" w:rsidRDefault="00266D19" w:rsidP="00266D19">
      <w:pPr>
        <w:pStyle w:val="a3"/>
        <w:rPr>
          <w:rtl/>
        </w:rPr>
      </w:pPr>
      <w:r>
        <w:rPr>
          <w:rFonts w:hint="cs"/>
          <w:rtl/>
        </w:rPr>
        <w:t>מספר טלפון המייצג</w:t>
      </w:r>
    </w:p>
    <w:p w:rsidR="00266D19" w:rsidRDefault="00266D19" w:rsidP="00266D19">
      <w:pPr>
        <w:pStyle w:val="a3"/>
        <w:numPr>
          <w:ilvl w:val="0"/>
          <w:numId w:val="1"/>
        </w:numPr>
      </w:pPr>
      <w:r>
        <w:rPr>
          <w:rFonts w:hint="cs"/>
          <w:rtl/>
        </w:rPr>
        <w:t>פרטי המכרז</w:t>
      </w:r>
    </w:p>
    <w:p w:rsidR="00266D19" w:rsidRDefault="00266D19" w:rsidP="00266D19">
      <w:pPr>
        <w:pStyle w:val="a3"/>
        <w:rPr>
          <w:rFonts w:cs="Arial"/>
          <w:rtl/>
        </w:rPr>
      </w:pPr>
      <w:r>
        <w:rPr>
          <w:rFonts w:cs="Arial"/>
          <w:rtl/>
        </w:rPr>
        <w:t xml:space="preserve">מלכ"ר </w:t>
      </w:r>
    </w:p>
    <w:p w:rsidR="00266D19" w:rsidRDefault="00266D19" w:rsidP="00266D19">
      <w:pPr>
        <w:pStyle w:val="a3"/>
        <w:rPr>
          <w:rtl/>
        </w:rPr>
      </w:pPr>
      <w:r>
        <w:rPr>
          <w:rFonts w:cs="Arial"/>
          <w:rtl/>
        </w:rPr>
        <w:t>(להלן: "המלכ"ר”), הגיש מועמדותו להענקת שירותים במסגרת מכרז אשר פורסם על ידי המדינה ושאר הגופים המנויים בסעיף 2(א) לחוק חובת המכרזים תשנ”ב - 1992 שפרטיו:</w:t>
      </w:r>
    </w:p>
    <w:p w:rsidR="00266D19" w:rsidRDefault="00266D19" w:rsidP="00266D19">
      <w:pPr>
        <w:pStyle w:val="a3"/>
        <w:rPr>
          <w:rFonts w:cs="Arial"/>
          <w:rtl/>
        </w:rPr>
      </w:pPr>
      <w:r>
        <w:rPr>
          <w:rFonts w:cs="Arial"/>
          <w:rtl/>
        </w:rPr>
        <w:t xml:space="preserve">שם המכרז </w:t>
      </w:r>
    </w:p>
    <w:p w:rsidR="00266D19" w:rsidRDefault="00266D19" w:rsidP="00266D19">
      <w:pPr>
        <w:pStyle w:val="a3"/>
        <w:rPr>
          <w:rFonts w:cs="Arial"/>
          <w:rtl/>
        </w:rPr>
      </w:pPr>
      <w:r>
        <w:rPr>
          <w:rFonts w:cs="Arial"/>
          <w:rtl/>
        </w:rPr>
        <w:t xml:space="preserve">מספרו </w:t>
      </w:r>
    </w:p>
    <w:p w:rsidR="00266D19" w:rsidRDefault="00266D19" w:rsidP="00266D19">
      <w:pPr>
        <w:pStyle w:val="a3"/>
        <w:rPr>
          <w:rtl/>
        </w:rPr>
      </w:pPr>
      <w:r>
        <w:rPr>
          <w:rFonts w:cs="Arial"/>
          <w:rtl/>
        </w:rPr>
        <w:t>(להלן: "המכרז").</w:t>
      </w:r>
    </w:p>
    <w:p w:rsidR="00266D19" w:rsidRDefault="00266D19" w:rsidP="00266D19">
      <w:pPr>
        <w:pStyle w:val="a3"/>
        <w:rPr>
          <w:rFonts w:cs="Arial"/>
          <w:rtl/>
        </w:rPr>
      </w:pPr>
      <w:r>
        <w:rPr>
          <w:rFonts w:cs="Arial"/>
          <w:rtl/>
        </w:rPr>
        <w:t xml:space="preserve">במסגרת המכרז </w:t>
      </w:r>
      <w:proofErr w:type="spellStart"/>
      <w:r>
        <w:rPr>
          <w:rFonts w:cs="Arial"/>
          <w:rtl/>
        </w:rPr>
        <w:t>ינתנו</w:t>
      </w:r>
      <w:proofErr w:type="spellEnd"/>
      <w:r>
        <w:rPr>
          <w:rFonts w:cs="Arial"/>
          <w:rtl/>
        </w:rPr>
        <w:t xml:space="preserve"> השירותים הבאים על ידי המלכ"ר: </w:t>
      </w:r>
    </w:p>
    <w:p w:rsidR="00266D19" w:rsidRDefault="00266D19" w:rsidP="00266D19">
      <w:pPr>
        <w:pStyle w:val="a3"/>
        <w:rPr>
          <w:rtl/>
        </w:rPr>
      </w:pPr>
      <w:r>
        <w:rPr>
          <w:rFonts w:cs="Arial"/>
          <w:rtl/>
        </w:rPr>
        <w:t>(להלן: "השירות הניתן על ידי המלכ"ר במסגרת המכרז").</w:t>
      </w:r>
    </w:p>
    <w:p w:rsidR="00266D19" w:rsidRDefault="00266D19" w:rsidP="00266D19">
      <w:pPr>
        <w:pStyle w:val="a3"/>
        <w:rPr>
          <w:rFonts w:cs="Arial"/>
          <w:rtl/>
        </w:rPr>
      </w:pPr>
      <w:r>
        <w:rPr>
          <w:rFonts w:cs="Arial"/>
          <w:rtl/>
        </w:rPr>
        <w:t xml:space="preserve">סכום כלל התקבולים הצפוי בגין זכיה במכרז </w:t>
      </w:r>
    </w:p>
    <w:p w:rsidR="00266D19" w:rsidRDefault="00266D19" w:rsidP="00266D19">
      <w:pPr>
        <w:pStyle w:val="a3"/>
        <w:rPr>
          <w:rtl/>
        </w:rPr>
      </w:pPr>
      <w:r>
        <w:rPr>
          <w:rFonts w:cs="Arial"/>
          <w:rtl/>
        </w:rPr>
        <w:t>ש"ח(2).</w:t>
      </w:r>
    </w:p>
    <w:p w:rsidR="00AE02F4" w:rsidRDefault="00AE02F4" w:rsidP="00266D19">
      <w:pPr>
        <w:pStyle w:val="a3"/>
        <w:rPr>
          <w:rFonts w:cs="Arial"/>
          <w:rtl/>
        </w:rPr>
      </w:pPr>
      <w:r>
        <w:rPr>
          <w:rFonts w:cs="Arial" w:hint="cs"/>
          <w:rtl/>
        </w:rPr>
        <w:lastRenderedPageBreak/>
        <w:t xml:space="preserve">(2) </w:t>
      </w:r>
      <w:r w:rsidRPr="00AE02F4">
        <w:rPr>
          <w:rFonts w:cs="Arial"/>
          <w:rtl/>
        </w:rPr>
        <w:t>טופס בקשה זה מיועד למכרז אשר סכום כלל התקבולים הצפוי בגינו, לרבות בתקופת האופציה, אינו עולה על 20 מיליון ₪.</w:t>
      </w:r>
    </w:p>
    <w:p w:rsidR="00266D19" w:rsidRDefault="00266D19" w:rsidP="00266D19">
      <w:pPr>
        <w:pStyle w:val="a3"/>
        <w:rPr>
          <w:rtl/>
        </w:rPr>
      </w:pPr>
      <w:r>
        <w:rPr>
          <w:rFonts w:cs="Arial"/>
          <w:rtl/>
        </w:rPr>
        <w:t>תקופת מתן השירות במסגרת המכרז:</w:t>
      </w:r>
    </w:p>
    <w:p w:rsidR="00266D19" w:rsidRDefault="00266D19" w:rsidP="00266D19">
      <w:pPr>
        <w:pStyle w:val="a3"/>
        <w:rPr>
          <w:rtl/>
        </w:rPr>
      </w:pPr>
      <w:r>
        <w:rPr>
          <w:rFonts w:cs="Arial"/>
          <w:rtl/>
        </w:rPr>
        <w:t>תאריך התחלה:</w:t>
      </w:r>
    </w:p>
    <w:p w:rsidR="00266D19" w:rsidRDefault="00266D19" w:rsidP="00266D19">
      <w:pPr>
        <w:pStyle w:val="a3"/>
        <w:rPr>
          <w:rtl/>
        </w:rPr>
      </w:pPr>
      <w:r>
        <w:rPr>
          <w:rFonts w:cs="Arial"/>
          <w:rtl/>
        </w:rPr>
        <w:t>תאריך סיום:</w:t>
      </w:r>
    </w:p>
    <w:p w:rsidR="00266D19" w:rsidRDefault="00266D19" w:rsidP="00266D19">
      <w:pPr>
        <w:pStyle w:val="a3"/>
        <w:rPr>
          <w:rtl/>
        </w:rPr>
      </w:pPr>
      <w:r>
        <w:rPr>
          <w:rFonts w:cs="Arial"/>
          <w:rtl/>
        </w:rPr>
        <w:t>האם במסגרת המכרז ישנן תקופות אופציונליות להארכה כן/לא, במידה וכן יש לפרט:</w:t>
      </w:r>
    </w:p>
    <w:p w:rsidR="00266D19" w:rsidRDefault="00266D19" w:rsidP="00266D19">
      <w:pPr>
        <w:pStyle w:val="a3"/>
        <w:rPr>
          <w:rtl/>
        </w:rPr>
      </w:pPr>
      <w:r>
        <w:rPr>
          <w:rFonts w:cs="Arial"/>
          <w:rtl/>
        </w:rPr>
        <w:t>המלכ”ר יצרף את האסמכתאות הבאות:</w:t>
      </w:r>
    </w:p>
    <w:p w:rsidR="00266D19" w:rsidRDefault="00266D19" w:rsidP="00266D19">
      <w:pPr>
        <w:pStyle w:val="a3"/>
        <w:rPr>
          <w:rtl/>
        </w:rPr>
      </w:pPr>
      <w:r>
        <w:rPr>
          <w:rFonts w:cs="Arial"/>
          <w:rtl/>
        </w:rPr>
        <w:t>•</w:t>
      </w:r>
      <w:r>
        <w:rPr>
          <w:rFonts w:cs="Arial"/>
          <w:rtl/>
        </w:rPr>
        <w:tab/>
        <w:t>מסמכי המכרז כפי שפורסמו לציבור.</w:t>
      </w:r>
    </w:p>
    <w:p w:rsidR="00266D19" w:rsidRDefault="00266D19" w:rsidP="00266D19">
      <w:pPr>
        <w:pStyle w:val="a3"/>
        <w:numPr>
          <w:ilvl w:val="0"/>
          <w:numId w:val="1"/>
        </w:numPr>
      </w:pPr>
      <w:r w:rsidRPr="00266D19">
        <w:rPr>
          <w:rFonts w:cs="Arial"/>
          <w:rtl/>
        </w:rPr>
        <w:t>הצהרות ואישורים באשר למלכ"ר ופעילותו</w:t>
      </w:r>
    </w:p>
    <w:p w:rsidR="00266D19" w:rsidRDefault="00266D19" w:rsidP="00266D19">
      <w:pPr>
        <w:pStyle w:val="a3"/>
        <w:numPr>
          <w:ilvl w:val="1"/>
          <w:numId w:val="1"/>
        </w:numPr>
        <w:rPr>
          <w:rtl/>
        </w:rPr>
      </w:pPr>
      <w:r>
        <w:rPr>
          <w:rFonts w:cs="Arial"/>
          <w:rtl/>
        </w:rPr>
        <w:t>המלכ"ר מצהיר בזאת כי מתקיים לגביו כל האמור בסעיפים 3.1.1 - 3.1.4 להלן:</w:t>
      </w:r>
    </w:p>
    <w:p w:rsidR="00266D19" w:rsidRDefault="00266D19" w:rsidP="00266D19">
      <w:pPr>
        <w:pStyle w:val="a3"/>
        <w:numPr>
          <w:ilvl w:val="2"/>
          <w:numId w:val="1"/>
        </w:numPr>
        <w:rPr>
          <w:rtl/>
        </w:rPr>
      </w:pPr>
      <w:r>
        <w:rPr>
          <w:rFonts w:cs="Arial"/>
          <w:rtl/>
        </w:rPr>
        <w:t>המלכ"ר רשום כמלכ"ר במרשמי מע"מ.</w:t>
      </w:r>
    </w:p>
    <w:p w:rsidR="00266D19" w:rsidRDefault="00266D19" w:rsidP="00266D19">
      <w:pPr>
        <w:pStyle w:val="a3"/>
        <w:numPr>
          <w:ilvl w:val="2"/>
          <w:numId w:val="1"/>
        </w:numPr>
        <w:rPr>
          <w:rtl/>
        </w:rPr>
      </w:pPr>
      <w:r>
        <w:rPr>
          <w:rFonts w:cs="Arial"/>
          <w:rtl/>
        </w:rPr>
        <w:t>המלכ"ר בעל אישור ניהול תקין בתוקף שניתן על ידי רשם העמותות וההקדשות.</w:t>
      </w:r>
    </w:p>
    <w:p w:rsidR="00266D19" w:rsidRDefault="00266D19" w:rsidP="00266D19">
      <w:pPr>
        <w:pStyle w:val="a3"/>
        <w:numPr>
          <w:ilvl w:val="2"/>
          <w:numId w:val="1"/>
        </w:numPr>
        <w:rPr>
          <w:rtl/>
        </w:rPr>
      </w:pPr>
      <w:r>
        <w:rPr>
          <w:rFonts w:cs="Arial"/>
          <w:rtl/>
        </w:rPr>
        <w:t xml:space="preserve">המלכ"ר בעל אישור ניהול ספרים תקין על פי חוק עסקאות עם גופים ציבוריים, תשל"ו-1976. </w:t>
      </w:r>
    </w:p>
    <w:p w:rsidR="00266D19" w:rsidRDefault="00266D19" w:rsidP="00266D19">
      <w:pPr>
        <w:pStyle w:val="a3"/>
        <w:numPr>
          <w:ilvl w:val="2"/>
          <w:numId w:val="1"/>
        </w:numPr>
        <w:rPr>
          <w:rtl/>
        </w:rPr>
      </w:pPr>
      <w:r>
        <w:rPr>
          <w:rFonts w:cs="Arial"/>
          <w:rtl/>
        </w:rPr>
        <w:t>המלכ"ר בעל אישור בתוקף מכוח סעיף 46 לפקודת מס הכנסה (נוסח חדש), התשכ"א-1961 (להלן: "הפקודה").</w:t>
      </w:r>
    </w:p>
    <w:p w:rsidR="00266D19" w:rsidRDefault="00266D19" w:rsidP="00266D19">
      <w:pPr>
        <w:pStyle w:val="a3"/>
        <w:rPr>
          <w:rtl/>
        </w:rPr>
      </w:pPr>
    </w:p>
    <w:p w:rsidR="00266D19" w:rsidRDefault="00266D19" w:rsidP="00266D19">
      <w:pPr>
        <w:pStyle w:val="a3"/>
        <w:numPr>
          <w:ilvl w:val="1"/>
          <w:numId w:val="1"/>
        </w:numPr>
        <w:rPr>
          <w:rtl/>
        </w:rPr>
      </w:pPr>
      <w:r>
        <w:rPr>
          <w:rFonts w:cs="Arial"/>
          <w:rtl/>
        </w:rPr>
        <w:t>המלכ"ר מצהיר בזאת כי מתקיים לגביו כל האמור בסעיפים 3.2.1 - 3.2.2 ויצרף תצהיר מאומת על-ידי עורך דין לגבי האמור להלן:</w:t>
      </w:r>
    </w:p>
    <w:p w:rsidR="00266D19" w:rsidRDefault="00266D19" w:rsidP="00266D19">
      <w:pPr>
        <w:pStyle w:val="a3"/>
        <w:numPr>
          <w:ilvl w:val="2"/>
          <w:numId w:val="1"/>
        </w:numPr>
        <w:rPr>
          <w:rtl/>
        </w:rPr>
      </w:pPr>
      <w:r>
        <w:rPr>
          <w:rFonts w:cs="Arial"/>
          <w:rtl/>
        </w:rPr>
        <w:t>פעילות המלכ"ר הינה בהתאם למטרות המפורטות בתקנונו - יצורף כנספח א'.</w:t>
      </w:r>
    </w:p>
    <w:p w:rsidR="00266D19" w:rsidRPr="00266D19" w:rsidRDefault="00266D19" w:rsidP="00266D19">
      <w:pPr>
        <w:pStyle w:val="a3"/>
        <w:numPr>
          <w:ilvl w:val="2"/>
          <w:numId w:val="1"/>
        </w:numPr>
      </w:pPr>
      <w:r>
        <w:rPr>
          <w:rFonts w:cs="Arial"/>
          <w:rtl/>
        </w:rPr>
        <w:t>פעילות המלכ"ר נסמכת בצורה משמעותית על פעילות מתנדבים - יצורף כנספח ב'.</w:t>
      </w:r>
    </w:p>
    <w:p w:rsidR="00266D19" w:rsidRDefault="00266D19" w:rsidP="00266D19">
      <w:pPr>
        <w:rPr>
          <w:rtl/>
        </w:rPr>
      </w:pPr>
      <w:r w:rsidRPr="00266D19">
        <w:rPr>
          <w:rFonts w:cs="Arial"/>
          <w:rtl/>
        </w:rPr>
        <w:t>ר״י, אגף בכיר טכנולוגיות דיגיטליות ומידע (מעודכן ל - 8.2022)</w:t>
      </w:r>
      <w:r w:rsidR="0071213C">
        <w:rPr>
          <w:rtl/>
        </w:rPr>
        <w:br/>
      </w:r>
      <w:r w:rsidR="0071213C">
        <w:rPr>
          <w:rFonts w:hint="cs"/>
          <w:rtl/>
        </w:rPr>
        <w:t>דף 2 מתוך 3</w:t>
      </w:r>
    </w:p>
    <w:p w:rsidR="00AE02F4" w:rsidRDefault="00AE02F4" w:rsidP="00AE02F4">
      <w:pPr>
        <w:ind w:left="360"/>
        <w:rPr>
          <w:rtl/>
        </w:rPr>
      </w:pPr>
      <w:r>
        <w:rPr>
          <w:rFonts w:cs="Arial" w:hint="cs"/>
          <w:rtl/>
        </w:rPr>
        <w:t>3.</w:t>
      </w:r>
      <w:r w:rsidRPr="00AE02F4">
        <w:rPr>
          <w:rFonts w:cs="Arial"/>
          <w:rtl/>
        </w:rPr>
        <w:t>הצהרות ואישורים באשר למלכ"ר ופעילותו</w:t>
      </w:r>
      <w:r>
        <w:rPr>
          <w:rFonts w:hint="cs"/>
          <w:rtl/>
        </w:rPr>
        <w:t xml:space="preserve"> </w:t>
      </w:r>
      <w:r>
        <w:rPr>
          <w:rtl/>
        </w:rPr>
        <w:t>–</w:t>
      </w:r>
      <w:r>
        <w:rPr>
          <w:rFonts w:hint="cs"/>
          <w:rtl/>
        </w:rPr>
        <w:t xml:space="preserve"> המשך</w:t>
      </w:r>
    </w:p>
    <w:p w:rsidR="00AE02F4" w:rsidRPr="00AE02F4" w:rsidRDefault="00AE02F4" w:rsidP="00AE02F4">
      <w:pPr>
        <w:pStyle w:val="a3"/>
        <w:numPr>
          <w:ilvl w:val="1"/>
          <w:numId w:val="1"/>
        </w:numPr>
      </w:pPr>
      <w:r w:rsidRPr="00AE02F4">
        <w:rPr>
          <w:rFonts w:cs="Arial"/>
          <w:rtl/>
        </w:rPr>
        <w:t xml:space="preserve">המלכ"ר מצהיר בזאת כי מתקיים לגביו כל האמור בסעיפים 3.3.4-3.3.1 לתקופה של שלוש שנות המס(3) </w:t>
      </w:r>
    </w:p>
    <w:p w:rsidR="00AE02F4" w:rsidRDefault="00AE02F4" w:rsidP="00AE02F4">
      <w:pPr>
        <w:ind w:left="1132"/>
        <w:rPr>
          <w:rFonts w:cs="Arial"/>
          <w:rtl/>
        </w:rPr>
      </w:pPr>
      <w:r>
        <w:rPr>
          <w:rFonts w:cs="Arial" w:hint="cs"/>
          <w:rtl/>
        </w:rPr>
        <w:t xml:space="preserve">(3) </w:t>
      </w:r>
      <w:r w:rsidRPr="00AE02F4">
        <w:rPr>
          <w:rFonts w:cs="Arial"/>
          <w:rtl/>
        </w:rPr>
        <w:t>שנת מס - כהגדרתה בפקודה.</w:t>
      </w:r>
    </w:p>
    <w:p w:rsidR="00AE02F4" w:rsidRDefault="00AE02F4" w:rsidP="00AE02F4">
      <w:pPr>
        <w:ind w:left="1132"/>
        <w:rPr>
          <w:rtl/>
        </w:rPr>
      </w:pPr>
      <w:r w:rsidRPr="00AE02F4">
        <w:rPr>
          <w:rFonts w:cs="Arial"/>
          <w:rtl/>
        </w:rPr>
        <w:t xml:space="preserve">שקדמו לשנת  המס </w:t>
      </w:r>
    </w:p>
    <w:p w:rsidR="00AE02F4" w:rsidRDefault="00AE02F4" w:rsidP="00AE02F4">
      <w:pPr>
        <w:ind w:left="720"/>
        <w:rPr>
          <w:rtl/>
        </w:rPr>
      </w:pPr>
      <w:r>
        <w:rPr>
          <w:rFonts w:cs="Arial"/>
          <w:rtl/>
        </w:rPr>
        <w:tab/>
        <w:t xml:space="preserve">שבה הוגשה הצעתו למכרז ויצרף אסמכתאות ואישור מייצג בהסתמך על הדוחות המבוקרים של המלכ”ר, ככל שקיימים </w:t>
      </w:r>
    </w:p>
    <w:p w:rsidR="00AE02F4" w:rsidRDefault="00AE02F4" w:rsidP="00AE02F4">
      <w:pPr>
        <w:ind w:left="720"/>
        <w:rPr>
          <w:rtl/>
        </w:rPr>
      </w:pPr>
      <w:r>
        <w:rPr>
          <w:rFonts w:cs="Arial"/>
          <w:rtl/>
        </w:rPr>
        <w:tab/>
        <w:t xml:space="preserve">במלואם למועד הגשת המכרז, ו/או בהסתמך על אסמכתאות ותצהירי מנכ"ל המלכ"ר או סמנכ"ל הכספים של המלכ"ר – </w:t>
      </w:r>
    </w:p>
    <w:p w:rsidR="00AE02F4" w:rsidRDefault="00AE02F4" w:rsidP="00AE02F4">
      <w:pPr>
        <w:ind w:left="720"/>
        <w:rPr>
          <w:rtl/>
        </w:rPr>
      </w:pPr>
      <w:r>
        <w:rPr>
          <w:rFonts w:cs="Arial"/>
          <w:rtl/>
        </w:rPr>
        <w:tab/>
        <w:t>כשהם מאומתים על ידי עורך דין.  לגבי האמור להלן:</w:t>
      </w:r>
    </w:p>
    <w:p w:rsidR="00AE02F4" w:rsidRDefault="00AE02F4" w:rsidP="00AE02F4">
      <w:pPr>
        <w:pStyle w:val="a3"/>
        <w:numPr>
          <w:ilvl w:val="2"/>
          <w:numId w:val="1"/>
        </w:numPr>
        <w:rPr>
          <w:rtl/>
        </w:rPr>
      </w:pPr>
      <w:r w:rsidRPr="00AE02F4">
        <w:rPr>
          <w:rFonts w:cs="Arial"/>
          <w:rtl/>
        </w:rPr>
        <w:t>תקבוליו והכנסותיו של המלכ"ר מפעילות במסגרת מכרזים, אשר פורסמו על ידי המדינה ובהם זכה, אינם עולים על 25% מכלל תקבוליו והכנסותיו בהתאם לדו"ח על הפעילות של המלכ"ר - יצורף כנספח ד'.</w:t>
      </w:r>
    </w:p>
    <w:p w:rsidR="00AE02F4" w:rsidRDefault="00AE02F4" w:rsidP="00AE02F4">
      <w:pPr>
        <w:pStyle w:val="a3"/>
        <w:numPr>
          <w:ilvl w:val="2"/>
          <w:numId w:val="1"/>
        </w:numPr>
        <w:rPr>
          <w:rtl/>
        </w:rPr>
      </w:pPr>
      <w:r w:rsidRPr="00AE02F4">
        <w:rPr>
          <w:rFonts w:cs="Arial"/>
          <w:rtl/>
        </w:rPr>
        <w:t>אין בין מנהלי המלכ"ר או מי מעובדיו אשר עלות שכרו החודשית, המשולמת לו על ידי המלכ"ר, גבוהה מעלות שכר חודשית מקסימלית של מנכ"ל במשרד ממשלתי - יצורף כנספח ה'.</w:t>
      </w:r>
    </w:p>
    <w:p w:rsidR="00AE02F4" w:rsidRDefault="00AE02F4" w:rsidP="00AE02F4">
      <w:pPr>
        <w:pStyle w:val="a3"/>
        <w:numPr>
          <w:ilvl w:val="2"/>
          <w:numId w:val="1"/>
        </w:numPr>
        <w:rPr>
          <w:rtl/>
        </w:rPr>
      </w:pPr>
      <w:r w:rsidRPr="00AE02F4">
        <w:rPr>
          <w:rFonts w:cs="Arial"/>
          <w:rtl/>
        </w:rPr>
        <w:lastRenderedPageBreak/>
        <w:t>המלכ"ר משתמש בנכסיו והכנסותיו להשגת המטרות המפורטות בתקנון בלבד, ואין הוא צובר נכסים או הון לתקופה ממושכת מבלי להשקיעם בקידום המטרות האמורות או מבלי שיש לו תכנית עדכנית, מעשית ויעילה לשימוש בכספים אלה לצורך קידום המטרות המפורטות בתקנון – יצורף כנספח ו'.</w:t>
      </w:r>
    </w:p>
    <w:p w:rsidR="00AE02F4" w:rsidRDefault="00AE02F4" w:rsidP="00AE02F4">
      <w:pPr>
        <w:pStyle w:val="a3"/>
        <w:numPr>
          <w:ilvl w:val="2"/>
          <w:numId w:val="1"/>
        </w:numPr>
        <w:rPr>
          <w:rtl/>
        </w:rPr>
      </w:pPr>
      <w:r w:rsidRPr="00AE02F4">
        <w:rPr>
          <w:rFonts w:cs="Arial"/>
          <w:rtl/>
        </w:rPr>
        <w:t>המלכ"ר מקיים לפחות אחד מהתנאים הבאים (נא לסמן) -  יצורף כנספח ז'.</w:t>
      </w:r>
    </w:p>
    <w:p w:rsidR="00AE02F4" w:rsidRDefault="00AE02F4" w:rsidP="00AE02F4">
      <w:pPr>
        <w:ind w:left="720"/>
        <w:rPr>
          <w:rtl/>
        </w:rPr>
      </w:pPr>
      <w:r>
        <w:rPr>
          <w:rFonts w:cs="Arial"/>
          <w:rtl/>
        </w:rPr>
        <w:tab/>
        <w:t>תקבולי המלכ"ר מתרומות/מתמיכות הינם בשיעור העולה על 50% מכלל הכנסותיו</w:t>
      </w:r>
    </w:p>
    <w:p w:rsidR="00AE02F4" w:rsidRDefault="00AE02F4" w:rsidP="00AE02F4">
      <w:pPr>
        <w:ind w:left="720"/>
        <w:rPr>
          <w:rtl/>
        </w:rPr>
      </w:pPr>
      <w:r>
        <w:rPr>
          <w:rFonts w:cs="Arial"/>
          <w:rtl/>
        </w:rPr>
        <w:tab/>
        <w:t xml:space="preserve">המלכ"ר בגרעון תפעולי הממומן באמצעות תרומות/תמיכות. </w:t>
      </w:r>
    </w:p>
    <w:p w:rsidR="00AE02F4" w:rsidRDefault="00AE02F4" w:rsidP="00AE02F4">
      <w:pPr>
        <w:pStyle w:val="a3"/>
        <w:numPr>
          <w:ilvl w:val="1"/>
          <w:numId w:val="1"/>
        </w:numPr>
        <w:rPr>
          <w:rtl/>
        </w:rPr>
      </w:pPr>
      <w:r w:rsidRPr="00AE02F4">
        <w:rPr>
          <w:rFonts w:cs="Arial"/>
          <w:rtl/>
        </w:rPr>
        <w:t>המלכ”ר מצהיר בזאת כי מתקיים לגביו כל האמור בסעיפים 3.4.1 - 3.4.5 ויצרף הצהרות ואישורים לגבי האמור להלן:</w:t>
      </w:r>
    </w:p>
    <w:p w:rsidR="00AE02F4" w:rsidRDefault="00AE02F4" w:rsidP="00AE02F4">
      <w:pPr>
        <w:pStyle w:val="a3"/>
        <w:numPr>
          <w:ilvl w:val="2"/>
          <w:numId w:val="1"/>
        </w:numPr>
        <w:rPr>
          <w:rtl/>
        </w:rPr>
      </w:pPr>
      <w:r w:rsidRPr="00AE02F4">
        <w:rPr>
          <w:rFonts w:cs="Arial"/>
          <w:rtl/>
        </w:rPr>
        <w:t>סך כל התקבולים הצפויים בגין מתן השירות על ידי המלכ"ר במסגרת המכרז אינו עולה על 20 מיליון ₪.</w:t>
      </w:r>
    </w:p>
    <w:p w:rsidR="00AE02F4" w:rsidRDefault="00AE02F4" w:rsidP="00AE02F4">
      <w:pPr>
        <w:pStyle w:val="a3"/>
        <w:numPr>
          <w:ilvl w:val="2"/>
          <w:numId w:val="1"/>
        </w:numPr>
        <w:rPr>
          <w:rtl/>
        </w:rPr>
      </w:pPr>
      <w:r w:rsidRPr="00AE02F4">
        <w:rPr>
          <w:rFonts w:cs="Arial"/>
          <w:rtl/>
        </w:rPr>
        <w:t>הפעילות הנובעת ממתן השירות במסגרת המכרז על ידי המלכ"ר תואמת את מטרותיו של המלכ"ר כפי שפורטו בתקנונו - יצורף כנספח ח'.</w:t>
      </w:r>
    </w:p>
    <w:p w:rsidR="00AE02F4" w:rsidRDefault="00AE02F4" w:rsidP="00AE02F4">
      <w:pPr>
        <w:pStyle w:val="a3"/>
        <w:numPr>
          <w:ilvl w:val="2"/>
          <w:numId w:val="1"/>
        </w:numPr>
        <w:rPr>
          <w:rtl/>
        </w:rPr>
      </w:pPr>
      <w:r w:rsidRPr="00AE02F4">
        <w:rPr>
          <w:rFonts w:cs="Arial"/>
          <w:rtl/>
        </w:rPr>
        <w:t>הפעילות הנובעת ממתן השירות במסגרת המכרז על ידי המלכ"ר אין בה משום כוונת רווח - יצורף כנספח ט’.</w:t>
      </w:r>
    </w:p>
    <w:p w:rsidR="00AE02F4" w:rsidRDefault="00AE02F4" w:rsidP="00AE02F4">
      <w:pPr>
        <w:pStyle w:val="a3"/>
        <w:numPr>
          <w:ilvl w:val="2"/>
          <w:numId w:val="1"/>
        </w:numPr>
        <w:rPr>
          <w:rtl/>
        </w:rPr>
      </w:pPr>
      <w:r w:rsidRPr="00AE02F4">
        <w:rPr>
          <w:rFonts w:cs="Arial"/>
          <w:rtl/>
        </w:rPr>
        <w:t xml:space="preserve">השירות הניתן על ידי המלכ"ר במסגרת המכרז, הינו בעל מרכיבים ומאפיינים מהותיים וייחודיים המבדילים בינו לבין מתן אותו שירות על ידי גופים המסווגים </w:t>
      </w:r>
      <w:proofErr w:type="spellStart"/>
      <w:r w:rsidRPr="00AE02F4">
        <w:rPr>
          <w:rFonts w:cs="Arial"/>
          <w:rtl/>
        </w:rPr>
        <w:t>כ”עוסק</w:t>
      </w:r>
      <w:proofErr w:type="spellEnd"/>
      <w:r w:rsidRPr="00AE02F4">
        <w:rPr>
          <w:rFonts w:cs="Arial"/>
          <w:rtl/>
        </w:rPr>
        <w:t xml:space="preserve">” לעניין חוק מע”מ. </w:t>
      </w:r>
    </w:p>
    <w:p w:rsidR="00AE02F4" w:rsidRDefault="00AE02F4" w:rsidP="00AE02F4">
      <w:pPr>
        <w:ind w:left="2624"/>
        <w:rPr>
          <w:rtl/>
        </w:rPr>
      </w:pPr>
      <w:r>
        <w:rPr>
          <w:rFonts w:cs="Arial"/>
          <w:rtl/>
        </w:rPr>
        <w:t>יש לצרף כנספח י’ את פירוט המאפיינים כאמור המאבחנים את מתן השירות על ידי המלכ"ר.</w:t>
      </w:r>
    </w:p>
    <w:p w:rsidR="00AE02F4" w:rsidRDefault="00AE02F4" w:rsidP="00AE02F4">
      <w:pPr>
        <w:pStyle w:val="a3"/>
        <w:numPr>
          <w:ilvl w:val="2"/>
          <w:numId w:val="1"/>
        </w:numPr>
        <w:rPr>
          <w:rtl/>
        </w:rPr>
      </w:pPr>
      <w:r w:rsidRPr="00AE02F4">
        <w:rPr>
          <w:rFonts w:cs="Arial"/>
          <w:rtl/>
        </w:rPr>
        <w:t>התעריף המוצע במכרז על ידי המלכ"ר בניכוי כלל ההוצאות הצפויות במתן השירות, בגינו הוצע התעריף, (להלן: "התחשיב") אינו צפוי להביא לכדי יתרה חיובית - יצורף כנספח י”א.</w:t>
      </w:r>
    </w:p>
    <w:p w:rsidR="00AE02F4" w:rsidRDefault="00AE02F4" w:rsidP="00AE02F4">
      <w:pPr>
        <w:ind w:left="720"/>
        <w:rPr>
          <w:rtl/>
        </w:rPr>
      </w:pPr>
      <w:r>
        <w:rPr>
          <w:rFonts w:cs="Arial"/>
          <w:rtl/>
        </w:rPr>
        <w:tab/>
      </w:r>
      <w:r>
        <w:rPr>
          <w:rFonts w:cs="Arial"/>
          <w:rtl/>
        </w:rPr>
        <w:tab/>
      </w:r>
      <w:r>
        <w:rPr>
          <w:rFonts w:cs="Arial"/>
          <w:rtl/>
        </w:rPr>
        <w:tab/>
      </w:r>
    </w:p>
    <w:p w:rsidR="00AE02F4" w:rsidRDefault="00AE02F4" w:rsidP="00AE02F4">
      <w:pPr>
        <w:pStyle w:val="a3"/>
        <w:numPr>
          <w:ilvl w:val="1"/>
          <w:numId w:val="1"/>
        </w:numPr>
        <w:rPr>
          <w:rtl/>
        </w:rPr>
      </w:pPr>
      <w:r w:rsidRPr="00AE02F4">
        <w:rPr>
          <w:rFonts w:cs="Arial"/>
          <w:rtl/>
        </w:rPr>
        <w:t>הצהרת המלכ"ר המבקש:</w:t>
      </w:r>
    </w:p>
    <w:p w:rsidR="00AE02F4" w:rsidRDefault="00AE02F4" w:rsidP="00AE02F4">
      <w:pPr>
        <w:pStyle w:val="a3"/>
        <w:numPr>
          <w:ilvl w:val="2"/>
          <w:numId w:val="1"/>
        </w:numPr>
        <w:rPr>
          <w:rtl/>
        </w:rPr>
      </w:pPr>
      <w:r w:rsidRPr="00AE02F4">
        <w:rPr>
          <w:rFonts w:cs="Arial"/>
          <w:rtl/>
        </w:rPr>
        <w:t>אני מצהיר בזאת כי הבנתי את האמור בטופס זה לרבות הפרטים המפורטים בהחלטת המיסוי שבסעיף 4 להלן וכי מסרתי את כל הפרטים הנדרשים באופן מלא ונכון.</w:t>
      </w:r>
    </w:p>
    <w:p w:rsidR="00AE02F4" w:rsidRDefault="00AE02F4" w:rsidP="00AE02F4">
      <w:pPr>
        <w:pStyle w:val="a3"/>
        <w:numPr>
          <w:ilvl w:val="2"/>
          <w:numId w:val="1"/>
        </w:numPr>
        <w:rPr>
          <w:rtl/>
        </w:rPr>
      </w:pPr>
      <w:r w:rsidRPr="00AE02F4">
        <w:rPr>
          <w:rFonts w:cs="Arial"/>
          <w:rtl/>
        </w:rPr>
        <w:t>אני מצהיר בזאת כי עמדתי בכל ההצהרות והאישורים בסעיפים 3.1 - 3.4 לעיל וצורפו כלל הנספחים כנדרש בסעיפים 3.2 - 3.4 לעיל.</w:t>
      </w:r>
    </w:p>
    <w:p w:rsidR="00AE02F4" w:rsidRDefault="00AE02F4" w:rsidP="00AE02F4">
      <w:pPr>
        <w:pStyle w:val="a3"/>
        <w:numPr>
          <w:ilvl w:val="2"/>
          <w:numId w:val="1"/>
        </w:numPr>
        <w:rPr>
          <w:rtl/>
        </w:rPr>
      </w:pPr>
      <w:r w:rsidRPr="00AE02F4">
        <w:rPr>
          <w:rFonts w:cs="Arial"/>
          <w:rtl/>
        </w:rPr>
        <w:t>ידוע לי כי מסירת פרטים לא נכונים ו/או השמטת פרטים הנדרשים על פי בקשה זו מהווה עבירה על-פי כל דין, לרבות על חוק מע”מ.</w:t>
      </w:r>
    </w:p>
    <w:p w:rsidR="00AE02F4" w:rsidRDefault="00AE02F4" w:rsidP="00AE02F4">
      <w:pPr>
        <w:pStyle w:val="a3"/>
        <w:numPr>
          <w:ilvl w:val="2"/>
          <w:numId w:val="1"/>
        </w:numPr>
        <w:rPr>
          <w:rtl/>
        </w:rPr>
      </w:pPr>
      <w:r w:rsidRPr="00AE02F4">
        <w:rPr>
          <w:rFonts w:cs="Arial"/>
          <w:rtl/>
        </w:rPr>
        <w:t>אני מצהיר כי לא ידוע לי על ביקורת ו/או הליכי שומה שננקטים ו/או שננקטו, אשר טרם הובאו לסיומם, על ידי רשות המסים באשר לסיווגי כמלכ"ר לעניין חוק מע"מ ו/או פקודת מס הכנסה.</w:t>
      </w:r>
    </w:p>
    <w:p w:rsidR="00AE02F4" w:rsidRDefault="00AE02F4" w:rsidP="00AE02F4">
      <w:pPr>
        <w:pStyle w:val="a3"/>
        <w:numPr>
          <w:ilvl w:val="2"/>
          <w:numId w:val="1"/>
        </w:numPr>
        <w:rPr>
          <w:rtl/>
        </w:rPr>
      </w:pPr>
      <w:r w:rsidRPr="00AE02F4">
        <w:rPr>
          <w:rFonts w:cs="Arial"/>
          <w:rtl/>
        </w:rPr>
        <w:t>אני מתחייב כי אם יחול שינוי באחד או יותר מהפרטים שהובאו בבקשה זו  לרבות שינוי העולה על 2% בתחשיב המופיע בסעיף 3.4.5 קודם לתחילת מתן השירות במסגרת המכרז או לאחר מכן, אעדכן את המחלקה המקצועית של מע”מ ברשות המסים באופן מידי בדבר השינוי.</w:t>
      </w:r>
    </w:p>
    <w:p w:rsidR="00AE02F4" w:rsidRDefault="00AE02F4" w:rsidP="00AE02F4">
      <w:pPr>
        <w:pStyle w:val="a3"/>
        <w:numPr>
          <w:ilvl w:val="2"/>
          <w:numId w:val="1"/>
        </w:numPr>
      </w:pPr>
      <w:r w:rsidRPr="00AE02F4">
        <w:rPr>
          <w:rFonts w:cs="Arial"/>
          <w:rtl/>
        </w:rPr>
        <w:t>אני מצהיר כי הבקשה למתן החלטת מיסוי זו מוגשת בהתאם להוראות סעיף 158ג לפקודה.</w:t>
      </w:r>
    </w:p>
    <w:p w:rsidR="00AE02F4" w:rsidRDefault="00AE02F4" w:rsidP="00266D19">
      <w:pPr>
        <w:rPr>
          <w:rtl/>
        </w:rPr>
      </w:pPr>
      <w:r>
        <w:rPr>
          <w:rFonts w:hint="cs"/>
          <w:rtl/>
        </w:rPr>
        <w:t>תאריך</w:t>
      </w:r>
    </w:p>
    <w:p w:rsidR="00AE02F4" w:rsidRDefault="00AE02F4" w:rsidP="00266D19">
      <w:pPr>
        <w:rPr>
          <w:rtl/>
        </w:rPr>
      </w:pPr>
      <w:r>
        <w:rPr>
          <w:rFonts w:hint="cs"/>
          <w:rtl/>
        </w:rPr>
        <w:lastRenderedPageBreak/>
        <w:t>שם המבקש</w:t>
      </w:r>
    </w:p>
    <w:p w:rsidR="00AE02F4" w:rsidRDefault="00AE02F4" w:rsidP="00266D19">
      <w:pPr>
        <w:rPr>
          <w:rtl/>
        </w:rPr>
      </w:pPr>
      <w:r>
        <w:rPr>
          <w:rFonts w:hint="cs"/>
          <w:rtl/>
        </w:rPr>
        <w:t>תפקיד המבקש</w:t>
      </w:r>
    </w:p>
    <w:p w:rsidR="00AE02F4" w:rsidRDefault="00AE02F4" w:rsidP="00266D19">
      <w:pPr>
        <w:rPr>
          <w:rtl/>
        </w:rPr>
      </w:pPr>
      <w:r>
        <w:rPr>
          <w:rFonts w:hint="cs"/>
          <w:rtl/>
        </w:rPr>
        <w:t>חתימת המבקש</w:t>
      </w:r>
    </w:p>
    <w:p w:rsidR="0071213C" w:rsidRDefault="0071213C" w:rsidP="00266D19">
      <w:pPr>
        <w:rPr>
          <w:rtl/>
        </w:rPr>
      </w:pPr>
      <w:r>
        <w:rPr>
          <w:rFonts w:hint="cs"/>
          <w:rtl/>
        </w:rPr>
        <w:t xml:space="preserve">דף </w:t>
      </w:r>
      <w:r>
        <w:rPr>
          <w:rFonts w:hint="cs"/>
          <w:rtl/>
        </w:rPr>
        <w:t>3</w:t>
      </w:r>
      <w:r>
        <w:rPr>
          <w:rFonts w:hint="cs"/>
          <w:rtl/>
        </w:rPr>
        <w:t xml:space="preserve"> מתוך 3</w:t>
      </w:r>
    </w:p>
    <w:p w:rsidR="0071213C" w:rsidRDefault="0071213C" w:rsidP="0071213C">
      <w:pPr>
        <w:pStyle w:val="a3"/>
        <w:numPr>
          <w:ilvl w:val="0"/>
          <w:numId w:val="1"/>
        </w:numPr>
      </w:pPr>
      <w:r>
        <w:rPr>
          <w:rFonts w:hint="cs"/>
          <w:rtl/>
        </w:rPr>
        <w:t>החלטה</w:t>
      </w:r>
    </w:p>
    <w:p w:rsidR="0071213C" w:rsidRDefault="0071213C" w:rsidP="0071213C">
      <w:pPr>
        <w:pStyle w:val="a3"/>
        <w:rPr>
          <w:rtl/>
        </w:rPr>
      </w:pPr>
      <w:r>
        <w:rPr>
          <w:rFonts w:cs="Arial"/>
          <w:rtl/>
        </w:rPr>
        <w:t>במענה לבקשתכם שבנדון ומתוקף המינוי שניתן לי כסגן מנהל לעניין סעיף 158ג לפקודה, הריני נותן בזאת החלטת מיסוי (להלן: "ההחלטה") כדלקמן:</w:t>
      </w:r>
    </w:p>
    <w:p w:rsidR="0071213C" w:rsidRDefault="0071213C" w:rsidP="0071213C">
      <w:pPr>
        <w:pStyle w:val="a3"/>
        <w:numPr>
          <w:ilvl w:val="1"/>
          <w:numId w:val="1"/>
        </w:numPr>
        <w:rPr>
          <w:rtl/>
        </w:rPr>
      </w:pPr>
      <w:r>
        <w:rPr>
          <w:rFonts w:cs="Arial"/>
          <w:rtl/>
        </w:rPr>
        <w:t>בכפוף להצהרתכם לעיל, ובכפוף לכך שהמצג העובדתי המדווח על ידכם בטופס הבקשה לרבות באסמכתאות, בנספחים ובמסמכים המצורפים לו הוא מלא ונכון, הריני לאשר כי נכון למועד החלטת מיסוי זו, מתקיימים התנאים הנדרשים להיחשב כמלכ"ר לעניין חוק מע"מ וזאת בהתייחס למתן השירות על ידי המלכ"ר במסגרת המכרז ולתקופת המכרז בלבד.</w:t>
      </w:r>
    </w:p>
    <w:p w:rsidR="0071213C" w:rsidRDefault="0071213C" w:rsidP="0071213C">
      <w:pPr>
        <w:pStyle w:val="a3"/>
        <w:numPr>
          <w:ilvl w:val="1"/>
          <w:numId w:val="1"/>
        </w:numPr>
        <w:rPr>
          <w:rtl/>
        </w:rPr>
      </w:pPr>
      <w:r>
        <w:rPr>
          <w:rFonts w:cs="Arial"/>
          <w:rtl/>
        </w:rPr>
        <w:t xml:space="preserve">יובהר כי החלטת מיסוי זו תקפה כל זמן שההצהרות אשר ניתנו במסגרתה מתקיימות הן למועד ההצהרה והן לתקופת הענקת השירות במכרז ובכפוף לעמידה בדרישות חוק מע”מ לצורך סיווג כמלכ”ר ובהתקיימות התנאים </w:t>
      </w:r>
      <w:proofErr w:type="spellStart"/>
      <w:r>
        <w:rPr>
          <w:rFonts w:cs="Arial"/>
          <w:rtl/>
        </w:rPr>
        <w:t>המצויינים</w:t>
      </w:r>
      <w:proofErr w:type="spellEnd"/>
      <w:r>
        <w:rPr>
          <w:rFonts w:cs="Arial"/>
          <w:rtl/>
        </w:rPr>
        <w:t xml:space="preserve"> בסעיף 3.1 לעיל.</w:t>
      </w:r>
    </w:p>
    <w:p w:rsidR="0071213C" w:rsidRDefault="0071213C" w:rsidP="0071213C">
      <w:pPr>
        <w:pStyle w:val="a3"/>
        <w:numPr>
          <w:ilvl w:val="1"/>
          <w:numId w:val="1"/>
        </w:numPr>
        <w:rPr>
          <w:rtl/>
        </w:rPr>
      </w:pPr>
      <w:r>
        <w:rPr>
          <w:rFonts w:cs="Arial"/>
          <w:rtl/>
        </w:rPr>
        <w:t xml:space="preserve">יובהר כי במקרה של הפרת אחד או יותר מהתנאים ומההצהרות המפורטים בסעיפים 3.3. - 3.4 לעיל המלכ”ר יסווג </w:t>
      </w:r>
      <w:proofErr w:type="spellStart"/>
      <w:r>
        <w:rPr>
          <w:rFonts w:cs="Arial"/>
          <w:rtl/>
        </w:rPr>
        <w:t>כ”עוסק</w:t>
      </w:r>
      <w:proofErr w:type="spellEnd"/>
      <w:r>
        <w:rPr>
          <w:rFonts w:cs="Arial"/>
          <w:rtl/>
        </w:rPr>
        <w:t>” לעניין חוק מע”מ, וזאת לעניין השירות שניתן על ידו במסגרת המכרז.</w:t>
      </w:r>
    </w:p>
    <w:p w:rsidR="0071213C" w:rsidRDefault="0071213C" w:rsidP="0071213C">
      <w:pPr>
        <w:ind w:left="1904"/>
        <w:rPr>
          <w:rtl/>
        </w:rPr>
      </w:pPr>
      <w:r w:rsidRPr="0071213C">
        <w:rPr>
          <w:rFonts w:cs="Arial"/>
          <w:rtl/>
        </w:rPr>
        <w:t>כמו-כן, על המלכ”ר לעדכן תוך 30 יום מקיום ההפרה כאמור את המחלקה המקצועית של מע”מ ברשות המסים וכן לתקן דיווחיו למשרד האזורי במע”מ בו מתנהל תיקו.</w:t>
      </w:r>
    </w:p>
    <w:p w:rsidR="0071213C" w:rsidRDefault="0071213C" w:rsidP="0071213C">
      <w:pPr>
        <w:pStyle w:val="a3"/>
        <w:numPr>
          <w:ilvl w:val="1"/>
          <w:numId w:val="1"/>
        </w:numPr>
        <w:rPr>
          <w:rtl/>
        </w:rPr>
      </w:pPr>
      <w:r>
        <w:rPr>
          <w:rFonts w:cs="Arial"/>
          <w:rtl/>
        </w:rPr>
        <w:t>האמור בסעיף 4.3 לעיל באשר לסיווג המלכ”ר כעוסק, לא יחול כל עוד פנה המלכ”ר תוך 30 יום מקיום ההפרה כאמור למחלקה המקצועית של מע”מ ברשות המסים והתקבלה על ידה החלטה אחרת לגביו וזאת יושמה על ידי המלכ”ר במלואה.</w:t>
      </w:r>
    </w:p>
    <w:p w:rsidR="0071213C" w:rsidRDefault="0071213C" w:rsidP="0071213C">
      <w:pPr>
        <w:pStyle w:val="a3"/>
        <w:numPr>
          <w:ilvl w:val="1"/>
          <w:numId w:val="1"/>
        </w:numPr>
        <w:rPr>
          <w:rtl/>
        </w:rPr>
      </w:pPr>
      <w:r>
        <w:rPr>
          <w:rFonts w:cs="Arial"/>
          <w:rtl/>
        </w:rPr>
        <w:t xml:space="preserve">מלכ”ר אשר זכה במכרז ישלח למחלקה המקצועית של מע”מ ברשות המסים תחשיב כלכלי מאושר על-ידי כלכלן או רואה חשבון אשר מציג כי המלכ”ר אינו מגיע ליתרה חיובית כאמור בסעיף 3.4.5 לעיל. תחשיב כאמור ישלח תוך 30 יום מתאריך </w:t>
      </w:r>
      <w:proofErr w:type="spellStart"/>
      <w:r>
        <w:rPr>
          <w:rFonts w:cs="Arial"/>
          <w:rtl/>
        </w:rPr>
        <w:t>הזכיה</w:t>
      </w:r>
      <w:proofErr w:type="spellEnd"/>
      <w:r>
        <w:rPr>
          <w:rFonts w:cs="Arial"/>
          <w:rtl/>
        </w:rPr>
        <w:t xml:space="preserve"> במכרז.</w:t>
      </w:r>
    </w:p>
    <w:p w:rsidR="0071213C" w:rsidRDefault="0071213C" w:rsidP="0071213C">
      <w:pPr>
        <w:pStyle w:val="a3"/>
        <w:numPr>
          <w:ilvl w:val="1"/>
          <w:numId w:val="1"/>
        </w:numPr>
        <w:rPr>
          <w:rtl/>
        </w:rPr>
      </w:pPr>
      <w:r>
        <w:rPr>
          <w:rFonts w:cs="Arial"/>
          <w:rtl/>
        </w:rPr>
        <w:t>לממונה אזורי מע"מ ו/או לפקיד השומה נתונה כל סמכות כאמור בחוק מע"מ ו/או בפקודה לפי העניין, לבדוק את נכונות העובדות.</w:t>
      </w:r>
    </w:p>
    <w:p w:rsidR="0071213C" w:rsidRDefault="0071213C" w:rsidP="0071213C">
      <w:pPr>
        <w:pStyle w:val="a3"/>
        <w:numPr>
          <w:ilvl w:val="1"/>
          <w:numId w:val="1"/>
        </w:numPr>
        <w:rPr>
          <w:rtl/>
        </w:rPr>
      </w:pPr>
      <w:r>
        <w:rPr>
          <w:rFonts w:cs="Arial"/>
          <w:rtl/>
        </w:rPr>
        <w:t>רשות המסים שומרת לעצמה את הזכות לבטל החלטה זו אם יתברר כי המצג הנדרש בטופס הוא חלקי, אינו נכון או לא מדויק.</w:t>
      </w:r>
    </w:p>
    <w:p w:rsidR="0071213C" w:rsidRDefault="0071213C" w:rsidP="0071213C">
      <w:pPr>
        <w:pStyle w:val="a3"/>
        <w:numPr>
          <w:ilvl w:val="1"/>
          <w:numId w:val="1"/>
        </w:numPr>
      </w:pPr>
      <w:r>
        <w:rPr>
          <w:rFonts w:cs="Arial"/>
          <w:rtl/>
        </w:rPr>
        <w:t>אין החלטת מיסוי זו גורעת מרשות המסים לקבוע בשומה, בכפוף לעובדות, כי המלכ"ר אינו עומד בתנאים בחוק המתירים לו להיות מסווג כמלכ"ר לעניין חוק מע"מ.</w:t>
      </w:r>
    </w:p>
    <w:p w:rsidR="0071213C" w:rsidRDefault="0071213C" w:rsidP="0071213C">
      <w:pPr>
        <w:pStyle w:val="a3"/>
        <w:rPr>
          <w:rtl/>
        </w:rPr>
      </w:pPr>
      <w:r>
        <w:rPr>
          <w:rFonts w:hint="cs"/>
          <w:rtl/>
        </w:rPr>
        <w:t>תאריך</w:t>
      </w:r>
    </w:p>
    <w:p w:rsidR="0071213C" w:rsidRDefault="0071213C" w:rsidP="0071213C">
      <w:pPr>
        <w:pStyle w:val="a3"/>
        <w:rPr>
          <w:rtl/>
        </w:rPr>
      </w:pPr>
      <w:r>
        <w:rPr>
          <w:rFonts w:hint="cs"/>
          <w:rtl/>
        </w:rPr>
        <w:t>שם מעניק החלטת המיסוי</w:t>
      </w:r>
    </w:p>
    <w:p w:rsidR="0071213C" w:rsidRPr="00AE02F4" w:rsidRDefault="0071213C" w:rsidP="0071213C">
      <w:pPr>
        <w:pStyle w:val="a3"/>
      </w:pPr>
      <w:r>
        <w:rPr>
          <w:rFonts w:hint="cs"/>
          <w:rtl/>
        </w:rPr>
        <w:t>חתימה</w:t>
      </w:r>
      <w:bookmarkStart w:id="0" w:name="_GoBack"/>
      <w:bookmarkEnd w:id="0"/>
    </w:p>
    <w:sectPr w:rsidR="0071213C" w:rsidRPr="00AE02F4" w:rsidSect="00391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40DF"/>
    <w:multiLevelType w:val="multilevel"/>
    <w:tmpl w:val="A73AE6C6"/>
    <w:lvl w:ilvl="0">
      <w:start w:val="1"/>
      <w:numFmt w:val="decimal"/>
      <w:lvlText w:val="%1."/>
      <w:lvlJc w:val="left"/>
      <w:pPr>
        <w:ind w:left="720" w:hanging="360"/>
      </w:pPr>
      <w:rPr>
        <w:rFonts w:hint="default"/>
      </w:rPr>
    </w:lvl>
    <w:lvl w:ilvl="1">
      <w:start w:val="1"/>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1" w15:restartNumberingAfterBreak="0">
    <w:nsid w:val="1D044D79"/>
    <w:multiLevelType w:val="multilevel"/>
    <w:tmpl w:val="A73AE6C6"/>
    <w:lvl w:ilvl="0">
      <w:start w:val="1"/>
      <w:numFmt w:val="decimal"/>
      <w:lvlText w:val="%1."/>
      <w:lvlJc w:val="left"/>
      <w:pPr>
        <w:ind w:left="720" w:hanging="360"/>
      </w:pPr>
      <w:rPr>
        <w:rFonts w:hint="default"/>
      </w:rPr>
    </w:lvl>
    <w:lvl w:ilvl="1">
      <w:start w:val="1"/>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2" w15:restartNumberingAfterBreak="0">
    <w:nsid w:val="42561F08"/>
    <w:multiLevelType w:val="multilevel"/>
    <w:tmpl w:val="A73AE6C6"/>
    <w:lvl w:ilvl="0">
      <w:start w:val="1"/>
      <w:numFmt w:val="decimal"/>
      <w:lvlText w:val="%1."/>
      <w:lvlJc w:val="left"/>
      <w:pPr>
        <w:ind w:left="720" w:hanging="360"/>
      </w:pPr>
      <w:rPr>
        <w:rFonts w:hint="default"/>
      </w:rPr>
    </w:lvl>
    <w:lvl w:ilvl="1">
      <w:start w:val="1"/>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3" w15:restartNumberingAfterBreak="0">
    <w:nsid w:val="59F00A07"/>
    <w:multiLevelType w:val="multilevel"/>
    <w:tmpl w:val="A73AE6C6"/>
    <w:lvl w:ilvl="0">
      <w:start w:val="1"/>
      <w:numFmt w:val="decimal"/>
      <w:lvlText w:val="%1."/>
      <w:lvlJc w:val="left"/>
      <w:pPr>
        <w:ind w:left="720" w:hanging="360"/>
      </w:pPr>
      <w:rPr>
        <w:rFonts w:hint="default"/>
      </w:rPr>
    </w:lvl>
    <w:lvl w:ilvl="1">
      <w:start w:val="1"/>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4" w15:restartNumberingAfterBreak="0">
    <w:nsid w:val="689C7EC2"/>
    <w:multiLevelType w:val="multilevel"/>
    <w:tmpl w:val="A73AE6C6"/>
    <w:lvl w:ilvl="0">
      <w:start w:val="1"/>
      <w:numFmt w:val="decimal"/>
      <w:lvlText w:val="%1."/>
      <w:lvlJc w:val="left"/>
      <w:pPr>
        <w:ind w:left="720" w:hanging="360"/>
      </w:pPr>
      <w:rPr>
        <w:rFonts w:hint="default"/>
      </w:rPr>
    </w:lvl>
    <w:lvl w:ilvl="1">
      <w:start w:val="1"/>
      <w:numFmt w:val="decimal"/>
      <w:isLgl/>
      <w:lvlText w:val="%1.%2."/>
      <w:lvlJc w:val="left"/>
      <w:pPr>
        <w:ind w:left="1852" w:hanging="720"/>
      </w:pPr>
      <w:rPr>
        <w:rFonts w:cs="Arial" w:hint="default"/>
      </w:rPr>
    </w:lvl>
    <w:lvl w:ilvl="2">
      <w:start w:val="1"/>
      <w:numFmt w:val="decimal"/>
      <w:isLgl/>
      <w:lvlText w:val="%1.%2.%3."/>
      <w:lvlJc w:val="left"/>
      <w:pPr>
        <w:ind w:left="2624" w:hanging="720"/>
      </w:pPr>
      <w:rPr>
        <w:rFonts w:cs="Arial" w:hint="default"/>
      </w:rPr>
    </w:lvl>
    <w:lvl w:ilvl="3">
      <w:start w:val="1"/>
      <w:numFmt w:val="decimal"/>
      <w:isLgl/>
      <w:lvlText w:val="%1.%2.%3.%4."/>
      <w:lvlJc w:val="left"/>
      <w:pPr>
        <w:ind w:left="3756" w:hanging="1080"/>
      </w:pPr>
      <w:rPr>
        <w:rFonts w:cs="Arial" w:hint="default"/>
      </w:rPr>
    </w:lvl>
    <w:lvl w:ilvl="4">
      <w:start w:val="1"/>
      <w:numFmt w:val="decimal"/>
      <w:isLgl/>
      <w:lvlText w:val="%1.%2.%3.%4.%5."/>
      <w:lvlJc w:val="left"/>
      <w:pPr>
        <w:ind w:left="4528" w:hanging="1080"/>
      </w:pPr>
      <w:rPr>
        <w:rFonts w:cs="Arial" w:hint="default"/>
      </w:rPr>
    </w:lvl>
    <w:lvl w:ilvl="5">
      <w:start w:val="1"/>
      <w:numFmt w:val="decimal"/>
      <w:isLgl/>
      <w:lvlText w:val="%1.%2.%3.%4.%5.%6."/>
      <w:lvlJc w:val="left"/>
      <w:pPr>
        <w:ind w:left="5660" w:hanging="1440"/>
      </w:pPr>
      <w:rPr>
        <w:rFonts w:cs="Arial" w:hint="default"/>
      </w:rPr>
    </w:lvl>
    <w:lvl w:ilvl="6">
      <w:start w:val="1"/>
      <w:numFmt w:val="decimal"/>
      <w:isLgl/>
      <w:lvlText w:val="%1.%2.%3.%4.%5.%6.%7."/>
      <w:lvlJc w:val="left"/>
      <w:pPr>
        <w:ind w:left="6432" w:hanging="1440"/>
      </w:pPr>
      <w:rPr>
        <w:rFonts w:cs="Arial" w:hint="default"/>
      </w:rPr>
    </w:lvl>
    <w:lvl w:ilvl="7">
      <w:start w:val="1"/>
      <w:numFmt w:val="decimal"/>
      <w:isLgl/>
      <w:lvlText w:val="%1.%2.%3.%4.%5.%6.%7.%8."/>
      <w:lvlJc w:val="left"/>
      <w:pPr>
        <w:ind w:left="7564" w:hanging="1800"/>
      </w:pPr>
      <w:rPr>
        <w:rFonts w:cs="Arial" w:hint="default"/>
      </w:rPr>
    </w:lvl>
    <w:lvl w:ilvl="8">
      <w:start w:val="1"/>
      <w:numFmt w:val="decimal"/>
      <w:isLgl/>
      <w:lvlText w:val="%1.%2.%3.%4.%5.%6.%7.%8.%9."/>
      <w:lvlJc w:val="left"/>
      <w:pPr>
        <w:ind w:left="8336" w:hanging="1800"/>
      </w:pPr>
      <w:rPr>
        <w:rFonts w:cs="Arial" w:hint="default"/>
      </w:rPr>
    </w:lvl>
  </w:abstractNum>
  <w:abstractNum w:abstractNumId="5" w15:restartNumberingAfterBreak="0">
    <w:nsid w:val="7BC75267"/>
    <w:multiLevelType w:val="hybridMultilevel"/>
    <w:tmpl w:val="3CBA2790"/>
    <w:lvl w:ilvl="0" w:tplc="A2A8A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19"/>
    <w:rsid w:val="00266D19"/>
    <w:rsid w:val="00391F66"/>
    <w:rsid w:val="004D683D"/>
    <w:rsid w:val="0071213C"/>
    <w:rsid w:val="00AE02F4"/>
    <w:rsid w:val="00C13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B85B"/>
  <w15:chartTrackingRefBased/>
  <w15:docId w15:val="{18C50655-0079-4137-83BF-2AE32AC6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1168</Words>
  <Characters>5845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רעות ישר</cp:lastModifiedBy>
  <cp:revision>1</cp:revision>
  <dcterms:created xsi:type="dcterms:W3CDTF">2022-08-14T11:09:00Z</dcterms:created>
  <dcterms:modified xsi:type="dcterms:W3CDTF">2022-08-14T11:35:00Z</dcterms:modified>
</cp:coreProperties>
</file>