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EB" w:rsidRPr="00F51C71" w:rsidRDefault="008F4AEB" w:rsidP="008F4AEB">
      <w:pPr>
        <w:pStyle w:val="Heading1"/>
        <w:bidi/>
        <w:spacing w:before="0" w:line="360" w:lineRule="auto"/>
        <w:ind w:left="629" w:right="0"/>
        <w:rPr>
          <w:rFonts w:ascii="David" w:hAnsi="David" w:cs="David"/>
          <w:sz w:val="36"/>
          <w:szCs w:val="36"/>
          <w:u w:val="none"/>
        </w:rPr>
      </w:pPr>
      <w:bookmarkStart w:id="0" w:name="_GoBack"/>
      <w:bookmarkEnd w:id="0"/>
      <w:r w:rsidRPr="00F51C71">
        <w:rPr>
          <w:rFonts w:ascii="David" w:hAnsi="David" w:cs="David"/>
          <w:color w:val="000000"/>
          <w:spacing w:val="-2"/>
          <w:sz w:val="36"/>
          <w:szCs w:val="36"/>
          <w:highlight w:val="yellow"/>
          <w:rtl/>
        </w:rPr>
        <w:t>הנחיות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עזר</w:t>
      </w:r>
      <w:r w:rsidRPr="00F51C71">
        <w:rPr>
          <w:rFonts w:ascii="David" w:hAnsi="David" w:cs="David"/>
          <w:color w:val="000000"/>
          <w:spacing w:val="14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להגשת</w:t>
      </w:r>
      <w:r w:rsidRPr="00F51C71">
        <w:rPr>
          <w:rFonts w:ascii="David" w:hAnsi="David" w:cs="David"/>
          <w:color w:val="000000"/>
          <w:spacing w:val="12"/>
          <w:sz w:val="36"/>
          <w:szCs w:val="36"/>
          <w:highlight w:val="yellow"/>
          <w:rtl/>
        </w:rPr>
        <w:t xml:space="preserve"> 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  <w:rtl/>
        </w:rPr>
        <w:t>ערר</w:t>
      </w:r>
      <w:r w:rsidRPr="00F51C71">
        <w:rPr>
          <w:rFonts w:ascii="David" w:hAnsi="David" w:cs="David"/>
          <w:color w:val="000000"/>
          <w:spacing w:val="13"/>
          <w:sz w:val="36"/>
          <w:szCs w:val="36"/>
          <w:highlight w:val="yellow"/>
          <w:rtl/>
        </w:rPr>
        <w:t xml:space="preserve"> </w:t>
      </w:r>
      <w:r>
        <w:rPr>
          <w:rFonts w:ascii="David" w:hAnsi="David" w:cs="David" w:hint="cs"/>
          <w:color w:val="000000"/>
          <w:sz w:val="36"/>
          <w:szCs w:val="36"/>
          <w:highlight w:val="yellow"/>
          <w:rtl/>
        </w:rPr>
        <w:t>על הנחיות מרחביות</w:t>
      </w:r>
      <w:r w:rsidRPr="00F51C71">
        <w:rPr>
          <w:rFonts w:ascii="David" w:hAnsi="David" w:cs="David"/>
          <w:color w:val="000000"/>
          <w:sz w:val="36"/>
          <w:szCs w:val="36"/>
          <w:highlight w:val="yellow"/>
        </w:rPr>
        <w:t>:</w:t>
      </w:r>
    </w:p>
    <w:p w:rsidR="008F4AEB" w:rsidRPr="00F51C71" w:rsidRDefault="008F4AEB" w:rsidP="008F4AEB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  <w:r w:rsidRPr="00F51C71">
        <w:rPr>
          <w:rFonts w:ascii="David" w:hAnsi="David" w:cs="David"/>
          <w:spacing w:val="-5"/>
          <w:w w:val="105"/>
          <w:rtl/>
        </w:rPr>
        <w:t>כתב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הערר</w:t>
      </w:r>
      <w:r w:rsidRPr="00F51C71">
        <w:rPr>
          <w:rFonts w:ascii="David" w:hAnsi="David" w:cs="David"/>
          <w:spacing w:val="-9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יוגש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תוך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</w:rPr>
        <w:t>30</w:t>
      </w:r>
      <w:r w:rsidRPr="00F51C71">
        <w:rPr>
          <w:rFonts w:ascii="David" w:hAnsi="David" w:cs="David"/>
          <w:spacing w:val="-6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ימים</w:t>
      </w:r>
      <w:r w:rsidRPr="00F51C71">
        <w:rPr>
          <w:rFonts w:ascii="David" w:hAnsi="David" w:cs="David"/>
          <w:spacing w:val="-10"/>
          <w:w w:val="105"/>
          <w:rtl/>
        </w:rPr>
        <w:t xml:space="preserve"> </w:t>
      </w:r>
      <w:r w:rsidRPr="00F51C71">
        <w:rPr>
          <w:rFonts w:ascii="David" w:hAnsi="David" w:cs="David"/>
          <w:w w:val="105"/>
          <w:rtl/>
        </w:rPr>
        <w:t>מיום</w:t>
      </w:r>
      <w:r w:rsidRPr="00F51C71">
        <w:rPr>
          <w:rFonts w:ascii="David" w:hAnsi="David" w:cs="David"/>
          <w:spacing w:val="-9"/>
          <w:w w:val="105"/>
          <w:rtl/>
        </w:rPr>
        <w:t xml:space="preserve"> </w:t>
      </w:r>
      <w:r w:rsidR="00DE7C38">
        <w:rPr>
          <w:rFonts w:ascii="David" w:hAnsi="David" w:cs="David" w:hint="cs"/>
          <w:spacing w:val="-9"/>
          <w:w w:val="105"/>
          <w:rtl/>
        </w:rPr>
        <w:t>פרסום ההנחיות המרחביות באתר האינטרנט של הוועדה המקומית</w:t>
      </w:r>
    </w:p>
    <w:p w:rsidR="008F4AEB" w:rsidRPr="00FA7263" w:rsidRDefault="008F4AEB" w:rsidP="008F4AEB">
      <w:pPr>
        <w:pStyle w:val="Heading2"/>
        <w:bidi/>
        <w:spacing w:line="360" w:lineRule="auto"/>
        <w:ind w:left="631" w:right="0"/>
        <w:rPr>
          <w:rFonts w:ascii="David" w:hAnsi="David" w:cs="David"/>
          <w:rtl/>
        </w:rPr>
      </w:pPr>
    </w:p>
    <w:p w:rsidR="008F4AEB" w:rsidRPr="00FA7263" w:rsidRDefault="008F4AEB" w:rsidP="008F4AEB">
      <w:pPr>
        <w:pStyle w:val="Heading2"/>
        <w:numPr>
          <w:ilvl w:val="0"/>
          <w:numId w:val="1"/>
        </w:numPr>
        <w:bidi/>
        <w:spacing w:line="360" w:lineRule="auto"/>
        <w:ind w:right="0"/>
        <w:jc w:val="both"/>
        <w:rPr>
          <w:rFonts w:ascii="David" w:hAnsi="David" w:cs="David"/>
        </w:rPr>
      </w:pPr>
      <w:r w:rsidRPr="00FA7263">
        <w:rPr>
          <w:rFonts w:ascii="David" w:hAnsi="David" w:cs="David"/>
          <w:rtl/>
        </w:rPr>
        <w:t>ניתן להגיש ערר ב</w:t>
      </w:r>
      <w:r w:rsidR="00A32869">
        <w:rPr>
          <w:rFonts w:ascii="David" w:hAnsi="David" w:cs="David" w:hint="cs"/>
          <w:rtl/>
        </w:rPr>
        <w:t>כל אחת מ</w:t>
      </w:r>
      <w:r w:rsidRPr="00FA7263">
        <w:rPr>
          <w:rFonts w:ascii="David" w:hAnsi="David" w:cs="David"/>
          <w:rtl/>
        </w:rPr>
        <w:t xml:space="preserve">שתי </w:t>
      </w:r>
      <w:r w:rsidR="00A32869">
        <w:rPr>
          <w:rFonts w:ascii="David" w:hAnsi="David" w:cs="David" w:hint="cs"/>
          <w:rtl/>
        </w:rPr>
        <w:t>ה</w:t>
      </w:r>
      <w:r w:rsidRPr="00FA7263">
        <w:rPr>
          <w:rFonts w:ascii="David" w:hAnsi="David" w:cs="David"/>
          <w:rtl/>
        </w:rPr>
        <w:t xml:space="preserve">דרכים </w:t>
      </w:r>
      <w:r w:rsidR="00A32869">
        <w:rPr>
          <w:rFonts w:ascii="David" w:hAnsi="David" w:cs="David" w:hint="cs"/>
          <w:rtl/>
        </w:rPr>
        <w:t xml:space="preserve">הבאות, </w:t>
      </w:r>
      <w:r w:rsidRPr="00FA7263">
        <w:rPr>
          <w:rFonts w:ascii="David" w:hAnsi="David" w:cs="David"/>
          <w:rtl/>
        </w:rPr>
        <w:t>לפי בחיר</w:t>
      </w:r>
      <w:r>
        <w:rPr>
          <w:rFonts w:ascii="David" w:hAnsi="David" w:cs="David" w:hint="cs"/>
          <w:rtl/>
        </w:rPr>
        <w:t>ת</w:t>
      </w:r>
      <w:r w:rsidRPr="00FA7263">
        <w:rPr>
          <w:rFonts w:ascii="David" w:hAnsi="David" w:cs="David"/>
          <w:rtl/>
        </w:rPr>
        <w:t xml:space="preserve"> העורר:</w:t>
      </w:r>
    </w:p>
    <w:p w:rsidR="008F4AEB" w:rsidRPr="00FA7263" w:rsidRDefault="008F4AEB" w:rsidP="008F4AEB">
      <w:pPr>
        <w:pStyle w:val="Heading2"/>
        <w:numPr>
          <w:ilvl w:val="1"/>
          <w:numId w:val="1"/>
        </w:numPr>
        <w:bidi/>
        <w:spacing w:line="360" w:lineRule="auto"/>
        <w:ind w:right="0"/>
        <w:jc w:val="both"/>
        <w:rPr>
          <w:rFonts w:ascii="David" w:hAnsi="David" w:cs="David"/>
          <w:b w:val="0"/>
          <w:bCs w:val="0"/>
          <w:rtl/>
        </w:rPr>
      </w:pP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יוגש</w:t>
      </w:r>
      <w:r w:rsidRPr="00FA7263">
        <w:rPr>
          <w:rFonts w:ascii="David" w:hAnsi="David" w:cs="David"/>
          <w:b w:val="0"/>
          <w:bCs w:val="0"/>
          <w:spacing w:val="4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למזכירות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ועדת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הערר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בכתב</w:t>
      </w:r>
      <w:r w:rsidRPr="00FA7263">
        <w:rPr>
          <w:rFonts w:ascii="David" w:hAnsi="David" w:cs="David"/>
          <w:b w:val="0"/>
          <w:bCs w:val="0"/>
          <w:w w:val="105"/>
        </w:rPr>
        <w:t>,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בשישה</w:t>
      </w:r>
      <w:r w:rsidRPr="00876456">
        <w:rPr>
          <w:rFonts w:ascii="David" w:hAnsi="David" w:cs="David"/>
          <w:spacing w:val="5"/>
          <w:w w:val="105"/>
          <w:u w:val="single"/>
          <w:rtl/>
        </w:rPr>
        <w:t xml:space="preserve"> </w:t>
      </w:r>
      <w:r w:rsidRPr="00876456">
        <w:rPr>
          <w:rFonts w:ascii="David" w:hAnsi="David" w:cs="David"/>
          <w:w w:val="105"/>
          <w:u w:val="single"/>
          <w:rtl/>
        </w:rPr>
        <w:t>עותקי</w:t>
      </w:r>
      <w:r w:rsidRPr="00FA7263">
        <w:rPr>
          <w:rFonts w:ascii="David" w:hAnsi="David" w:cs="David"/>
          <w:w w:val="105"/>
          <w:u w:val="single"/>
          <w:rtl/>
        </w:rPr>
        <w:t>ם</w:t>
      </w:r>
      <w:r w:rsidRPr="00FA7263">
        <w:rPr>
          <w:rFonts w:ascii="David" w:hAnsi="David" w:cs="David"/>
          <w:w w:val="105"/>
          <w:u w:val="single"/>
        </w:rPr>
        <w:t>,</w:t>
      </w:r>
      <w:r w:rsidRPr="00FA7263">
        <w:rPr>
          <w:rFonts w:ascii="David" w:hAnsi="David" w:cs="David"/>
          <w:b w:val="0"/>
          <w:bCs w:val="0"/>
          <w:spacing w:val="10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בצירוף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עותקים</w:t>
      </w:r>
      <w:r w:rsidRPr="00FA7263">
        <w:rPr>
          <w:rFonts w:ascii="David" w:hAnsi="David" w:cs="David"/>
          <w:b w:val="0"/>
          <w:bCs w:val="0"/>
          <w:spacing w:val="7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נוספים</w:t>
      </w:r>
      <w:r w:rsidRPr="00FA7263">
        <w:rPr>
          <w:rFonts w:ascii="David" w:hAnsi="David" w:cs="David"/>
          <w:b w:val="0"/>
          <w:bCs w:val="0"/>
          <w:spacing w:val="6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לפי</w:t>
      </w:r>
      <w:r w:rsidRPr="00FA7263">
        <w:rPr>
          <w:rFonts w:ascii="David" w:hAnsi="David" w:cs="David"/>
          <w:b w:val="0"/>
          <w:bCs w:val="0"/>
          <w:spacing w:val="5"/>
          <w:w w:val="105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w w:val="105"/>
          <w:rtl/>
        </w:rPr>
        <w:t>מספר</w:t>
      </w:r>
      <w:r w:rsidRPr="00FA7263">
        <w:rPr>
          <w:rFonts w:ascii="David" w:hAnsi="David" w:cs="David"/>
          <w:b w:val="0"/>
          <w:bCs w:val="0"/>
          <w:rtl/>
        </w:rPr>
        <w:t xml:space="preserve"> </w:t>
      </w:r>
      <w:r w:rsidRPr="00FA7263">
        <w:rPr>
          <w:rFonts w:ascii="David" w:hAnsi="David" w:cs="David"/>
          <w:b w:val="0"/>
          <w:bCs w:val="0"/>
          <w:spacing w:val="-2"/>
          <w:w w:val="110"/>
          <w:rtl/>
        </w:rPr>
        <w:t>המשיבים</w:t>
      </w:r>
      <w:r w:rsidR="00C0731D">
        <w:rPr>
          <w:rFonts w:ascii="David" w:hAnsi="David" w:cs="David" w:hint="cs"/>
          <w:b w:val="0"/>
          <w:bCs w:val="0"/>
          <w:spacing w:val="-2"/>
          <w:w w:val="110"/>
          <w:rtl/>
        </w:rPr>
        <w:t>, והעתק יישלח ב</w:t>
      </w:r>
      <w:r w:rsidR="00A32869">
        <w:rPr>
          <w:rFonts w:ascii="David" w:hAnsi="David" w:cs="David" w:hint="cs"/>
          <w:b w:val="0"/>
          <w:bCs w:val="0"/>
          <w:spacing w:val="-2"/>
          <w:w w:val="110"/>
          <w:rtl/>
        </w:rPr>
        <w:t>דוא"</w:t>
      </w:r>
      <w:r w:rsidR="00C0731D">
        <w:rPr>
          <w:rFonts w:ascii="David" w:hAnsi="David" w:cs="David" w:hint="cs"/>
          <w:b w:val="0"/>
          <w:bCs w:val="0"/>
          <w:spacing w:val="-2"/>
          <w:w w:val="110"/>
          <w:rtl/>
        </w:rPr>
        <w:t>ל לוועדת הערר</w:t>
      </w:r>
      <w:r w:rsidRPr="00FA7263">
        <w:rPr>
          <w:rFonts w:ascii="David" w:hAnsi="David" w:cs="David"/>
          <w:b w:val="0"/>
          <w:bCs w:val="0"/>
          <w:spacing w:val="-2"/>
          <w:w w:val="110"/>
        </w:rPr>
        <w:t>.</w:t>
      </w:r>
    </w:p>
    <w:p w:rsidR="008F4AEB" w:rsidRDefault="008F4AEB" w:rsidP="000E321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 xml:space="preserve">הערר </w:t>
      </w:r>
      <w:r w:rsidR="000E3211" w:rsidRPr="00FA7263">
        <w:rPr>
          <w:rFonts w:ascii="David" w:hAnsi="David" w:cs="David"/>
          <w:sz w:val="24"/>
          <w:szCs w:val="24"/>
          <w:rtl/>
        </w:rPr>
        <w:t xml:space="preserve">יוגש למזכירות ועדת הערר בכתב, </w:t>
      </w:r>
      <w:r w:rsidR="000E3211" w:rsidRPr="00876456">
        <w:rPr>
          <w:rFonts w:ascii="David" w:hAnsi="David" w:cs="David"/>
          <w:b/>
          <w:bCs/>
          <w:sz w:val="24"/>
          <w:szCs w:val="24"/>
          <w:u w:val="single"/>
          <w:rtl/>
        </w:rPr>
        <w:t>בשני עותקים</w:t>
      </w:r>
      <w:r w:rsidR="000E3211" w:rsidRPr="00FA7263">
        <w:rPr>
          <w:rFonts w:ascii="David" w:hAnsi="David" w:cs="David"/>
          <w:b/>
          <w:bCs/>
          <w:sz w:val="24"/>
          <w:szCs w:val="24"/>
          <w:u w:val="single"/>
          <w:rtl/>
        </w:rPr>
        <w:t>,</w:t>
      </w:r>
      <w:r w:rsidR="000E3211" w:rsidRPr="00FA7263">
        <w:rPr>
          <w:rFonts w:ascii="David" w:hAnsi="David" w:cs="David"/>
          <w:sz w:val="24"/>
          <w:szCs w:val="24"/>
          <w:rtl/>
        </w:rPr>
        <w:t xml:space="preserve"> בצירוף עותקי</w:t>
      </w:r>
      <w:r w:rsidR="000E3211">
        <w:rPr>
          <w:rFonts w:ascii="David" w:hAnsi="David" w:cs="David" w:hint="cs"/>
          <w:sz w:val="24"/>
          <w:szCs w:val="24"/>
          <w:rtl/>
        </w:rPr>
        <w:t>ם</w:t>
      </w:r>
      <w:r w:rsidR="000E3211" w:rsidRPr="00FA7263">
        <w:rPr>
          <w:rFonts w:ascii="David" w:hAnsi="David" w:cs="David"/>
          <w:sz w:val="24"/>
          <w:szCs w:val="24"/>
          <w:rtl/>
        </w:rPr>
        <w:t xml:space="preserve"> נוספים לפי מספר המשיבים</w:t>
      </w:r>
      <w:r w:rsidR="000E3211">
        <w:rPr>
          <w:rFonts w:ascii="David" w:hAnsi="David" w:cs="David" w:hint="cs"/>
          <w:sz w:val="24"/>
          <w:szCs w:val="24"/>
          <w:rtl/>
        </w:rPr>
        <w:t xml:space="preserve">, ובלבד שהוגש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לא</w:t>
      </w:r>
      <w:r w:rsidR="000E321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יאוחר</w:t>
      </w:r>
      <w:r w:rsidR="000E321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מהמועד</w:t>
      </w:r>
      <w:r w:rsidR="000E321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האחרון</w:t>
      </w:r>
      <w:r w:rsidR="000E321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להגשת</w:t>
      </w:r>
      <w:r w:rsidR="000E3211" w:rsidRPr="0041299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E3211" w:rsidRPr="00412993">
        <w:rPr>
          <w:rFonts w:ascii="David" w:hAnsi="David" w:cs="David" w:hint="eastAsia"/>
          <w:b/>
          <w:bCs/>
          <w:sz w:val="24"/>
          <w:szCs w:val="24"/>
          <w:rtl/>
        </w:rPr>
        <w:t>הערר</w:t>
      </w:r>
      <w:r w:rsidR="000E3211">
        <w:rPr>
          <w:rFonts w:ascii="David" w:hAnsi="David" w:cs="David" w:hint="cs"/>
          <w:sz w:val="24"/>
          <w:szCs w:val="24"/>
          <w:rtl/>
        </w:rPr>
        <w:t xml:space="preserve"> </w:t>
      </w:r>
      <w:r w:rsidR="000E3211" w:rsidRPr="00FA7263">
        <w:rPr>
          <w:rFonts w:ascii="David" w:hAnsi="David" w:cs="David"/>
          <w:sz w:val="24"/>
          <w:szCs w:val="24"/>
          <w:rtl/>
        </w:rPr>
        <w:t>עותק</w:t>
      </w:r>
      <w:r w:rsidR="000E3211" w:rsidRPr="00FA7263">
        <w:rPr>
          <w:rFonts w:ascii="David" w:hAnsi="David" w:cs="David"/>
          <w:sz w:val="24"/>
          <w:szCs w:val="24"/>
        </w:rPr>
        <w:t xml:space="preserve"> </w:t>
      </w:r>
      <w:r w:rsidR="000E3211" w:rsidRPr="00FA7263">
        <w:rPr>
          <w:rFonts w:ascii="David" w:hAnsi="David" w:cs="David"/>
          <w:sz w:val="24"/>
          <w:szCs w:val="24"/>
          <w:rtl/>
        </w:rPr>
        <w:t>נוסף בדרך מקוונת באמצעות "טופס מקוון להגשת ערר" (</w:t>
      </w:r>
      <w:r w:rsidR="000E3211">
        <w:rPr>
          <w:rFonts w:ascii="David" w:hAnsi="David" w:cs="David" w:hint="cs"/>
          <w:sz w:val="24"/>
          <w:szCs w:val="24"/>
          <w:rtl/>
        </w:rPr>
        <w:t xml:space="preserve">הזמין </w:t>
      </w:r>
      <w:r w:rsidR="000E3211" w:rsidRPr="00FA7263">
        <w:rPr>
          <w:rFonts w:ascii="David" w:hAnsi="David" w:cs="David"/>
          <w:sz w:val="24"/>
          <w:szCs w:val="24"/>
          <w:rtl/>
        </w:rPr>
        <w:t xml:space="preserve">באתר האינטרנט של </w:t>
      </w:r>
      <w:proofErr w:type="spellStart"/>
      <w:r w:rsidR="000E3211" w:rsidRPr="00FA7263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="000E3211" w:rsidRPr="00FA7263">
        <w:rPr>
          <w:rFonts w:ascii="David" w:hAnsi="David" w:cs="David"/>
          <w:sz w:val="24"/>
          <w:szCs w:val="24"/>
          <w:rtl/>
        </w:rPr>
        <w:t xml:space="preserve"> התכנון). ערר שנשלח בדרך מקוונת לאחר השעה 16:00 בימים א' עד ה' או ביום ו' או ביום מנוחה הקבוע בחיקוק, יראו אותו כאילו</w:t>
      </w:r>
      <w:r w:rsidR="000E3211" w:rsidRPr="00FA7263">
        <w:rPr>
          <w:rFonts w:ascii="David" w:hAnsi="David" w:cs="David"/>
          <w:sz w:val="24"/>
          <w:szCs w:val="24"/>
        </w:rPr>
        <w:t xml:space="preserve"> </w:t>
      </w:r>
      <w:r w:rsidR="000E3211" w:rsidRPr="00FA7263">
        <w:rPr>
          <w:rFonts w:ascii="David" w:hAnsi="David" w:cs="David"/>
          <w:sz w:val="24"/>
          <w:szCs w:val="24"/>
          <w:rtl/>
        </w:rPr>
        <w:t>נשלח ביום החול שלאחריו</w:t>
      </w:r>
      <w:r w:rsidRPr="00FA7263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8F4AEB" w:rsidRPr="00FA7263" w:rsidRDefault="008F4AEB" w:rsidP="008F4AE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על הערר לכלול את כל אלה:</w:t>
      </w:r>
    </w:p>
    <w:p w:rsidR="000E3211" w:rsidRPr="00705A27" w:rsidRDefault="000E3211" w:rsidP="000E321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w w:val="110"/>
          <w:sz w:val="24"/>
          <w:szCs w:val="24"/>
          <w:rtl/>
        </w:rPr>
        <w:t>העורר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מען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או </w:t>
      </w:r>
      <w:r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נייד</w:t>
      </w:r>
      <w:r>
        <w:rPr>
          <w:rFonts w:ascii="David" w:hAnsi="David" w:cs="David" w:hint="cs"/>
          <w:w w:val="110"/>
          <w:sz w:val="24"/>
          <w:szCs w:val="24"/>
          <w:rtl/>
        </w:rPr>
        <w:t>;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וככל שיש </w:t>
      </w:r>
      <w:r>
        <w:rPr>
          <w:rFonts w:ascii="David" w:hAnsi="David" w:cs="David"/>
          <w:w w:val="110"/>
          <w:sz w:val="24"/>
          <w:szCs w:val="24"/>
          <w:rtl/>
        </w:rPr>
        <w:t>–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Pr="00412993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Pr="00705A27">
        <w:rPr>
          <w:rFonts w:ascii="David" w:hAnsi="David" w:cs="David"/>
          <w:w w:val="110"/>
          <w:sz w:val="24"/>
          <w:szCs w:val="24"/>
          <w:rtl/>
        </w:rPr>
        <w:t>ל</w:t>
      </w:r>
      <w:r w:rsidRPr="00412993">
        <w:rPr>
          <w:rFonts w:ascii="David" w:hAnsi="David" w:cs="David"/>
          <w:w w:val="110"/>
          <w:sz w:val="24"/>
          <w:szCs w:val="24"/>
          <w:rtl/>
        </w:rPr>
        <w:t>.</w:t>
      </w:r>
    </w:p>
    <w:p w:rsidR="000E3211" w:rsidRPr="00705A27" w:rsidRDefault="000E3211" w:rsidP="000E321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/>
          <w:w w:val="110"/>
          <w:sz w:val="24"/>
          <w:szCs w:val="24"/>
          <w:rtl/>
        </w:rPr>
        <w:t>פרטי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המשיבים</w:t>
      </w:r>
      <w:r w:rsidRPr="00705A27">
        <w:rPr>
          <w:rFonts w:ascii="David" w:hAnsi="David" w:cs="David"/>
          <w:w w:val="110"/>
          <w:sz w:val="24"/>
          <w:szCs w:val="24"/>
        </w:rPr>
        <w:t>: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שמותיהם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>
        <w:rPr>
          <w:rFonts w:ascii="David" w:hAnsi="David" w:cs="David" w:hint="cs"/>
          <w:w w:val="110"/>
          <w:sz w:val="24"/>
          <w:szCs w:val="24"/>
          <w:rtl/>
        </w:rPr>
        <w:t>ו</w:t>
      </w:r>
      <w:r>
        <w:rPr>
          <w:rFonts w:ascii="David" w:hAnsi="David" w:cs="David"/>
          <w:w w:val="110"/>
          <w:sz w:val="24"/>
          <w:szCs w:val="24"/>
          <w:rtl/>
        </w:rPr>
        <w:t>מענ</w:t>
      </w:r>
      <w:r>
        <w:rPr>
          <w:rFonts w:ascii="David" w:hAnsi="David" w:cs="David" w:hint="cs"/>
          <w:w w:val="110"/>
          <w:sz w:val="24"/>
          <w:szCs w:val="24"/>
          <w:rtl/>
        </w:rPr>
        <w:t>ם;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וככל שיש בידי העורר </w:t>
      </w:r>
      <w:r>
        <w:rPr>
          <w:rFonts w:ascii="David" w:hAnsi="David" w:cs="David"/>
          <w:w w:val="110"/>
          <w:sz w:val="24"/>
          <w:szCs w:val="24"/>
          <w:rtl/>
        </w:rPr>
        <w:t>–</w:t>
      </w:r>
      <w:r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טלפון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מספר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פקס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  <w:rtl/>
        </w:rPr>
        <w:t>וכתובת</w:t>
      </w:r>
      <w:r w:rsidRPr="00794BB1">
        <w:rPr>
          <w:rFonts w:ascii="David" w:hAnsi="David" w:cs="David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>
        <w:rPr>
          <w:rFonts w:ascii="David" w:hAnsi="David" w:cs="David" w:hint="cs"/>
          <w:w w:val="110"/>
          <w:sz w:val="24"/>
          <w:szCs w:val="24"/>
          <w:rtl/>
        </w:rPr>
        <w:t>ל של המשיבים.</w:t>
      </w:r>
    </w:p>
    <w:p w:rsidR="008F4AEB" w:rsidRPr="000E3211" w:rsidRDefault="000E3211" w:rsidP="000E321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05A27">
        <w:rPr>
          <w:rFonts w:ascii="David" w:hAnsi="David" w:cs="David" w:hint="cs"/>
          <w:w w:val="110"/>
          <w:sz w:val="24"/>
          <w:szCs w:val="24"/>
          <w:rtl/>
        </w:rPr>
        <w:t>אם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העורר מיוצג על ידי עורך דין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 xml:space="preserve"> </w:t>
      </w:r>
      <w:r w:rsidRPr="00705A27">
        <w:rPr>
          <w:rFonts w:ascii="David" w:hAnsi="David" w:cs="David"/>
          <w:w w:val="110"/>
          <w:sz w:val="24"/>
          <w:szCs w:val="24"/>
        </w:rPr>
        <w:t>-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שם ב</w:t>
      </w:r>
      <w:r w:rsidRPr="00705A27">
        <w:rPr>
          <w:rFonts w:ascii="David" w:hAnsi="David" w:cs="David"/>
          <w:w w:val="110"/>
          <w:sz w:val="24"/>
          <w:szCs w:val="24"/>
        </w:rPr>
        <w:t>"</w:t>
      </w:r>
      <w:r w:rsidRPr="00705A27">
        <w:rPr>
          <w:rFonts w:ascii="David" w:hAnsi="David" w:cs="David"/>
          <w:w w:val="110"/>
          <w:sz w:val="24"/>
          <w:szCs w:val="24"/>
          <w:rtl/>
        </w:rPr>
        <w:t>כ העורר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מען למסירת מסמכים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מספר טלפון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מספר פקס</w:t>
      </w:r>
      <w:r w:rsidRPr="00705A27">
        <w:rPr>
          <w:rFonts w:ascii="David" w:hAnsi="David" w:cs="David"/>
          <w:w w:val="110"/>
          <w:sz w:val="24"/>
          <w:szCs w:val="24"/>
        </w:rPr>
        <w:t>,</w:t>
      </w:r>
      <w:r w:rsidRPr="00705A27">
        <w:rPr>
          <w:rFonts w:ascii="David" w:hAnsi="David" w:cs="David"/>
          <w:w w:val="110"/>
          <w:sz w:val="24"/>
          <w:szCs w:val="24"/>
          <w:rtl/>
        </w:rPr>
        <w:t xml:space="preserve"> כתובת </w:t>
      </w:r>
      <w:r w:rsidRPr="00705A27">
        <w:rPr>
          <w:rFonts w:ascii="David" w:hAnsi="David" w:cs="David" w:hint="cs"/>
          <w:w w:val="110"/>
          <w:sz w:val="24"/>
          <w:szCs w:val="24"/>
          <w:rtl/>
        </w:rPr>
        <w:t>דוא"</w:t>
      </w:r>
      <w:r w:rsidRPr="00705A27">
        <w:rPr>
          <w:rFonts w:ascii="David" w:hAnsi="David" w:cs="David"/>
          <w:w w:val="110"/>
          <w:sz w:val="24"/>
          <w:szCs w:val="24"/>
          <w:rtl/>
        </w:rPr>
        <w:t>ל וייפוי כוח</w:t>
      </w:r>
      <w:r w:rsidRPr="00705A27">
        <w:rPr>
          <w:rFonts w:ascii="David" w:hAnsi="David" w:cs="David"/>
          <w:w w:val="110"/>
          <w:sz w:val="24"/>
          <w:szCs w:val="24"/>
        </w:rPr>
        <w:t>.</w:t>
      </w:r>
    </w:p>
    <w:p w:rsidR="008F4AEB" w:rsidRPr="00FA7263" w:rsidRDefault="008F4AEB" w:rsidP="008F4AE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פרטי הבקשה שלגביה ניתנה ההחלטה נושא הערר (פרטי המקרקעין/הנכס – כתובת, מס' גוש ומס' חלקה</w:t>
      </w:r>
      <w:r w:rsidRPr="00FA7263">
        <w:rPr>
          <w:rFonts w:ascii="David" w:hAnsi="David" w:cs="David"/>
          <w:w w:val="110"/>
          <w:sz w:val="24"/>
          <w:szCs w:val="24"/>
        </w:rPr>
        <w:t>(</w:t>
      </w:r>
    </w:p>
    <w:p w:rsidR="008F4AEB" w:rsidRPr="00FA7263" w:rsidRDefault="008F4AEB" w:rsidP="000E321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פרטי ההחלטה שעליה מוגש</w:t>
      </w:r>
      <w:r w:rsidRPr="00FA7263">
        <w:rPr>
          <w:rFonts w:ascii="David" w:hAnsi="David" w:cs="David"/>
          <w:w w:val="110"/>
          <w:sz w:val="24"/>
          <w:szCs w:val="24"/>
        </w:rPr>
        <w:t>.</w:t>
      </w:r>
    </w:p>
    <w:p w:rsidR="008F4AEB" w:rsidRPr="00FA7263" w:rsidRDefault="008F4AEB" w:rsidP="008F4AE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sz w:val="24"/>
          <w:szCs w:val="24"/>
          <w:rtl/>
        </w:rPr>
        <w:t>נימוקי הערר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8F4AEB" w:rsidRPr="00FA7263" w:rsidRDefault="008F4AEB" w:rsidP="008F4AE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A7263">
        <w:rPr>
          <w:rFonts w:ascii="David" w:hAnsi="David" w:cs="David"/>
          <w:w w:val="110"/>
          <w:sz w:val="24"/>
          <w:szCs w:val="24"/>
          <w:rtl/>
        </w:rPr>
        <w:t>עיקר הראיות שהעורר מבקש להביא בפני ועדת הערר</w:t>
      </w:r>
      <w:r w:rsidRPr="00FA7263">
        <w:rPr>
          <w:rFonts w:ascii="David" w:hAnsi="David" w:cs="David"/>
          <w:w w:val="110"/>
          <w:sz w:val="24"/>
          <w:szCs w:val="24"/>
        </w:rPr>
        <w:t>.</w:t>
      </w:r>
    </w:p>
    <w:p w:rsidR="008F4AEB" w:rsidRPr="00FA7263" w:rsidRDefault="008F4AEB" w:rsidP="008F4AEB">
      <w:pPr>
        <w:pStyle w:val="ListParagraph"/>
        <w:bidi/>
        <w:spacing w:line="48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8F4AEB" w:rsidRPr="00FA7263" w:rsidRDefault="008F4AEB" w:rsidP="008F4AEB">
      <w:pPr>
        <w:pStyle w:val="BodyText"/>
        <w:bidi/>
        <w:spacing w:before="0" w:line="360" w:lineRule="auto"/>
        <w:ind w:left="117"/>
        <w:jc w:val="both"/>
        <w:rPr>
          <w:rFonts w:ascii="David" w:hAnsi="David" w:cs="David"/>
        </w:rPr>
      </w:pPr>
      <w:r w:rsidRPr="00FA7263">
        <w:rPr>
          <w:rFonts w:ascii="David" w:hAnsi="David" w:cs="David"/>
          <w:spacing w:val="-2"/>
          <w:w w:val="110"/>
          <w:u w:val="single"/>
          <w:rtl/>
        </w:rPr>
        <w:t>לתשומת</w:t>
      </w:r>
      <w:r w:rsidRPr="00FA7263">
        <w:rPr>
          <w:rFonts w:ascii="David" w:hAnsi="David" w:cs="David"/>
          <w:spacing w:val="-1"/>
          <w:w w:val="110"/>
          <w:u w:val="single"/>
          <w:rtl/>
        </w:rPr>
        <w:t xml:space="preserve"> </w:t>
      </w:r>
      <w:r w:rsidRPr="00FA7263">
        <w:rPr>
          <w:rFonts w:ascii="David" w:hAnsi="David" w:cs="David"/>
          <w:w w:val="110"/>
          <w:u w:val="single"/>
          <w:rtl/>
        </w:rPr>
        <w:t>ליבכם</w:t>
      </w:r>
      <w:r w:rsidRPr="00FA7263">
        <w:rPr>
          <w:rFonts w:ascii="David" w:hAnsi="David" w:cs="David"/>
          <w:w w:val="110"/>
          <w:u w:val="single"/>
        </w:rPr>
        <w:t>:</w:t>
      </w:r>
    </w:p>
    <w:p w:rsidR="008F4AEB" w:rsidRPr="00FA7263" w:rsidRDefault="008F4AEB" w:rsidP="00C33A7E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left"/>
        <w:rPr>
          <w:rFonts w:ascii="David" w:hAnsi="David" w:cs="David"/>
        </w:rPr>
      </w:pPr>
      <w:r w:rsidRPr="00FA7263">
        <w:rPr>
          <w:rFonts w:ascii="David" w:hAnsi="David" w:cs="David"/>
          <w:w w:val="110"/>
          <w:rtl/>
        </w:rPr>
        <w:t>הגשת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הערר</w:t>
      </w:r>
      <w:r w:rsidRPr="00FA7263">
        <w:rPr>
          <w:rFonts w:ascii="David" w:hAnsi="David" w:cs="David"/>
          <w:spacing w:val="-16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אינה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כרוכה</w:t>
      </w:r>
      <w:r w:rsidRPr="00FA7263">
        <w:rPr>
          <w:rFonts w:ascii="David" w:hAnsi="David" w:cs="David"/>
          <w:spacing w:val="-16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בתשלום</w:t>
      </w:r>
      <w:r w:rsidRPr="00FA7263">
        <w:rPr>
          <w:rFonts w:ascii="David" w:hAnsi="David" w:cs="David"/>
          <w:spacing w:val="-17"/>
          <w:w w:val="110"/>
          <w:rtl/>
        </w:rPr>
        <w:t xml:space="preserve"> </w:t>
      </w:r>
      <w:r w:rsidRPr="00FA7263">
        <w:rPr>
          <w:rFonts w:ascii="David" w:hAnsi="David" w:cs="David"/>
          <w:w w:val="110"/>
          <w:rtl/>
        </w:rPr>
        <w:t>אגרה</w:t>
      </w:r>
      <w:r w:rsidRPr="00FA7263">
        <w:rPr>
          <w:rFonts w:ascii="David" w:hAnsi="David" w:cs="David"/>
          <w:w w:val="110"/>
        </w:rPr>
        <w:t>.</w:t>
      </w:r>
    </w:p>
    <w:p w:rsidR="000E3211" w:rsidRPr="00705A27" w:rsidRDefault="000E3211" w:rsidP="00C33A7E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left"/>
        <w:rPr>
          <w:rFonts w:ascii="David" w:hAnsi="David" w:cs="David"/>
        </w:rPr>
      </w:pPr>
      <w:r w:rsidRPr="00705A27">
        <w:rPr>
          <w:rFonts w:ascii="David" w:hAnsi="David" w:cs="David"/>
          <w:w w:val="105"/>
          <w:rtl/>
        </w:rPr>
        <w:t>את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</w:t>
      </w:r>
      <w:r>
        <w:rPr>
          <w:rFonts w:ascii="David" w:hAnsi="David" w:cs="David" w:hint="cs"/>
          <w:w w:val="105"/>
          <w:rtl/>
        </w:rPr>
        <w:t>עותקים הפיזיים של ה</w:t>
      </w:r>
      <w:r w:rsidRPr="00705A27">
        <w:rPr>
          <w:rFonts w:ascii="David" w:hAnsi="David" w:cs="David"/>
          <w:w w:val="105"/>
          <w:rtl/>
        </w:rPr>
        <w:t>ערר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יש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להגיש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לו</w:t>
      </w:r>
      <w:r w:rsidRPr="00705A27">
        <w:rPr>
          <w:rFonts w:ascii="David" w:hAnsi="David" w:cs="David" w:hint="cs"/>
          <w:w w:val="105"/>
          <w:rtl/>
        </w:rPr>
        <w:t>ו</w:t>
      </w:r>
      <w:r w:rsidRPr="00705A27">
        <w:rPr>
          <w:rFonts w:ascii="David" w:hAnsi="David" w:cs="David"/>
          <w:w w:val="105"/>
          <w:rtl/>
        </w:rPr>
        <w:t>עדת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הערר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במסירה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ידנית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או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בדואר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רשום</w:t>
      </w:r>
      <w:r>
        <w:rPr>
          <w:rFonts w:ascii="David" w:hAnsi="David" w:cs="David" w:hint="cs"/>
          <w:w w:val="105"/>
          <w:rtl/>
        </w:rPr>
        <w:t>,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ובלבד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ש</w:t>
      </w:r>
      <w:r w:rsidRPr="00705A27">
        <w:rPr>
          <w:rFonts w:ascii="David" w:hAnsi="David" w:cs="David" w:hint="cs"/>
          <w:w w:val="105"/>
          <w:rtl/>
        </w:rPr>
        <w:t xml:space="preserve">הערר </w:t>
      </w:r>
      <w:r w:rsidRPr="00705A27">
        <w:rPr>
          <w:rFonts w:ascii="David" w:hAnsi="David" w:cs="David"/>
          <w:w w:val="105"/>
          <w:rtl/>
        </w:rPr>
        <w:t>ע</w:t>
      </w:r>
      <w:r w:rsidRPr="00705A27">
        <w:rPr>
          <w:rFonts w:ascii="David" w:hAnsi="David" w:cs="David" w:hint="cs"/>
          <w:w w:val="105"/>
          <w:rtl/>
        </w:rPr>
        <w:t>ו</w:t>
      </w:r>
      <w:r w:rsidRPr="00705A27">
        <w:rPr>
          <w:rFonts w:ascii="David" w:hAnsi="David" w:cs="David"/>
          <w:w w:val="105"/>
          <w:rtl/>
        </w:rPr>
        <w:t>מד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בכל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דרישות</w:t>
      </w:r>
      <w:r w:rsidRPr="00705A27">
        <w:rPr>
          <w:rFonts w:ascii="David" w:hAnsi="David" w:cs="David"/>
          <w:rtl/>
        </w:rPr>
        <w:t xml:space="preserve"> </w:t>
      </w:r>
      <w:r w:rsidRPr="006F47B1">
        <w:rPr>
          <w:rFonts w:ascii="David" w:hAnsi="David" w:cs="David"/>
          <w:w w:val="105"/>
          <w:rtl/>
        </w:rPr>
        <w:t xml:space="preserve">הדין </w:t>
      </w:r>
      <w:r w:rsidRPr="00705A27">
        <w:rPr>
          <w:rFonts w:ascii="David" w:hAnsi="David" w:cs="David"/>
          <w:w w:val="105"/>
          <w:rtl/>
        </w:rPr>
        <w:t>להגשת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05"/>
          <w:rtl/>
        </w:rPr>
        <w:t>הערר</w:t>
      </w:r>
      <w:r>
        <w:rPr>
          <w:rFonts w:ascii="David" w:hAnsi="David" w:cs="David" w:hint="cs"/>
          <w:w w:val="105"/>
          <w:rtl/>
        </w:rPr>
        <w:t>.</w:t>
      </w:r>
      <w:r w:rsidRPr="006F47B1">
        <w:rPr>
          <w:rFonts w:ascii="David" w:hAnsi="David" w:cs="David"/>
          <w:w w:val="105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ניתן</w:t>
      </w:r>
      <w:r w:rsidRPr="006F47B1">
        <w:rPr>
          <w:rFonts w:ascii="David" w:hAnsi="David" w:cs="David"/>
          <w:w w:val="110"/>
          <w:rtl/>
        </w:rPr>
        <w:t xml:space="preserve"> </w:t>
      </w:r>
      <w:r>
        <w:rPr>
          <w:rFonts w:ascii="David" w:hAnsi="David" w:cs="David" w:hint="cs"/>
          <w:w w:val="110"/>
          <w:rtl/>
        </w:rPr>
        <w:t>להגיש</w:t>
      </w:r>
      <w:r w:rsidRPr="006F47B1">
        <w:rPr>
          <w:rFonts w:ascii="David" w:hAnsi="David" w:cs="David"/>
          <w:w w:val="110"/>
          <w:rtl/>
        </w:rPr>
        <w:t xml:space="preserve"> </w:t>
      </w:r>
      <w:r>
        <w:rPr>
          <w:rFonts w:ascii="David" w:hAnsi="David" w:cs="David" w:hint="cs"/>
          <w:w w:val="110"/>
          <w:rtl/>
        </w:rPr>
        <w:t xml:space="preserve">ערר </w:t>
      </w:r>
      <w:r w:rsidRPr="00705A27">
        <w:rPr>
          <w:rFonts w:ascii="David" w:hAnsi="David" w:cs="David"/>
          <w:w w:val="110"/>
          <w:rtl/>
        </w:rPr>
        <w:t>באמצעות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פקס</w:t>
      </w:r>
      <w:r w:rsidRPr="00705A27">
        <w:rPr>
          <w:rFonts w:ascii="David" w:hAnsi="David" w:cs="David"/>
          <w:w w:val="110"/>
        </w:rPr>
        <w:t>/</w:t>
      </w:r>
      <w:r w:rsidRPr="00705A27">
        <w:rPr>
          <w:rFonts w:ascii="David" w:hAnsi="David" w:cs="David" w:hint="cs"/>
          <w:w w:val="110"/>
          <w:rtl/>
        </w:rPr>
        <w:t>דוא"ל</w:t>
      </w:r>
      <w:r>
        <w:rPr>
          <w:rFonts w:ascii="David" w:hAnsi="David" w:cs="David" w:hint="cs"/>
          <w:rtl/>
        </w:rPr>
        <w:t>.</w:t>
      </w:r>
    </w:p>
    <w:p w:rsidR="000E3211" w:rsidRPr="00705A27" w:rsidRDefault="000E3211" w:rsidP="00C33A7E">
      <w:pPr>
        <w:pStyle w:val="BodyText"/>
        <w:numPr>
          <w:ilvl w:val="0"/>
          <w:numId w:val="2"/>
        </w:numPr>
        <w:bidi/>
        <w:spacing w:before="0" w:line="360" w:lineRule="auto"/>
        <w:ind w:left="723"/>
        <w:jc w:val="left"/>
        <w:rPr>
          <w:rFonts w:ascii="David" w:hAnsi="David" w:cs="David"/>
        </w:rPr>
      </w:pPr>
      <w:r>
        <w:rPr>
          <w:rFonts w:ascii="David" w:hAnsi="David" w:cs="David" w:hint="cs"/>
          <w:rtl/>
        </w:rPr>
        <w:t>מועד קבלת הערר הוא המועד בו התקבלו בוועדת הערר כל העותקים הנדרשים על פי דין, לרבות עותק שהוגש בדרך מקוונת.</w:t>
      </w:r>
    </w:p>
    <w:p w:rsidR="000E3211" w:rsidRPr="00705A27" w:rsidRDefault="000E3211" w:rsidP="00C33A7E">
      <w:pPr>
        <w:pStyle w:val="BodyText"/>
        <w:numPr>
          <w:ilvl w:val="0"/>
          <w:numId w:val="3"/>
        </w:numPr>
        <w:bidi/>
        <w:spacing w:before="0" w:line="360" w:lineRule="auto"/>
        <w:jc w:val="left"/>
        <w:rPr>
          <w:rFonts w:ascii="David" w:hAnsi="David" w:cs="David"/>
        </w:rPr>
      </w:pPr>
      <w:r w:rsidRPr="00705A27">
        <w:rPr>
          <w:rFonts w:ascii="David" w:hAnsi="David" w:cs="David"/>
          <w:w w:val="110"/>
          <w:rtl/>
        </w:rPr>
        <w:t>ערר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שהגיע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לו</w:t>
      </w:r>
      <w:r w:rsidRPr="00705A27">
        <w:rPr>
          <w:rFonts w:ascii="David" w:hAnsi="David" w:cs="David" w:hint="cs"/>
          <w:w w:val="110"/>
          <w:rtl/>
        </w:rPr>
        <w:t>ו</w:t>
      </w:r>
      <w:r w:rsidRPr="00705A27">
        <w:rPr>
          <w:rFonts w:ascii="David" w:hAnsi="David" w:cs="David"/>
          <w:w w:val="110"/>
          <w:rtl/>
        </w:rPr>
        <w:t>עדה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במועד</w:t>
      </w:r>
      <w:r w:rsidRPr="00705A27">
        <w:rPr>
          <w:rFonts w:ascii="David" w:hAnsi="David" w:cs="David"/>
          <w:w w:val="110"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יתקבל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אלא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ניתנה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החלטה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המאשרת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 w:hint="cs"/>
          <w:w w:val="110"/>
          <w:rtl/>
        </w:rPr>
        <w:t xml:space="preserve">מתן </w:t>
      </w:r>
      <w:r w:rsidRPr="00705A27">
        <w:rPr>
          <w:rFonts w:ascii="David" w:hAnsi="David" w:cs="David"/>
          <w:w w:val="110"/>
          <w:rtl/>
        </w:rPr>
        <w:t>ארכה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להגשתו</w:t>
      </w:r>
      <w:r w:rsidRPr="00705A27">
        <w:rPr>
          <w:rFonts w:ascii="David" w:hAnsi="David" w:cs="David"/>
          <w:w w:val="110"/>
        </w:rPr>
        <w:t>.</w:t>
      </w:r>
    </w:p>
    <w:p w:rsidR="000E3211" w:rsidRPr="00705A27" w:rsidRDefault="000E3211" w:rsidP="00C33A7E">
      <w:pPr>
        <w:pStyle w:val="BodyText"/>
        <w:numPr>
          <w:ilvl w:val="0"/>
          <w:numId w:val="3"/>
        </w:numPr>
        <w:bidi/>
        <w:spacing w:before="0" w:line="360" w:lineRule="auto"/>
        <w:jc w:val="left"/>
        <w:rPr>
          <w:rFonts w:ascii="David" w:hAnsi="David" w:cs="David"/>
        </w:rPr>
      </w:pPr>
      <w:r w:rsidRPr="00705A27">
        <w:rPr>
          <w:rFonts w:ascii="David" w:hAnsi="David" w:cs="David"/>
          <w:w w:val="110"/>
          <w:rtl/>
        </w:rPr>
        <w:t>לבקשת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עורר</w:t>
      </w:r>
      <w:r w:rsidRPr="00705A27">
        <w:rPr>
          <w:rFonts w:ascii="David" w:hAnsi="David" w:cs="David"/>
          <w:w w:val="110"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תמציא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לו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</w:t>
      </w:r>
      <w:r>
        <w:rPr>
          <w:rFonts w:ascii="David" w:hAnsi="David" w:cs="David" w:hint="cs"/>
          <w:w w:val="110"/>
          <w:rtl/>
        </w:rPr>
        <w:t>ו</w:t>
      </w:r>
      <w:r w:rsidRPr="00705A27">
        <w:rPr>
          <w:rFonts w:ascii="David" w:hAnsi="David" w:cs="David"/>
          <w:w w:val="110"/>
          <w:rtl/>
        </w:rPr>
        <w:t>ועדה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המקומית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את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פרטי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הצדדים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להליך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נושא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הערר</w:t>
      </w:r>
      <w:r w:rsidRPr="00705A27">
        <w:rPr>
          <w:rFonts w:ascii="David" w:hAnsi="David" w:cs="David"/>
          <w:w w:val="110"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שמותיהם</w:t>
      </w:r>
      <w:r w:rsidRPr="00705A27">
        <w:rPr>
          <w:rFonts w:ascii="David" w:hAnsi="David" w:cs="David"/>
          <w:rtl/>
        </w:rPr>
        <w:t xml:space="preserve"> </w:t>
      </w:r>
      <w:r w:rsidRPr="006F47B1">
        <w:rPr>
          <w:rFonts w:ascii="David" w:hAnsi="David" w:cs="David"/>
          <w:w w:val="110"/>
          <w:rtl/>
        </w:rPr>
        <w:t>ומעניהם</w:t>
      </w:r>
      <w:r>
        <w:rPr>
          <w:rFonts w:ascii="David" w:hAnsi="David" w:cs="David" w:hint="cs"/>
          <w:w w:val="110"/>
          <w:rtl/>
        </w:rPr>
        <w:t>,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תוך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שלושה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ימים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מיום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הגשת</w:t>
      </w:r>
      <w:r w:rsidRPr="006F47B1">
        <w:rPr>
          <w:rFonts w:ascii="David" w:hAnsi="David" w:cs="David"/>
          <w:w w:val="110"/>
          <w:rtl/>
        </w:rPr>
        <w:t xml:space="preserve"> </w:t>
      </w:r>
      <w:r w:rsidRPr="00705A27">
        <w:rPr>
          <w:rFonts w:ascii="David" w:hAnsi="David" w:cs="David"/>
          <w:w w:val="110"/>
          <w:rtl/>
        </w:rPr>
        <w:t>הבקשה</w:t>
      </w:r>
      <w:r w:rsidRPr="00705A27">
        <w:rPr>
          <w:rFonts w:ascii="David" w:hAnsi="David" w:cs="David"/>
          <w:w w:val="110"/>
        </w:rPr>
        <w:t>.</w:t>
      </w:r>
    </w:p>
    <w:p w:rsidR="0067427A" w:rsidRPr="000E3211" w:rsidRDefault="000E3211" w:rsidP="00C33A7E">
      <w:pPr>
        <w:pStyle w:val="BodyText"/>
        <w:numPr>
          <w:ilvl w:val="0"/>
          <w:numId w:val="3"/>
        </w:numPr>
        <w:bidi/>
        <w:spacing w:before="0" w:line="360" w:lineRule="auto"/>
        <w:jc w:val="left"/>
        <w:rPr>
          <w:rFonts w:ascii="David" w:hAnsi="David" w:cs="David"/>
        </w:rPr>
      </w:pPr>
      <w:r w:rsidRPr="00705A27">
        <w:rPr>
          <w:rFonts w:ascii="David" w:hAnsi="David" w:cs="David"/>
          <w:b/>
          <w:bCs/>
          <w:rtl/>
        </w:rPr>
        <w:t>שימו</w:t>
      </w:r>
      <w:r w:rsidRPr="006F47B1">
        <w:rPr>
          <w:rFonts w:ascii="David" w:hAnsi="David" w:cs="David"/>
          <w:b/>
          <w:bCs/>
          <w:rtl/>
        </w:rPr>
        <w:t xml:space="preserve"> </w:t>
      </w:r>
      <w:r w:rsidRPr="00705A27">
        <w:rPr>
          <w:rFonts w:ascii="David" w:hAnsi="David" w:cs="David"/>
          <w:b/>
          <w:bCs/>
          <w:rtl/>
        </w:rPr>
        <w:t>לב</w:t>
      </w:r>
      <w:r w:rsidRPr="006F47B1">
        <w:rPr>
          <w:rFonts w:ascii="David" w:hAnsi="David" w:cs="David"/>
          <w:rtl/>
        </w:rPr>
        <w:t xml:space="preserve"> </w:t>
      </w:r>
      <w:r w:rsidRPr="00705A27">
        <w:rPr>
          <w:rFonts w:ascii="Segoe UI Symbol" w:hAnsi="Segoe UI Symbol" w:cs="Segoe UI Symbol"/>
        </w:rPr>
        <w:t>❤</w:t>
      </w:r>
      <w:r w:rsidRPr="00705A27">
        <w:rPr>
          <w:rFonts w:ascii="David" w:hAnsi="David" w:cs="David"/>
          <w:rtl/>
        </w:rPr>
        <w:t xml:space="preserve"> הערר צריך להיות חתום על </w:t>
      </w:r>
      <w:r w:rsidRPr="006F47B1">
        <w:rPr>
          <w:rFonts w:ascii="David" w:hAnsi="David" w:cs="David"/>
          <w:rtl/>
        </w:rPr>
        <w:t>ידי העורר</w:t>
      </w:r>
      <w:r w:rsidRPr="006F47B1">
        <w:rPr>
          <w:rFonts w:ascii="David" w:hAnsi="David" w:cs="David" w:hint="cs"/>
          <w:rtl/>
        </w:rPr>
        <w:t xml:space="preserve"> </w:t>
      </w:r>
      <w:r w:rsidRPr="006F47B1">
        <w:rPr>
          <w:rFonts w:ascii="David" w:hAnsi="David" w:cs="David" w:hint="eastAsia"/>
          <w:rtl/>
        </w:rPr>
        <w:t>או</w:t>
      </w:r>
      <w:r w:rsidRPr="006F47B1">
        <w:rPr>
          <w:rFonts w:ascii="David" w:hAnsi="David" w:cs="David"/>
          <w:rtl/>
        </w:rPr>
        <w:t xml:space="preserve"> </w:t>
      </w:r>
      <w:r w:rsidRPr="006F47B1">
        <w:rPr>
          <w:rFonts w:ascii="David" w:hAnsi="David" w:cs="David" w:hint="eastAsia"/>
          <w:rtl/>
        </w:rPr>
        <w:t>בא</w:t>
      </w:r>
      <w:r w:rsidRPr="006F47B1">
        <w:rPr>
          <w:rFonts w:ascii="David" w:hAnsi="David" w:cs="David"/>
          <w:rtl/>
        </w:rPr>
        <w:t xml:space="preserve"> </w:t>
      </w:r>
      <w:r w:rsidRPr="006F47B1">
        <w:rPr>
          <w:rFonts w:ascii="David" w:hAnsi="David" w:cs="David" w:hint="eastAsia"/>
          <w:rtl/>
        </w:rPr>
        <w:t>כוחו</w:t>
      </w:r>
      <w:r w:rsidRPr="006F47B1">
        <w:rPr>
          <w:rFonts w:ascii="David" w:hAnsi="David" w:cs="David"/>
          <w:rtl/>
        </w:rPr>
        <w:t>.</w:t>
      </w:r>
    </w:p>
    <w:sectPr w:rsidR="0067427A" w:rsidRPr="000E3211" w:rsidSect="00385E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61A"/>
    <w:multiLevelType w:val="hybridMultilevel"/>
    <w:tmpl w:val="D7C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BBD"/>
    <w:multiLevelType w:val="multilevel"/>
    <w:tmpl w:val="5F163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5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82267B"/>
    <w:multiLevelType w:val="hybridMultilevel"/>
    <w:tmpl w:val="FFE488B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EB"/>
    <w:rsid w:val="000E3211"/>
    <w:rsid w:val="00385E67"/>
    <w:rsid w:val="0067427A"/>
    <w:rsid w:val="008F4AEB"/>
    <w:rsid w:val="00927719"/>
    <w:rsid w:val="00A32869"/>
    <w:rsid w:val="00B82D03"/>
    <w:rsid w:val="00C0731D"/>
    <w:rsid w:val="00C25C22"/>
    <w:rsid w:val="00C33A7E"/>
    <w:rsid w:val="00DE7C38"/>
    <w:rsid w:val="00E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3BAD-D36A-4331-814C-AAB2253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F4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F4AEB"/>
    <w:pPr>
      <w:spacing w:before="143"/>
      <w:ind w:right="629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8F4AEB"/>
    <w:pPr>
      <w:ind w:right="63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4AEB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8F4A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4AEB"/>
    <w:pPr>
      <w:spacing w:before="132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4A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F4AEB"/>
  </w:style>
  <w:style w:type="paragraph" w:styleId="Revision">
    <w:name w:val="Revision"/>
    <w:hidden/>
    <w:uiPriority w:val="99"/>
    <w:semiHidden/>
    <w:rsid w:val="00A3286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7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C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C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C3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3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יוסף חיים צמח</dc:creator>
  <cp:keywords/>
  <dc:description/>
  <cp:lastModifiedBy>איילה שניר | Ayala Snir</cp:lastModifiedBy>
  <cp:revision>2</cp:revision>
  <dcterms:created xsi:type="dcterms:W3CDTF">2024-11-25T08:30:00Z</dcterms:created>
  <dcterms:modified xsi:type="dcterms:W3CDTF">2024-11-25T08:30:00Z</dcterms:modified>
</cp:coreProperties>
</file>