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06" w:rsidRDefault="008C6182">
      <w:pPr>
        <w:spacing w:before="45" w:after="70" w:line="250" w:lineRule="auto"/>
        <w:jc w:val="center"/>
      </w:pPr>
      <w:r>
        <w:rPr>
          <w:rFonts w:cs="FrankRuehl" w:hint="cs"/>
          <w:szCs w:val="32"/>
          <w:rtl/>
        </w:rPr>
        <w:t>תקנות המידע הפלילי ותקנת השבים (סייגים למסירת מידע – הגבלת מידע על תיקים תלויים ועומדים שלא הוגש בהם כתב אישום), תשפ"ב-2022</w:t>
      </w:r>
    </w:p>
    <w:p w:rsidR="00A67206" w:rsidRDefault="008C6182">
      <w:pPr>
        <w:spacing w:before="45" w:after="70" w:line="250" w:lineRule="auto"/>
        <w:jc w:val="center"/>
      </w:pPr>
      <w:r>
        <w:rPr>
          <w:rFonts w:cs="FrankRuehl" w:hint="cs"/>
          <w:szCs w:val="32"/>
          <w:rtl/>
        </w:rPr>
        <w:t>תוכן ענינים</w:t>
      </w:r>
    </w:p>
    <w:tbl>
      <w:tblPr>
        <w:tblW w:w="5000" w:type="pct"/>
        <w:tblInd w:w="10" w:type="dxa"/>
        <w:tblCellMar>
          <w:left w:w="10" w:type="dxa"/>
          <w:right w:w="10" w:type="dxa"/>
        </w:tblCellMar>
        <w:tblLook w:val="0000" w:firstRow="0" w:lastRow="0" w:firstColumn="0" w:lastColumn="0" w:noHBand="0" w:noVBand="0"/>
      </w:tblPr>
      <w:tblGrid>
        <w:gridCol w:w="509"/>
        <w:gridCol w:w="6625"/>
        <w:gridCol w:w="1359"/>
      </w:tblGrid>
      <w:tr w:rsidR="00A67206">
        <w:tblPrEx>
          <w:tblCellMar>
            <w:top w:w="0" w:type="dxa"/>
            <w:bottom w:w="0" w:type="dxa"/>
          </w:tblCellMar>
        </w:tblPrEx>
        <w:tc>
          <w:tcPr>
            <w:tcW w:w="300" w:type="pct"/>
          </w:tcPr>
          <w:p w:rsidR="00A67206" w:rsidRDefault="008C6182">
            <w:pPr>
              <w:spacing w:before="45" w:after="5" w:line="250" w:lineRule="auto"/>
              <w:rPr>
                <w:rFonts w:cs="Times New Roman"/>
                <w:szCs w:val="24"/>
                <w:rtl/>
              </w:rPr>
            </w:pPr>
            <w:hyperlink w:anchor="h1">
              <w:r>
                <w:rPr>
                  <w:rFonts w:cs="Times New Roman" w:hint="cs"/>
                  <w:color w:val="0000FE"/>
                  <w:szCs w:val="24"/>
                  <w:u w:val="single"/>
                  <w:rtl/>
                </w:rPr>
                <w:t>Go</w:t>
              </w:r>
            </w:hyperlink>
          </w:p>
        </w:tc>
        <w:tc>
          <w:tcPr>
            <w:tcW w:w="0" w:type="auto"/>
          </w:tcPr>
          <w:p w:rsidR="00A67206" w:rsidRDefault="008C6182">
            <w:pPr>
              <w:spacing w:before="45" w:after="5" w:line="250" w:lineRule="auto"/>
            </w:pPr>
            <w:r>
              <w:rPr>
                <w:rFonts w:cs="Times New Roman" w:hint="cs"/>
                <w:szCs w:val="24"/>
                <w:rtl/>
              </w:rPr>
              <w:t>משך הזמן להגבלת מסירת מידע על תיקים תלויים ועומדים שלא הוגש בהם כתב אישום</w:t>
            </w:r>
          </w:p>
        </w:tc>
        <w:tc>
          <w:tcPr>
            <w:tcW w:w="800" w:type="pct"/>
          </w:tcPr>
          <w:p w:rsidR="00A67206" w:rsidRDefault="008C6182">
            <w:pPr>
              <w:spacing w:before="45" w:after="5" w:line="250" w:lineRule="auto"/>
            </w:pPr>
            <w:r>
              <w:rPr>
                <w:rFonts w:cs="Times New Roman" w:hint="cs"/>
                <w:szCs w:val="24"/>
                <w:rtl/>
              </w:rPr>
              <w:t>סעיף 1</w:t>
            </w:r>
          </w:p>
        </w:tc>
      </w:tr>
      <w:tr w:rsidR="00A67206">
        <w:tblPrEx>
          <w:tblCellMar>
            <w:top w:w="0" w:type="dxa"/>
            <w:bottom w:w="0" w:type="dxa"/>
          </w:tblCellMar>
        </w:tblPrEx>
        <w:tc>
          <w:tcPr>
            <w:tcW w:w="300" w:type="pct"/>
          </w:tcPr>
          <w:p w:rsidR="00A67206" w:rsidRDefault="008C6182">
            <w:pPr>
              <w:spacing w:before="45" w:after="5" w:line="250" w:lineRule="auto"/>
            </w:pPr>
            <w:hyperlink w:anchor="h2">
              <w:r>
                <w:rPr>
                  <w:rFonts w:cs="Times New Roman" w:hint="cs"/>
                  <w:color w:val="0000FE"/>
                  <w:szCs w:val="24"/>
                  <w:u w:val="single"/>
                  <w:rtl/>
                </w:rPr>
                <w:t>Go</w:t>
              </w:r>
            </w:hyperlink>
          </w:p>
        </w:tc>
        <w:tc>
          <w:tcPr>
            <w:tcW w:w="0" w:type="auto"/>
          </w:tcPr>
          <w:p w:rsidR="00A67206" w:rsidRDefault="008C6182">
            <w:pPr>
              <w:spacing w:before="45" w:after="5" w:line="250" w:lineRule="auto"/>
            </w:pPr>
            <w:r>
              <w:rPr>
                <w:rFonts w:cs="Times New Roman" w:hint="cs"/>
                <w:szCs w:val="24"/>
                <w:rtl/>
              </w:rPr>
              <w:t>סייג בתיקי חקירה בעבירות המנויות בסעיף 24 לחוק</w:t>
            </w:r>
          </w:p>
        </w:tc>
        <w:tc>
          <w:tcPr>
            <w:tcW w:w="800" w:type="pct"/>
          </w:tcPr>
          <w:p w:rsidR="00A67206" w:rsidRDefault="008C6182">
            <w:pPr>
              <w:spacing w:before="45" w:after="5" w:line="250" w:lineRule="auto"/>
            </w:pPr>
            <w:r>
              <w:rPr>
                <w:rFonts w:cs="Times New Roman" w:hint="cs"/>
                <w:szCs w:val="24"/>
                <w:rtl/>
              </w:rPr>
              <w:t>סעיף 2</w:t>
            </w:r>
          </w:p>
        </w:tc>
      </w:tr>
      <w:tr w:rsidR="00A67206">
        <w:tblPrEx>
          <w:tblCellMar>
            <w:top w:w="0" w:type="dxa"/>
            <w:bottom w:w="0" w:type="dxa"/>
          </w:tblCellMar>
        </w:tblPrEx>
        <w:tc>
          <w:tcPr>
            <w:tcW w:w="300" w:type="pct"/>
          </w:tcPr>
          <w:p w:rsidR="00A67206" w:rsidRDefault="008C6182">
            <w:pPr>
              <w:spacing w:before="45" w:after="5" w:line="250" w:lineRule="auto"/>
            </w:pPr>
            <w:hyperlink w:anchor="h3">
              <w:r>
                <w:rPr>
                  <w:rFonts w:cs="Times New Roman" w:hint="cs"/>
                  <w:color w:val="0000FE"/>
                  <w:szCs w:val="24"/>
                  <w:u w:val="single"/>
                  <w:rtl/>
                </w:rPr>
                <w:t>Go</w:t>
              </w:r>
            </w:hyperlink>
          </w:p>
        </w:tc>
        <w:tc>
          <w:tcPr>
            <w:tcW w:w="0" w:type="auto"/>
          </w:tcPr>
          <w:p w:rsidR="00A67206" w:rsidRDefault="008C6182">
            <w:pPr>
              <w:spacing w:before="45" w:after="5" w:line="250" w:lineRule="auto"/>
            </w:pPr>
            <w:r>
              <w:rPr>
                <w:rFonts w:cs="Times New Roman" w:hint="cs"/>
                <w:szCs w:val="24"/>
                <w:rtl/>
              </w:rPr>
              <w:t>מניין התקופות בתיק המכיל יותר מעבירה אחת</w:t>
            </w:r>
          </w:p>
        </w:tc>
        <w:tc>
          <w:tcPr>
            <w:tcW w:w="800" w:type="pct"/>
          </w:tcPr>
          <w:p w:rsidR="00A67206" w:rsidRDefault="008C6182">
            <w:pPr>
              <w:spacing w:before="45" w:after="5" w:line="250" w:lineRule="auto"/>
            </w:pPr>
            <w:r>
              <w:rPr>
                <w:rFonts w:cs="Times New Roman" w:hint="cs"/>
                <w:szCs w:val="24"/>
                <w:rtl/>
              </w:rPr>
              <w:t>סעיף 3</w:t>
            </w:r>
          </w:p>
        </w:tc>
      </w:tr>
      <w:tr w:rsidR="00A67206">
        <w:tblPrEx>
          <w:tblCellMar>
            <w:top w:w="0" w:type="dxa"/>
            <w:bottom w:w="0" w:type="dxa"/>
          </w:tblCellMar>
        </w:tblPrEx>
        <w:tc>
          <w:tcPr>
            <w:tcW w:w="300" w:type="pct"/>
          </w:tcPr>
          <w:p w:rsidR="00A67206" w:rsidRDefault="008C6182">
            <w:pPr>
              <w:spacing w:before="45" w:after="5" w:line="250" w:lineRule="auto"/>
            </w:pPr>
            <w:hyperlink w:anchor="h4">
              <w:r>
                <w:rPr>
                  <w:rFonts w:cs="Times New Roman" w:hint="cs"/>
                  <w:color w:val="0000FE"/>
                  <w:szCs w:val="24"/>
                  <w:u w:val="single"/>
                  <w:rtl/>
                </w:rPr>
                <w:t>Go</w:t>
              </w:r>
            </w:hyperlink>
          </w:p>
        </w:tc>
        <w:tc>
          <w:tcPr>
            <w:tcW w:w="0" w:type="auto"/>
          </w:tcPr>
          <w:p w:rsidR="00A67206" w:rsidRDefault="008C6182">
            <w:pPr>
              <w:spacing w:before="45" w:after="5" w:line="250" w:lineRule="auto"/>
            </w:pPr>
            <w:r>
              <w:rPr>
                <w:rFonts w:cs="Times New Roman" w:hint="cs"/>
                <w:szCs w:val="24"/>
                <w:rtl/>
              </w:rPr>
              <w:t>חישוב תקופות בריבוי תיקים</w:t>
            </w:r>
          </w:p>
        </w:tc>
        <w:tc>
          <w:tcPr>
            <w:tcW w:w="800" w:type="pct"/>
          </w:tcPr>
          <w:p w:rsidR="00A67206" w:rsidRDefault="008C6182">
            <w:pPr>
              <w:spacing w:before="45" w:after="5" w:line="250" w:lineRule="auto"/>
            </w:pPr>
            <w:r>
              <w:rPr>
                <w:rFonts w:cs="Times New Roman" w:hint="cs"/>
                <w:szCs w:val="24"/>
                <w:rtl/>
              </w:rPr>
              <w:t>סעיף 4</w:t>
            </w:r>
          </w:p>
        </w:tc>
      </w:tr>
      <w:tr w:rsidR="00A67206">
        <w:tblPrEx>
          <w:tblCellMar>
            <w:top w:w="0" w:type="dxa"/>
            <w:bottom w:w="0" w:type="dxa"/>
          </w:tblCellMar>
        </w:tblPrEx>
        <w:tc>
          <w:tcPr>
            <w:tcW w:w="300" w:type="pct"/>
          </w:tcPr>
          <w:p w:rsidR="00A67206" w:rsidRDefault="008C6182">
            <w:pPr>
              <w:spacing w:before="45" w:after="5" w:line="250" w:lineRule="auto"/>
            </w:pPr>
            <w:hyperlink w:anchor="h5">
              <w:r>
                <w:rPr>
                  <w:rFonts w:cs="Times New Roman" w:hint="cs"/>
                  <w:color w:val="0000FE"/>
                  <w:szCs w:val="24"/>
                  <w:u w:val="single"/>
                  <w:rtl/>
                </w:rPr>
                <w:t>Go</w:t>
              </w:r>
            </w:hyperlink>
          </w:p>
        </w:tc>
        <w:tc>
          <w:tcPr>
            <w:tcW w:w="0" w:type="auto"/>
          </w:tcPr>
          <w:p w:rsidR="00A67206" w:rsidRDefault="008C6182">
            <w:pPr>
              <w:spacing w:before="45" w:after="5" w:line="250" w:lineRule="auto"/>
            </w:pPr>
            <w:r>
              <w:rPr>
                <w:rFonts w:cs="Times New Roman" w:hint="cs"/>
                <w:szCs w:val="24"/>
                <w:rtl/>
              </w:rPr>
              <w:t>תחילה</w:t>
            </w:r>
          </w:p>
        </w:tc>
        <w:tc>
          <w:tcPr>
            <w:tcW w:w="800" w:type="pct"/>
          </w:tcPr>
          <w:p w:rsidR="00A67206" w:rsidRDefault="008C6182">
            <w:pPr>
              <w:spacing w:before="45" w:after="5" w:line="250" w:lineRule="auto"/>
            </w:pPr>
            <w:r>
              <w:rPr>
                <w:rFonts w:cs="Times New Roman" w:hint="cs"/>
                <w:szCs w:val="24"/>
                <w:rtl/>
              </w:rPr>
              <w:t>סע</w:t>
            </w:r>
            <w:r>
              <w:rPr>
                <w:rFonts w:cs="Times New Roman" w:hint="cs"/>
                <w:szCs w:val="24"/>
                <w:rtl/>
              </w:rPr>
              <w:t>יף 5</w:t>
            </w:r>
          </w:p>
        </w:tc>
      </w:tr>
    </w:tbl>
    <w:p w:rsidR="00A67206" w:rsidRDefault="008C6182">
      <w:pPr>
        <w:spacing w:before="45" w:after="5" w:line="250" w:lineRule="auto"/>
      </w:pPr>
      <w:r>
        <w:br w:type="page"/>
      </w:r>
    </w:p>
    <w:p w:rsidR="00A67206" w:rsidRDefault="008C6182">
      <w:pPr>
        <w:spacing w:before="45" w:after="70" w:line="250" w:lineRule="auto"/>
        <w:jc w:val="center"/>
      </w:pPr>
      <w:r>
        <w:rPr>
          <w:rFonts w:cs="FrankRuehl" w:hint="cs"/>
          <w:szCs w:val="32"/>
          <w:rtl/>
        </w:rPr>
        <w:t>תקנות המידע הפלילי ותקנת השבים (סייגים למסירת מידע – הגבלת מידע על תיקים תלויים ועומדים שלא הוגש בהם כתב אישום), תשפ"ב-2022</w:t>
      </w:r>
    </w:p>
    <w:p w:rsidR="00A67206" w:rsidRDefault="008C6182">
      <w:pPr>
        <w:tabs>
          <w:tab w:val="left" w:pos="720"/>
          <w:tab w:val="left" w:pos="1440"/>
          <w:tab w:val="left" w:pos="2160"/>
          <w:tab w:val="left" w:pos="2880"/>
          <w:tab w:val="left" w:pos="3600"/>
        </w:tabs>
        <w:spacing w:before="45" w:after="50" w:line="250" w:lineRule="auto"/>
        <w:jc w:val="both"/>
      </w:pPr>
      <w:r>
        <w:rPr>
          <w:rFonts w:cs="FrankRuehl" w:hint="cs"/>
          <w:szCs w:val="26"/>
          <w:rtl/>
        </w:rPr>
        <w:t>בתוקף סמכותי לפי סעיפים 30(ג) ו-43(ב)(3) לחוק המידע הפלילי ותקנת השבים, התשע"ט-2019 (להלן – החוק), לאחר התייעצות עם השר לביטחון הפנים ובאישור ועדת החוקה חוק ומשפט של הכנסת, אני מתקין תקנות אלה:</w:t>
      </w:r>
    </w:p>
    <w:p w:rsidR="00A67206" w:rsidRDefault="008C6182">
      <w:pPr>
        <w:tabs>
          <w:tab w:val="left" w:pos="720"/>
          <w:tab w:val="left" w:pos="1440"/>
          <w:tab w:val="left" w:pos="2160"/>
          <w:tab w:val="left" w:pos="2880"/>
          <w:tab w:val="left" w:pos="3600"/>
        </w:tabs>
        <w:spacing w:before="45" w:after="50" w:line="250" w:lineRule="auto"/>
        <w:ind w:left="1440" w:hanging="1440"/>
        <w:jc w:val="both"/>
      </w:pPr>
      <w:bookmarkStart w:id="0" w:name="h1"/>
      <w:bookmarkEnd w:id="0"/>
      <w:r>
        <w:pict>
          <v:rect id="_x0000_s1030" style="position:absolute;left:0;text-align:left;margin-left:435pt;margin-top:3pt;width:80pt;height:60pt;z-index:251655680" o:allowincell="f" o:allowoverlap="f" filled="f" stroked="f">
            <v:textbox style="mso-fit-shape-to-text:t" inset="0,0,0,0">
              <w:txbxContent>
                <w:p w:rsidR="00A67206" w:rsidRDefault="008C6182">
                  <w:pPr>
                    <w:spacing w:after="0" w:line="250" w:lineRule="auto"/>
                  </w:pPr>
                  <w:r>
                    <w:rPr>
                      <w:rFonts w:cs="Miriam" w:hint="cs"/>
                      <w:rtl/>
                    </w:rPr>
                    <w:t>משך הזמן להגבלת מסירת מידע על תיקים תלויים ועומדים שלא הוגש בהם כתב אישום</w:t>
                  </w:r>
                </w:p>
              </w:txbxContent>
            </v:textbox>
          </v:rect>
        </w:pict>
      </w:r>
      <w:r>
        <w:rPr>
          <w:rFonts w:cs="FrankRuehl" w:hint="cs"/>
          <w:szCs w:val="34"/>
          <w:rtl/>
        </w:rPr>
        <w:t>1.</w:t>
      </w:r>
      <w:r>
        <w:rPr>
          <w:rFonts w:cs="FrankRuehl" w:hint="cs"/>
          <w:szCs w:val="34"/>
          <w:rtl/>
        </w:rPr>
        <w:tab/>
      </w:r>
      <w:r>
        <w:rPr>
          <w:rFonts w:cs="FrankRuehl" w:hint="cs"/>
          <w:szCs w:val="26"/>
          <w:rtl/>
        </w:rPr>
        <w:t>(א)</w:t>
      </w:r>
      <w:r>
        <w:rPr>
          <w:rFonts w:cs="FrankRuehl" w:hint="cs"/>
          <w:szCs w:val="26"/>
          <w:rtl/>
        </w:rPr>
        <w:tab/>
        <w:t>במסירת מידע לגוף הזכאי לקבל מידע לפי סעיף 11(ו) לחוק או לגוף הזכאי לקבל מידע לפי סעיפים 12, 14 ו-15(א) לחוק, לא תמסור משטרת ישראל מידע על תיקים תלויים ועומדים שטרם הוגש בהם כ</w:t>
      </w:r>
      <w:r>
        <w:rPr>
          <w:rFonts w:cs="FrankRuehl" w:hint="cs"/>
          <w:szCs w:val="26"/>
          <w:rtl/>
        </w:rPr>
        <w:t>תב אישום (להלן – תיקי חקירה) לפי סעיף 30 לחוק, אם חלפה התקופה המפורטת להלן מהמועד שבו נרשמו תיקי החקירה לחובתו של האדם שהמידע הוא בעניינו, לפי העניין:</w:t>
      </w:r>
    </w:p>
    <w:p w:rsidR="00A67206" w:rsidRDefault="008C6182">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w:t>
      </w:r>
      <w:r>
        <w:rPr>
          <w:rFonts w:cs="FrankRuehl" w:hint="cs"/>
          <w:szCs w:val="26"/>
          <w:rtl/>
        </w:rPr>
        <w:tab/>
        <w:t>בעבירה מסוג עוון שאינה עבירת עוון כאמור בפסקה (2) – שנתיים;</w:t>
      </w:r>
    </w:p>
    <w:p w:rsidR="00A67206" w:rsidRDefault="008C6182">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(2)</w:t>
      </w:r>
      <w:r>
        <w:rPr>
          <w:rFonts w:cs="FrankRuehl" w:hint="cs"/>
          <w:szCs w:val="26"/>
          <w:rtl/>
        </w:rPr>
        <w:tab/>
        <w:t>בעבירה מסוג פשע, שאינה עבירה מהמפורטו</w:t>
      </w:r>
      <w:r>
        <w:rPr>
          <w:rFonts w:cs="FrankRuehl" w:hint="cs"/>
          <w:szCs w:val="26"/>
          <w:rtl/>
        </w:rPr>
        <w:t>ת בפסקה (3), או בעבירה מסוג עוון המנויה בתוספת הראשונה ג' לחוק סדר הדין הפלילי [נוסח משולב], התשמ"ב-1982 (להלן – חוק סדר הדין הפלילי) – שלוש שנים;</w:t>
      </w:r>
    </w:p>
    <w:p w:rsidR="00A67206" w:rsidRDefault="008C6182">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(3)</w:t>
      </w:r>
      <w:r>
        <w:rPr>
          <w:rFonts w:cs="FrankRuehl" w:hint="cs"/>
          <w:szCs w:val="26"/>
          <w:rtl/>
        </w:rPr>
        <w:tab/>
        <w:t>בעבירה שעונשה מאסר שבע שנים או יותר או בעבירה המנויה בתוספת הראשונה ב' לחוק סדר הדין הפלילי – חמש שנים;</w:t>
      </w:r>
    </w:p>
    <w:p w:rsidR="00A67206" w:rsidRDefault="008C6182">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w:t>
      </w:r>
      <w:r>
        <w:rPr>
          <w:rFonts w:cs="FrankRuehl" w:hint="cs"/>
          <w:szCs w:val="26"/>
          <w:rtl/>
        </w:rPr>
        <w:t>4)</w:t>
      </w:r>
      <w:r>
        <w:rPr>
          <w:rFonts w:cs="FrankRuehl" w:hint="cs"/>
          <w:szCs w:val="26"/>
          <w:rtl/>
        </w:rPr>
        <w:tab/>
        <w:t>על אף האמור בפסקאות (1) עד (3), בעבירת מין או אלימות חמורה מהעבירות המנויות בחלק א' לתוספת הראשונה א' לחוק זכויות נפגעי עבירה, התשס"א-2001, ובעבירה לפי סעיף 382(ב)(2) לחוק העונשין, התשל"ז-1977 – שבע שנים;</w:t>
      </w:r>
    </w:p>
    <w:p w:rsidR="00A67206" w:rsidRDefault="008C6182">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(5)</w:t>
      </w:r>
      <w:r>
        <w:rPr>
          <w:rFonts w:cs="FrankRuehl" w:hint="cs"/>
          <w:szCs w:val="26"/>
          <w:rtl/>
        </w:rPr>
        <w:tab/>
        <w:t>בעבירה שעבר קטין –</w:t>
      </w:r>
    </w:p>
    <w:p w:rsidR="00A67206" w:rsidRDefault="008C6182">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(א)</w:t>
      </w:r>
      <w:r>
        <w:rPr>
          <w:rFonts w:cs="FrankRuehl" w:hint="cs"/>
          <w:szCs w:val="26"/>
          <w:rtl/>
        </w:rPr>
        <w:tab/>
        <w:t>לפי פסקה (1) – 18 חוד</w:t>
      </w:r>
      <w:r>
        <w:rPr>
          <w:rFonts w:cs="FrankRuehl" w:hint="cs"/>
          <w:szCs w:val="26"/>
          <w:rtl/>
        </w:rPr>
        <w:t>שים;</w:t>
      </w:r>
    </w:p>
    <w:p w:rsidR="00A67206" w:rsidRDefault="008C6182">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(ב)</w:t>
      </w:r>
      <w:r>
        <w:rPr>
          <w:rFonts w:cs="FrankRuehl" w:hint="cs"/>
          <w:szCs w:val="26"/>
          <w:rtl/>
        </w:rPr>
        <w:tab/>
        <w:t>לפי פסקה (2) – שנתיים;</w:t>
      </w:r>
    </w:p>
    <w:p w:rsidR="00A67206" w:rsidRDefault="008C6182">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(ג)</w:t>
      </w:r>
      <w:r>
        <w:rPr>
          <w:rFonts w:cs="FrankRuehl" w:hint="cs"/>
          <w:szCs w:val="26"/>
          <w:rtl/>
        </w:rPr>
        <w:tab/>
        <w:t>לפי פסקאות (3) ו-(4) – שלוש שנים.</w:t>
      </w:r>
    </w:p>
    <w:p w:rsidR="00A67206" w:rsidRDefault="008C6182">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r>
      <w:r>
        <w:rPr>
          <w:rFonts w:cs="FrankRuehl" w:hint="cs"/>
          <w:szCs w:val="26"/>
          <w:rtl/>
        </w:rPr>
        <w:t>על אף האמור בתקנת משנה (א), רשאי היועץ המשפטי לממשלה או מי שהוא הסמיך לכך, על סמך בקשה מנומקת מטעם הגורם המבקש, לאשר מסירת מידע על תיק תלוי ועומד מסוים לגופים שלא על פי המגבלות הקבועות בתקנה זו, וזאת אם סבר כי בשל קיומן של נסיבות מיוחדות שיירשמו קיים אינטר</w:t>
      </w:r>
      <w:r>
        <w:rPr>
          <w:rFonts w:cs="FrankRuehl" w:hint="cs"/>
          <w:szCs w:val="26"/>
          <w:rtl/>
        </w:rPr>
        <w:t>ס ציבורי למסור את המידע לגוף הזכאי אף בחלוף התקופה הנקובה בתקנת משנה (א).</w:t>
      </w:r>
    </w:p>
    <w:p w:rsidR="00A67206" w:rsidRDefault="008C6182">
      <w:pPr>
        <w:tabs>
          <w:tab w:val="left" w:pos="720"/>
          <w:tab w:val="left" w:pos="1440"/>
          <w:tab w:val="left" w:pos="2160"/>
          <w:tab w:val="left" w:pos="2880"/>
          <w:tab w:val="left" w:pos="3600"/>
        </w:tabs>
        <w:spacing w:before="45" w:after="50" w:line="250" w:lineRule="auto"/>
        <w:ind w:left="720" w:hanging="720"/>
        <w:jc w:val="both"/>
      </w:pPr>
      <w:bookmarkStart w:id="1" w:name="h2"/>
      <w:bookmarkEnd w:id="1"/>
      <w:r>
        <w:pict>
          <v:rect id="_x0000_s1029" style="position:absolute;left:0;text-align:left;margin-left:435pt;margin-top:3pt;width:80pt;height:60pt;z-index:251656704" o:allowincell="f" o:allowoverlap="f" filled="f" stroked="f">
            <v:textbox style="mso-fit-shape-to-text:t" inset="0,0,0,0">
              <w:txbxContent>
                <w:p w:rsidR="00A67206" w:rsidRDefault="008C6182">
                  <w:pPr>
                    <w:spacing w:after="0" w:line="250" w:lineRule="auto"/>
                  </w:pPr>
                  <w:r>
                    <w:rPr>
                      <w:rFonts w:cs="Miriam" w:hint="cs"/>
                      <w:rtl/>
                    </w:rPr>
                    <w:t>סייג בתיקי חקירה בעבירות המנויות בסעיף 24 לחוק</w:t>
                  </w:r>
                </w:p>
              </w:txbxContent>
            </v:textbox>
          </v:rect>
        </w:pict>
      </w:r>
      <w:r>
        <w:rPr>
          <w:rFonts w:cs="FrankRuehl" w:hint="cs"/>
          <w:szCs w:val="34"/>
          <w:rtl/>
        </w:rPr>
        <w:t>2.</w:t>
      </w:r>
      <w:r>
        <w:rPr>
          <w:rFonts w:cs="FrankRuehl" w:hint="cs"/>
          <w:szCs w:val="26"/>
          <w:rtl/>
        </w:rPr>
        <w:tab/>
        <w:t>על אף האמור בתקנה 1, הוראות התקנה האמורה לא יחולו על תיקי חקירה בעבירה מהעבירות המנויות בסעיף 24 לחוק.</w:t>
      </w:r>
    </w:p>
    <w:p w:rsidR="00A67206" w:rsidRDefault="008C6182">
      <w:pPr>
        <w:tabs>
          <w:tab w:val="left" w:pos="720"/>
          <w:tab w:val="left" w:pos="1440"/>
          <w:tab w:val="left" w:pos="2160"/>
          <w:tab w:val="left" w:pos="2880"/>
          <w:tab w:val="left" w:pos="3600"/>
        </w:tabs>
        <w:spacing w:before="45" w:after="50" w:line="250" w:lineRule="auto"/>
        <w:ind w:left="720" w:hanging="720"/>
        <w:jc w:val="both"/>
      </w:pPr>
      <w:bookmarkStart w:id="2" w:name="h3"/>
      <w:bookmarkEnd w:id="2"/>
      <w:r>
        <w:pict>
          <v:rect id="_x0000_s1028" style="position:absolute;left:0;text-align:left;margin-left:435pt;margin-top:3pt;width:80pt;height:60pt;z-index:251657728" o:allowincell="f" o:allowoverlap="f" filled="f" stroked="f">
            <v:textbox style="mso-fit-shape-to-text:t" inset="0,0,0,0">
              <w:txbxContent>
                <w:p w:rsidR="00A67206" w:rsidRDefault="008C6182">
                  <w:pPr>
                    <w:spacing w:after="0" w:line="250" w:lineRule="auto"/>
                  </w:pPr>
                  <w:r>
                    <w:rPr>
                      <w:rFonts w:cs="Miriam" w:hint="cs"/>
                      <w:rtl/>
                    </w:rPr>
                    <w:t>מניין התקופות בתיק המכיל</w:t>
                  </w:r>
                  <w:r>
                    <w:rPr>
                      <w:rFonts w:cs="Miriam" w:hint="cs"/>
                      <w:rtl/>
                    </w:rPr>
                    <w:t xml:space="preserve"> יותר מעבירה אחת</w:t>
                  </w:r>
                </w:p>
              </w:txbxContent>
            </v:textbox>
          </v:rect>
        </w:pict>
      </w:r>
      <w:r>
        <w:rPr>
          <w:rFonts w:cs="FrankRuehl" w:hint="cs"/>
          <w:szCs w:val="34"/>
          <w:rtl/>
        </w:rPr>
        <w:t>3.</w:t>
      </w:r>
      <w:r>
        <w:rPr>
          <w:rFonts w:cs="FrankRuehl" w:hint="cs"/>
          <w:szCs w:val="26"/>
          <w:rtl/>
        </w:rPr>
        <w:tab/>
        <w:t>נחקרו בתיק חקירה אחד כמה עבירות שונות שהעונש בגינן שונה, יהיה מניין התקופות כאמור בתקנה 1, בהתאם לעבירה שהעונש בשלה הוא החמור מביניהם.</w:t>
      </w:r>
    </w:p>
    <w:p w:rsidR="00A67206" w:rsidRDefault="008C6182">
      <w:pPr>
        <w:tabs>
          <w:tab w:val="left" w:pos="720"/>
          <w:tab w:val="left" w:pos="1440"/>
          <w:tab w:val="left" w:pos="2160"/>
          <w:tab w:val="left" w:pos="2880"/>
          <w:tab w:val="left" w:pos="3600"/>
        </w:tabs>
        <w:spacing w:before="45" w:after="50" w:line="250" w:lineRule="auto"/>
        <w:ind w:left="720" w:hanging="720"/>
        <w:jc w:val="both"/>
      </w:pPr>
      <w:bookmarkStart w:id="3" w:name="h4"/>
      <w:bookmarkEnd w:id="3"/>
      <w:r>
        <w:pict>
          <v:rect id="_x0000_s1027" style="position:absolute;left:0;text-align:left;margin-left:435pt;margin-top:3pt;width:80pt;height:60pt;z-index:251658752" o:allowincell="f" o:allowoverlap="f" filled="f" stroked="f">
            <v:textbox style="mso-fit-shape-to-text:t" inset="0,0,0,0">
              <w:txbxContent>
                <w:p w:rsidR="00A67206" w:rsidRDefault="008C6182">
                  <w:pPr>
                    <w:spacing w:after="0" w:line="250" w:lineRule="auto"/>
                  </w:pPr>
                  <w:r>
                    <w:rPr>
                      <w:rFonts w:cs="Miriam" w:hint="cs"/>
                      <w:rtl/>
                    </w:rPr>
                    <w:t>חישוב תקופות בריבוי תיקים</w:t>
                  </w:r>
                </w:p>
              </w:txbxContent>
            </v:textbox>
          </v:rect>
        </w:pict>
      </w:r>
      <w:r>
        <w:rPr>
          <w:rFonts w:cs="FrankRuehl" w:hint="cs"/>
          <w:szCs w:val="34"/>
          <w:rtl/>
        </w:rPr>
        <w:t>4.</w:t>
      </w:r>
      <w:r>
        <w:rPr>
          <w:rFonts w:cs="FrankRuehl" w:hint="cs"/>
          <w:szCs w:val="26"/>
          <w:rtl/>
        </w:rPr>
        <w:tab/>
        <w:t xml:space="preserve">נרשמו לאדם תיקי חקירה נוספים בתוך התקופה לפי תקנה 1, יימסר המידע על </w:t>
      </w:r>
      <w:r>
        <w:rPr>
          <w:rFonts w:cs="FrankRuehl" w:hint="cs"/>
          <w:szCs w:val="26"/>
          <w:rtl/>
        </w:rPr>
        <w:t>אודות כלל תיקי החקירה בהתאם לתקופה המאוחרת ביותר החלה לגבי אותם תיקי חקירה.</w:t>
      </w:r>
    </w:p>
    <w:p w:rsidR="00A67206" w:rsidRDefault="008C6182">
      <w:pPr>
        <w:tabs>
          <w:tab w:val="left" w:pos="720"/>
          <w:tab w:val="left" w:pos="1440"/>
          <w:tab w:val="left" w:pos="2160"/>
          <w:tab w:val="left" w:pos="2880"/>
          <w:tab w:val="left" w:pos="3600"/>
        </w:tabs>
        <w:spacing w:before="45" w:after="50" w:line="250" w:lineRule="auto"/>
        <w:ind w:left="1440" w:hanging="1440"/>
        <w:jc w:val="both"/>
      </w:pPr>
      <w:bookmarkStart w:id="4" w:name="h5"/>
      <w:bookmarkEnd w:id="4"/>
      <w:r>
        <w:pict>
          <v:rect id="_x0000_s1026" style="position:absolute;left:0;text-align:left;margin-left:435pt;margin-top:3pt;width:80pt;height:60pt;z-index:251659776" o:allowincell="f" o:allowoverlap="f" filled="f" stroked="f">
            <v:textbox style="mso-fit-shape-to-text:t" inset="0,0,0,0">
              <w:txbxContent>
                <w:p w:rsidR="00A67206" w:rsidRDefault="008C6182">
                  <w:pPr>
                    <w:spacing w:after="0" w:line="250" w:lineRule="auto"/>
                  </w:pPr>
                  <w:r>
                    <w:rPr>
                      <w:rFonts w:cs="Miriam" w:hint="cs"/>
                      <w:rtl/>
                    </w:rPr>
                    <w:t>תחילה</w:t>
                  </w:r>
                </w:p>
              </w:txbxContent>
            </v:textbox>
          </v:rect>
        </w:pict>
      </w:r>
      <w:r>
        <w:rPr>
          <w:rFonts w:cs="FrankRuehl" w:hint="cs"/>
          <w:szCs w:val="34"/>
          <w:rtl/>
        </w:rPr>
        <w:t>5.</w:t>
      </w:r>
      <w:r>
        <w:rPr>
          <w:rFonts w:cs="FrankRuehl" w:hint="cs"/>
          <w:szCs w:val="34"/>
          <w:rtl/>
        </w:rPr>
        <w:tab/>
      </w:r>
      <w:r>
        <w:rPr>
          <w:rFonts w:cs="FrankRuehl" w:hint="cs"/>
          <w:szCs w:val="26"/>
          <w:rtl/>
        </w:rPr>
        <w:t>(א)</w:t>
      </w:r>
      <w:r>
        <w:rPr>
          <w:rFonts w:cs="FrankRuehl" w:hint="cs"/>
          <w:szCs w:val="26"/>
          <w:rtl/>
        </w:rPr>
        <w:tab/>
        <w:t>תחילתן של תקנות אלה ביום י"ט באדר התשפ"ג (12 במרס 2023) (להלן – יום התחילה) והן יחולו גם לגבי תיקי חקירה שנרשמו לאדם לפני יום התחילה.</w:t>
      </w:r>
    </w:p>
    <w:p w:rsidR="00A67206" w:rsidRDefault="008C6182">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r>
      <w:r>
        <w:rPr>
          <w:rFonts w:cs="FrankRuehl" w:hint="cs"/>
          <w:szCs w:val="26"/>
          <w:rtl/>
        </w:rPr>
        <w:t>על אף האמור בתקנת משנה (א), לעניין מסירת מידע לגופים המפורטים להלן, תחילתן של תקנות אלה ביום ה' באלול התשפ"ד (8 בספטמבר 2024):</w:t>
      </w:r>
    </w:p>
    <w:p w:rsidR="00A67206" w:rsidRDefault="008C6182">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w:t>
      </w:r>
      <w:r>
        <w:rPr>
          <w:rFonts w:cs="FrankRuehl" w:hint="cs"/>
          <w:szCs w:val="26"/>
          <w:rtl/>
        </w:rPr>
        <w:tab/>
        <w:t>הגופים המפורטים בסעיף 11(ו) לחוק אשר מנויים גם בתוספת השישית לחוק;</w:t>
      </w:r>
    </w:p>
    <w:p w:rsidR="00A67206" w:rsidRDefault="008C6182">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(2)</w:t>
      </w:r>
      <w:r>
        <w:rPr>
          <w:rFonts w:cs="FrankRuehl" w:hint="cs"/>
          <w:szCs w:val="26"/>
          <w:rtl/>
        </w:rPr>
        <w:tab/>
        <w:t>הגוף המפורט בפרט 5(19) לתוספת הראשונה לחוק.</w:t>
      </w:r>
    </w:p>
    <w:p w:rsidR="00A67206" w:rsidRDefault="00A67206">
      <w:pPr>
        <w:tabs>
          <w:tab w:val="left" w:pos="720"/>
          <w:tab w:val="left" w:pos="1440"/>
          <w:tab w:val="left" w:pos="2160"/>
          <w:tab w:val="left" w:pos="2880"/>
          <w:tab w:val="left" w:pos="3600"/>
        </w:tabs>
        <w:spacing w:before="45" w:after="50" w:line="250" w:lineRule="auto"/>
        <w:jc w:val="both"/>
      </w:pPr>
    </w:p>
    <w:p w:rsidR="00A67206" w:rsidRDefault="00A67206">
      <w:pPr>
        <w:tabs>
          <w:tab w:val="left" w:pos="720"/>
          <w:tab w:val="left" w:pos="1440"/>
          <w:tab w:val="left" w:pos="2160"/>
          <w:tab w:val="left" w:pos="2880"/>
          <w:tab w:val="left" w:pos="3600"/>
        </w:tabs>
        <w:spacing w:before="45" w:after="50" w:line="250" w:lineRule="auto"/>
        <w:jc w:val="both"/>
      </w:pPr>
    </w:p>
    <w:tbl>
      <w:tblPr>
        <w:tblW w:w="5000" w:type="pct"/>
        <w:tblInd w:w="10" w:type="dxa"/>
        <w:tblCellMar>
          <w:left w:w="10" w:type="dxa"/>
          <w:right w:w="10" w:type="dxa"/>
        </w:tblCellMar>
        <w:tblLook w:val="0000" w:firstRow="0" w:lastRow="0" w:firstColumn="0" w:lastColumn="0" w:noHBand="0" w:noVBand="0"/>
      </w:tblPr>
      <w:tblGrid>
        <w:gridCol w:w="1416"/>
        <w:gridCol w:w="1416"/>
        <w:gridCol w:w="1416"/>
        <w:gridCol w:w="1415"/>
        <w:gridCol w:w="1415"/>
        <w:gridCol w:w="1415"/>
      </w:tblGrid>
      <w:tr w:rsidR="00A67206">
        <w:tblPrEx>
          <w:tblCellMar>
            <w:top w:w="0" w:type="dxa"/>
            <w:bottom w:w="0" w:type="dxa"/>
          </w:tblCellMar>
        </w:tblPrEx>
        <w:trPr>
          <w:cantSplit/>
        </w:trPr>
        <w:tc>
          <w:tcPr>
            <w:tcW w:w="800" w:type="pct"/>
          </w:tcPr>
          <w:p w:rsidR="00A67206" w:rsidRDefault="00A67206">
            <w:pPr>
              <w:tabs>
                <w:tab w:val="left" w:pos="720"/>
                <w:tab w:val="left" w:pos="1440"/>
                <w:tab w:val="left" w:pos="2160"/>
                <w:tab w:val="left" w:pos="2880"/>
                <w:tab w:val="left" w:pos="3600"/>
              </w:tabs>
              <w:spacing w:before="45" w:after="3" w:line="250" w:lineRule="auto"/>
              <w:jc w:val="center"/>
              <w:rPr>
                <w:rFonts w:cs="FrankRuehl"/>
                <w:szCs w:val="26"/>
                <w:rtl/>
              </w:rPr>
            </w:pPr>
          </w:p>
          <w:p w:rsidR="00A67206" w:rsidRDefault="00A67206">
            <w:pPr>
              <w:spacing w:before="45" w:after="3" w:line="250" w:lineRule="auto"/>
              <w:jc w:val="center"/>
            </w:pPr>
          </w:p>
        </w:tc>
        <w:tc>
          <w:tcPr>
            <w:tcW w:w="800" w:type="pct"/>
          </w:tcPr>
          <w:p w:rsidR="00A67206" w:rsidRDefault="008C6182">
            <w:pPr>
              <w:spacing w:before="45" w:after="3" w:line="250" w:lineRule="auto"/>
              <w:jc w:val="center"/>
            </w:pPr>
            <w:r>
              <w:rPr>
                <w:rFonts w:cs="FrankRuehl" w:hint="cs"/>
                <w:szCs w:val="26"/>
                <w:rtl/>
              </w:rPr>
              <w:t>גדעון סער</w:t>
            </w:r>
          </w:p>
          <w:p w:rsidR="00A67206" w:rsidRDefault="008C6182">
            <w:pPr>
              <w:spacing w:before="45" w:after="3" w:line="250" w:lineRule="auto"/>
              <w:jc w:val="center"/>
            </w:pPr>
            <w:r>
              <w:rPr>
                <w:rFonts w:cs="FrankRuehl" w:hint="cs"/>
                <w:rtl/>
              </w:rPr>
              <w:t>שר המשפטים</w:t>
            </w: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r>
      <w:tr w:rsidR="00A67206">
        <w:tblPrEx>
          <w:tblCellMar>
            <w:top w:w="0" w:type="dxa"/>
            <w:bottom w:w="0" w:type="dxa"/>
          </w:tblCellMar>
        </w:tblPrEx>
        <w:trPr>
          <w:cantSplit/>
        </w:trPr>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c>
          <w:tcPr>
            <w:tcW w:w="800" w:type="pct"/>
          </w:tcPr>
          <w:p w:rsidR="00A67206" w:rsidRDefault="00A67206">
            <w:pPr>
              <w:spacing w:before="45" w:after="3" w:line="250" w:lineRule="auto"/>
              <w:jc w:val="center"/>
            </w:pPr>
          </w:p>
          <w:p w:rsidR="00A67206" w:rsidRDefault="00A67206">
            <w:pPr>
              <w:spacing w:before="45" w:after="3" w:line="250" w:lineRule="auto"/>
              <w:jc w:val="center"/>
            </w:pPr>
          </w:p>
        </w:tc>
      </w:tr>
    </w:tbl>
    <w:p w:rsidR="00A67206" w:rsidRDefault="00A67206">
      <w:pPr>
        <w:tabs>
          <w:tab w:val="left" w:pos="720"/>
          <w:tab w:val="left" w:pos="1440"/>
          <w:tab w:val="left" w:pos="2160"/>
          <w:tab w:val="left" w:pos="2880"/>
          <w:tab w:val="left" w:pos="3600"/>
        </w:tabs>
        <w:spacing w:before="45" w:after="50" w:line="250" w:lineRule="auto"/>
        <w:jc w:val="both"/>
      </w:pPr>
    </w:p>
    <w:sectPr w:rsidR="00A67206">
      <w:headerReference w:type="default" r:id="rId6"/>
      <w:footerReference w:type="default" r:id="rId7"/>
      <w:pgSz w:w="12240" w:h="15840"/>
      <w:pgMar w:top="1200" w:right="2267" w:bottom="400" w:left="15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182" w:rsidRDefault="008C6182">
      <w:pPr>
        <w:spacing w:after="0" w:line="240" w:lineRule="auto"/>
      </w:pPr>
      <w:r>
        <w:separator/>
      </w:r>
    </w:p>
  </w:endnote>
  <w:endnote w:type="continuationSeparator" w:id="0">
    <w:p w:rsidR="008C6182" w:rsidRDefault="008C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206" w:rsidRDefault="008C6182">
    <w:pPr>
      <w:spacing w:before="45" w:after="5" w:line="250" w:lineRule="auto"/>
      <w:jc w:val="center"/>
    </w:pPr>
    <w:r>
      <w:rPr>
        <w:rFonts w:cs="FrankRuehl" w:hint="cs"/>
        <w:szCs w:val="24"/>
        <w:rtl/>
      </w:rPr>
      <w:fldChar w:fldCharType="begin"/>
    </w:r>
    <w:r>
      <w:rPr>
        <w:rFonts w:cs="FrankRuehl" w:hint="cs"/>
        <w:szCs w:val="24"/>
        <w:rtl/>
      </w:rPr>
      <w:instrText>Page</w:instrText>
    </w:r>
    <w:r w:rsidR="00C463F6">
      <w:rPr>
        <w:rFonts w:cs="FrankRuehl"/>
        <w:szCs w:val="24"/>
        <w:rtl/>
      </w:rPr>
      <w:fldChar w:fldCharType="separate"/>
    </w:r>
    <w:r w:rsidR="00C463F6">
      <w:rPr>
        <w:rFonts w:cs="FrankRuehl"/>
        <w:noProof/>
        <w:szCs w:val="24"/>
        <w:rtl/>
      </w:rPr>
      <w:t>2</w:t>
    </w:r>
    <w:r>
      <w:rPr>
        <w:rFonts w:cs="FrankRuehl" w:hint="cs"/>
        <w:szCs w:val="2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182" w:rsidRDefault="008C6182">
      <w:pPr>
        <w:spacing w:after="0" w:line="240" w:lineRule="auto"/>
      </w:pPr>
      <w:r>
        <w:separator/>
      </w:r>
    </w:p>
  </w:footnote>
  <w:footnote w:type="continuationSeparator" w:id="0">
    <w:p w:rsidR="008C6182" w:rsidRDefault="008C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206" w:rsidRDefault="008C6182">
    <w:pPr>
      <w:spacing w:before="45" w:after="5" w:line="250" w:lineRule="auto"/>
      <w:jc w:val="center"/>
    </w:pPr>
    <w:r>
      <w:rPr>
        <w:rFonts w:cs="FrankRuehl" w:hint="cs"/>
        <w:szCs w:val="24"/>
        <w:rtl/>
      </w:rPr>
      <w:t>תקנות המידע הפלילי ותקנת השבים (סייגים למסירת מידע – הגבלת מידע על תיקים תלויים ועומדים שלא הוגש בהם כתב אישום), תשפ"ב-2022, נוסח עדכני נכון ליום 13.03.2023</w:t>
    </w:r>
  </w:p>
  <w:p w:rsidR="00A67206" w:rsidRDefault="00A67206">
    <w:pPr>
      <w:pBdr>
        <w:top w:val="single" w:sz="5"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7206"/>
    <w:rsid w:val="008C6182"/>
    <w:rsid w:val="00A67206"/>
    <w:rsid w:val="00C463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697C731-ECE1-4304-9C40-58A2866A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2520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2023-03-22T06:51:00Z</dcterms:created>
</cp:coreProperties>
</file>