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3EC82" w14:textId="07DD3A07" w:rsidR="00ED0CC9" w:rsidRDefault="00ED0CC9" w:rsidP="005A1C32">
      <w:pPr>
        <w:pStyle w:val="NormalWeb"/>
        <w:spacing w:after="0" w:afterAutospacing="0"/>
        <w:rPr>
          <w:color w:val="1F1F1F"/>
        </w:rPr>
      </w:pPr>
      <w:r>
        <w:rPr>
          <w:b/>
          <w:bCs/>
          <w:color w:val="1F1F1F"/>
          <w:bdr w:val="none" w:sz="0" w:space="0" w:color="auto" w:frame="1"/>
        </w:rPr>
        <w:t>RFI Number:</w:t>
      </w:r>
      <w:r>
        <w:rPr>
          <w:color w:val="1F1F1F"/>
        </w:rPr>
        <w:t xml:space="preserve"> 11/2026</w:t>
      </w:r>
      <w:r w:rsidR="005A1C32">
        <w:rPr>
          <w:color w:val="1F1F1F"/>
        </w:rPr>
        <w:t xml:space="preserve"> </w:t>
      </w:r>
      <w:r w:rsidRPr="00ED0CC9">
        <w:rPr>
          <w:color w:val="1F1F1F"/>
        </w:rPr>
        <w:t>-</w:t>
      </w:r>
      <w:r>
        <w:rPr>
          <w:color w:val="1F1F1F"/>
        </w:rPr>
        <w:t xml:space="preserve"> </w:t>
      </w:r>
      <w:r w:rsidRPr="00ED0CC9">
        <w:rPr>
          <w:color w:val="1F1F1F"/>
        </w:rPr>
        <w:t xml:space="preserve">BE-V2G and FC-V2G </w:t>
      </w:r>
      <w:r w:rsidR="005A1C32" w:rsidRPr="00ED0CC9">
        <w:rPr>
          <w:color w:val="1F1F1F"/>
        </w:rPr>
        <w:t xml:space="preserve">Ecosystem </w:t>
      </w:r>
      <w:r w:rsidR="005A1C32">
        <w:rPr>
          <w:color w:val="1F1F1F"/>
        </w:rPr>
        <w:t>for</w:t>
      </w:r>
      <w:r w:rsidRPr="00ED0CC9">
        <w:rPr>
          <w:color w:val="1F1F1F"/>
        </w:rPr>
        <w:t xml:space="preserve"> the Energy Market</w:t>
      </w:r>
    </w:p>
    <w:p w14:paraId="4D07CB20" w14:textId="7C9EC74A" w:rsidR="0074709B" w:rsidRPr="00951655" w:rsidRDefault="0074709B" w:rsidP="005A1C32">
      <w:pPr>
        <w:pStyle w:val="NormalWeb"/>
        <w:spacing w:after="0" w:afterAutospacing="0"/>
        <w:rPr>
          <w:color w:val="1F1F1F"/>
          <w:u w:val="single"/>
        </w:rPr>
      </w:pPr>
      <w:r w:rsidRPr="00951655">
        <w:rPr>
          <w:color w:val="1F1F1F"/>
          <w:u w:val="single"/>
        </w:rPr>
        <w:t>[non- confidential /confidential or trade secret]</w:t>
      </w:r>
    </w:p>
    <w:p w14:paraId="670A6CD0" w14:textId="228C9FDA" w:rsidR="005A1C32" w:rsidRDefault="005A1C32" w:rsidP="00ED0CC9">
      <w:pPr>
        <w:pStyle w:val="NormalWeb"/>
        <w:rPr>
          <w:color w:val="1F1F1F"/>
        </w:rPr>
      </w:pPr>
      <w:r w:rsidRPr="005A1C32">
        <w:rPr>
          <w:rFonts w:ascii="Google Sans" w:eastAsia="Google Sans" w:hAnsi="Google Sans" w:cs="Google Sans"/>
          <w:b/>
          <w:bCs/>
          <w:color w:val="1F1F1F"/>
        </w:rPr>
        <w:t>Response Tables</w:t>
      </w:r>
      <w:r>
        <w:rPr>
          <w:color w:val="1F1F1F"/>
        </w:rPr>
        <w:t>:</w:t>
      </w:r>
    </w:p>
    <w:p w14:paraId="3239D7E1" w14:textId="77777777" w:rsidR="00ED0CC9" w:rsidRDefault="007F1E85" w:rsidP="00ED0CC9">
      <w:pPr>
        <w:spacing w:after="120"/>
        <w:rPr>
          <w:color w:val="1F1F1F"/>
        </w:rPr>
      </w:pPr>
      <w:r>
        <w:rPr>
          <w:color w:val="1F1F1F"/>
        </w:rPr>
        <w:pict w14:anchorId="44D1ED16">
          <v:rect id="_x0000_i1025" style="width:0;height:1.5pt" o:hralign="center" o:hrstd="t" o:hrnoshade="t" o:hr="t" fillcolor="gray" stroked="f"/>
        </w:pict>
      </w:r>
    </w:p>
    <w:p w14:paraId="1DABB4CC" w14:textId="48800728" w:rsidR="00ED0CC9" w:rsidRPr="008256DA" w:rsidRDefault="00ED0CC9" w:rsidP="00ED0CC9">
      <w:pPr>
        <w:pStyle w:val="4"/>
        <w:spacing w:before="0" w:after="120" w:line="275" w:lineRule="auto"/>
        <w:rPr>
          <w:rFonts w:ascii="Google Sans" w:eastAsia="Google Sans" w:hAnsi="Google Sans" w:cs="Google Sans"/>
          <w:color w:val="1F1F1F"/>
        </w:rPr>
      </w:pPr>
      <w:r w:rsidRPr="008256DA">
        <w:rPr>
          <w:rFonts w:ascii="Google Sans" w:eastAsia="Google Sans" w:hAnsi="Google Sans" w:cs="Google Sans"/>
          <w:color w:val="1F1F1F"/>
        </w:rPr>
        <w:t xml:space="preserve">3.5 </w:t>
      </w:r>
      <w:r>
        <w:rPr>
          <w:rFonts w:ascii="Google Sans" w:eastAsia="Google Sans" w:hAnsi="Google Sans" w:cs="Google Sans"/>
          <w:color w:val="1F1F1F"/>
        </w:rPr>
        <w:t xml:space="preserve">Repliers Information </w:t>
      </w:r>
    </w:p>
    <w:tbl>
      <w:tblPr>
        <w:tblStyle w:val="1-5"/>
        <w:tblW w:w="0" w:type="auto"/>
        <w:tblLook w:val="04A0" w:firstRow="1" w:lastRow="0" w:firstColumn="1" w:lastColumn="0" w:noHBand="0" w:noVBand="1"/>
        <w:tblCaption w:val="Repliers Information "/>
      </w:tblPr>
      <w:tblGrid>
        <w:gridCol w:w="669"/>
        <w:gridCol w:w="1293"/>
        <w:gridCol w:w="6668"/>
      </w:tblGrid>
      <w:tr w:rsidR="00ED0CC9" w14:paraId="214A6EA6"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F43C263" w14:textId="77777777" w:rsidR="00ED0CC9" w:rsidRDefault="00ED0CC9" w:rsidP="00BF6797">
            <w:pPr>
              <w:rPr>
                <w:color w:val="1F1F1F"/>
              </w:rPr>
            </w:pPr>
            <w:r w:rsidRPr="00DE601E">
              <w:t>ID</w:t>
            </w:r>
          </w:p>
        </w:tc>
        <w:tc>
          <w:tcPr>
            <w:tcW w:w="0" w:type="auto"/>
            <w:hideMark/>
          </w:tcPr>
          <w:p w14:paraId="4585265B"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sidRPr="00DE601E">
              <w:t>Category</w:t>
            </w:r>
          </w:p>
        </w:tc>
        <w:tc>
          <w:tcPr>
            <w:tcW w:w="0" w:type="auto"/>
            <w:hideMark/>
          </w:tcPr>
          <w:p w14:paraId="201D5B76"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sidRPr="00DE601E">
              <w:t>Requirement</w:t>
            </w:r>
          </w:p>
        </w:tc>
      </w:tr>
      <w:tr w:rsidR="00ED0CC9" w14:paraId="6A16F641"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3F83934C" w14:textId="77777777" w:rsidR="00ED0CC9" w:rsidRDefault="00ED0CC9" w:rsidP="00BF6797">
            <w:pPr>
              <w:rPr>
                <w:color w:val="1F1F1F"/>
              </w:rPr>
            </w:pPr>
            <w:r w:rsidRPr="00DE601E">
              <w:t>3.5.1</w:t>
            </w:r>
          </w:p>
        </w:tc>
        <w:tc>
          <w:tcPr>
            <w:tcW w:w="0" w:type="auto"/>
            <w:hideMark/>
          </w:tcPr>
          <w:p w14:paraId="35B69EE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Respondent</w:t>
            </w:r>
          </w:p>
        </w:tc>
        <w:tc>
          <w:tcPr>
            <w:tcW w:w="0" w:type="auto"/>
            <w:hideMark/>
          </w:tcPr>
          <w:p w14:paraId="7F801C62"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Name, Title, email and other contact information</w:t>
            </w:r>
          </w:p>
          <w:p w14:paraId="39FAEB05" w14:textId="3EBD4EAD" w:rsidR="00367B05" w:rsidRDefault="00367B05" w:rsidP="00BF6797">
            <w:pPr>
              <w:cnfStyle w:val="000000000000" w:firstRow="0" w:lastRow="0" w:firstColumn="0" w:lastColumn="0" w:oddVBand="0" w:evenVBand="0" w:oddHBand="0" w:evenHBand="0" w:firstRowFirstColumn="0" w:firstRowLastColumn="0" w:lastRowFirstColumn="0" w:lastRowLastColumn="0"/>
              <w:rPr>
                <w:color w:val="1F1F1F"/>
              </w:rPr>
            </w:pPr>
          </w:p>
        </w:tc>
      </w:tr>
      <w:tr w:rsidR="00ED0CC9" w14:paraId="5005FC0C"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0DF21AD8" w14:textId="77777777" w:rsidR="00ED0CC9" w:rsidRDefault="00ED0CC9" w:rsidP="00BF6797">
            <w:pPr>
              <w:rPr>
                <w:color w:val="1F1F1F"/>
              </w:rPr>
            </w:pPr>
            <w:r w:rsidRPr="00DE601E">
              <w:t>3.5.2</w:t>
            </w:r>
          </w:p>
        </w:tc>
        <w:tc>
          <w:tcPr>
            <w:tcW w:w="0" w:type="auto"/>
            <w:hideMark/>
          </w:tcPr>
          <w:p w14:paraId="1BFC944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 xml:space="preserve">Company </w:t>
            </w:r>
          </w:p>
        </w:tc>
        <w:tc>
          <w:tcPr>
            <w:tcW w:w="0" w:type="auto"/>
            <w:hideMark/>
          </w:tcPr>
          <w:p w14:paraId="24CF5BA7"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Name, Location, website</w:t>
            </w:r>
          </w:p>
          <w:p w14:paraId="43D15065" w14:textId="70CDDE20" w:rsidR="00367B05" w:rsidRDefault="00367B05" w:rsidP="00BF6797">
            <w:pPr>
              <w:cnfStyle w:val="000000000000" w:firstRow="0" w:lastRow="0" w:firstColumn="0" w:lastColumn="0" w:oddVBand="0" w:evenVBand="0" w:oddHBand="0" w:evenHBand="0" w:firstRowFirstColumn="0" w:firstRowLastColumn="0" w:lastRowFirstColumn="0" w:lastRowLastColumn="0"/>
              <w:rPr>
                <w:color w:val="1F1F1F"/>
              </w:rPr>
            </w:pPr>
          </w:p>
        </w:tc>
      </w:tr>
      <w:tr w:rsidR="00ED0CC9" w14:paraId="38B7EF92"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10A32B88" w14:textId="77777777" w:rsidR="00ED0CC9" w:rsidRDefault="00ED0CC9" w:rsidP="00BF6797">
            <w:pPr>
              <w:rPr>
                <w:color w:val="1F1F1F"/>
              </w:rPr>
            </w:pPr>
            <w:r w:rsidRPr="00DE601E">
              <w:t>3.5.3</w:t>
            </w:r>
          </w:p>
        </w:tc>
        <w:tc>
          <w:tcPr>
            <w:tcW w:w="0" w:type="auto"/>
            <w:hideMark/>
          </w:tcPr>
          <w:p w14:paraId="5EC9CBB5"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 xml:space="preserve">Segment </w:t>
            </w:r>
          </w:p>
        </w:tc>
        <w:tc>
          <w:tcPr>
            <w:tcW w:w="0" w:type="auto"/>
            <w:hideMark/>
          </w:tcPr>
          <w:p w14:paraId="7E98CDA5"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E601E">
              <w:t>What does your company manufacture which may support V2G ecosystem?</w:t>
            </w:r>
          </w:p>
          <w:p w14:paraId="47162C8D"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tl/>
              </w:rPr>
            </w:pPr>
            <w:r w:rsidRPr="00700463">
              <w:rPr>
                <w:color w:val="1F1F1F"/>
              </w:rPr>
              <w:t>(BEV, FCEV, Bus, Truck</w:t>
            </w:r>
            <w:r>
              <w:rPr>
                <w:color w:val="1F1F1F"/>
              </w:rPr>
              <w:t>, C</w:t>
            </w:r>
            <w:r w:rsidRPr="00EC712E">
              <w:rPr>
                <w:color w:val="1F1F1F"/>
              </w:rPr>
              <w:t xml:space="preserve">onstruction and </w:t>
            </w:r>
            <w:r>
              <w:rPr>
                <w:color w:val="1F1F1F"/>
              </w:rPr>
              <w:t>M</w:t>
            </w:r>
            <w:r w:rsidRPr="00EC712E">
              <w:rPr>
                <w:color w:val="1F1F1F"/>
              </w:rPr>
              <w:t xml:space="preserve">ining </w:t>
            </w:r>
            <w:r>
              <w:rPr>
                <w:color w:val="1F1F1F"/>
              </w:rPr>
              <w:t>M</w:t>
            </w:r>
            <w:r w:rsidRPr="00EC712E">
              <w:rPr>
                <w:color w:val="1F1F1F"/>
              </w:rPr>
              <w:t>achinery</w:t>
            </w:r>
            <w:r w:rsidRPr="00700463">
              <w:rPr>
                <w:color w:val="1F1F1F"/>
              </w:rPr>
              <w:t>, Charging Infrastructure, or other)</w:t>
            </w:r>
          </w:p>
        </w:tc>
      </w:tr>
    </w:tbl>
    <w:p w14:paraId="411AFB5F" w14:textId="05319CAE" w:rsidR="00ED0CC9" w:rsidRDefault="00ED0CC9" w:rsidP="00ED0CC9">
      <w:pPr>
        <w:rPr>
          <w:rFonts w:ascii="Times New Roman" w:eastAsia="Times New Roman" w:hAnsi="Times New Roman" w:cs="Times New Roman"/>
          <w:color w:val="1F1F1F"/>
          <w:sz w:val="24"/>
          <w:szCs w:val="24"/>
          <w:rtl/>
        </w:rPr>
      </w:pPr>
    </w:p>
    <w:p w14:paraId="432A3AA3" w14:textId="77777777" w:rsidR="00ED0CC9" w:rsidRDefault="00ED0CC9" w:rsidP="00ED0CC9">
      <w:pPr>
        <w:pStyle w:val="3"/>
        <w:spacing w:after="120"/>
        <w:rPr>
          <w:color w:val="1F1F1F"/>
        </w:rPr>
      </w:pPr>
      <w:r>
        <w:rPr>
          <w:color w:val="1F1F1F"/>
        </w:rPr>
        <w:t xml:space="preserve">4. Required Information </w:t>
      </w:r>
    </w:p>
    <w:p w14:paraId="461851DC" w14:textId="77777777" w:rsidR="00ED0CC9" w:rsidRPr="00FE2254" w:rsidRDefault="00ED0CC9" w:rsidP="00ED0CC9">
      <w:pPr>
        <w:pStyle w:val="4"/>
        <w:spacing w:before="0" w:after="120" w:line="275" w:lineRule="auto"/>
        <w:rPr>
          <w:rFonts w:ascii="Google Sans" w:eastAsia="Google Sans" w:hAnsi="Google Sans" w:cs="Google Sans"/>
          <w:color w:val="1F1F1F"/>
        </w:rPr>
      </w:pPr>
      <w:r w:rsidRPr="00FE2254">
        <w:rPr>
          <w:rFonts w:ascii="Google Sans" w:eastAsia="Google Sans" w:hAnsi="Google Sans" w:cs="Google Sans"/>
          <w:color w:val="1F1F1F"/>
        </w:rPr>
        <w:t>4.1. Vehicle &amp; Hardware Capabilities (Technical Depth)</w:t>
      </w:r>
    </w:p>
    <w:tbl>
      <w:tblPr>
        <w:tblStyle w:val="1-5"/>
        <w:tblW w:w="0" w:type="auto"/>
        <w:tblLook w:val="04A0" w:firstRow="1" w:lastRow="0" w:firstColumn="1" w:lastColumn="0" w:noHBand="0" w:noVBand="1"/>
        <w:tblCaption w:val="Vehicle &amp; Hardware Capabilities (Technical Depth)"/>
      </w:tblPr>
      <w:tblGrid>
        <w:gridCol w:w="669"/>
        <w:gridCol w:w="1686"/>
        <w:gridCol w:w="6275"/>
      </w:tblGrid>
      <w:tr w:rsidR="00ED0CC9" w14:paraId="2278E1B5"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2E094C2D" w14:textId="77777777" w:rsidR="00ED0CC9" w:rsidRDefault="00ED0CC9" w:rsidP="00BF6797">
            <w:pPr>
              <w:rPr>
                <w:color w:val="1F1F1F"/>
              </w:rPr>
            </w:pPr>
            <w:r>
              <w:rPr>
                <w:rStyle w:val="a8"/>
                <w:color w:val="1F1F1F"/>
                <w:bdr w:val="none" w:sz="0" w:space="0" w:color="auto" w:frame="1"/>
              </w:rPr>
              <w:t>ID</w:t>
            </w:r>
          </w:p>
        </w:tc>
        <w:tc>
          <w:tcPr>
            <w:tcW w:w="0" w:type="auto"/>
            <w:hideMark/>
          </w:tcPr>
          <w:p w14:paraId="35BC195D"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Area</w:t>
            </w:r>
          </w:p>
        </w:tc>
        <w:tc>
          <w:tcPr>
            <w:tcW w:w="0" w:type="auto"/>
            <w:hideMark/>
          </w:tcPr>
          <w:p w14:paraId="0C25D569"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Requirement</w:t>
            </w:r>
          </w:p>
        </w:tc>
      </w:tr>
      <w:tr w:rsidR="00ED0CC9" w14:paraId="138669A4"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127797F3" w14:textId="77777777" w:rsidR="00ED0CC9" w:rsidRDefault="00ED0CC9" w:rsidP="00BF6797">
            <w:pPr>
              <w:rPr>
                <w:color w:val="1F1F1F"/>
              </w:rPr>
            </w:pPr>
            <w:r w:rsidRPr="00FF6F61">
              <w:rPr>
                <w:color w:val="1F1F1F"/>
                <w:bdr w:val="none" w:sz="0" w:space="0" w:color="auto" w:frame="1"/>
              </w:rPr>
              <w:t>4.1</w:t>
            </w:r>
            <w:r>
              <w:rPr>
                <w:color w:val="1F1F1F"/>
                <w:bdr w:val="none" w:sz="0" w:space="0" w:color="auto" w:frame="1"/>
              </w:rPr>
              <w:t>.1</w:t>
            </w:r>
          </w:p>
        </w:tc>
        <w:tc>
          <w:tcPr>
            <w:tcW w:w="0" w:type="auto"/>
            <w:hideMark/>
          </w:tcPr>
          <w:p w14:paraId="110D0BCA"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Bi-directional (V2G)</w:t>
            </w:r>
          </w:p>
        </w:tc>
        <w:tc>
          <w:tcPr>
            <w:tcW w:w="0" w:type="auto"/>
            <w:hideMark/>
          </w:tcPr>
          <w:p w14:paraId="3C89F4F0"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Do heavy-duty models (2026-2027) support bidirectional charging? Are the battery management system (BMS) and inverters hardware-ready?</w:t>
            </w:r>
          </w:p>
        </w:tc>
      </w:tr>
      <w:tr w:rsidR="00ED0CC9" w14:paraId="03D1B6B6"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268F72E0" w14:textId="77777777" w:rsidR="00ED0CC9" w:rsidRDefault="00ED0CC9" w:rsidP="00BF6797">
            <w:pPr>
              <w:rPr>
                <w:color w:val="1F1F1F"/>
              </w:rPr>
            </w:pPr>
            <w:r w:rsidRPr="00FF6F61">
              <w:rPr>
                <w:color w:val="1F1F1F"/>
                <w:bdr w:val="none" w:sz="0" w:space="0" w:color="auto" w:frame="1"/>
              </w:rPr>
              <w:t>4.1</w:t>
            </w:r>
            <w:r>
              <w:rPr>
                <w:color w:val="1F1F1F"/>
                <w:bdr w:val="none" w:sz="0" w:space="0" w:color="auto" w:frame="1"/>
              </w:rPr>
              <w:t>.2</w:t>
            </w:r>
          </w:p>
        </w:tc>
        <w:tc>
          <w:tcPr>
            <w:tcW w:w="0" w:type="auto"/>
            <w:hideMark/>
          </w:tcPr>
          <w:p w14:paraId="6836BAFD"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Load Management</w:t>
            </w:r>
          </w:p>
        </w:tc>
        <w:tc>
          <w:tcPr>
            <w:tcW w:w="0" w:type="auto"/>
            <w:hideMark/>
          </w:tcPr>
          <w:p w14:paraId="16B05DEB"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Pr>
                <w:b/>
                <w:bCs/>
                <w:color w:val="1F1F1F"/>
                <w:bdr w:val="none" w:sz="0" w:space="0" w:color="auto" w:frame="1"/>
              </w:rPr>
              <w:t>What is the maximum number of vehicles or loads your platform can manage concurrently at a single site?</w:t>
            </w:r>
            <w:r>
              <w:rPr>
                <w:color w:val="1F1F1F"/>
                <w:bdr w:val="none" w:sz="0" w:space="0" w:color="auto" w:frame="1"/>
              </w:rPr>
              <w:t xml:space="preserve"> </w:t>
            </w:r>
          </w:p>
          <w:p w14:paraId="070FCA5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Describe any scalability limits.</w:t>
            </w:r>
          </w:p>
        </w:tc>
      </w:tr>
      <w:tr w:rsidR="00ED0CC9" w14:paraId="1D4D38D6"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1F5B0E74" w14:textId="77777777" w:rsidR="00ED0CC9" w:rsidRDefault="00ED0CC9" w:rsidP="00BF6797">
            <w:pPr>
              <w:rPr>
                <w:color w:val="1F1F1F"/>
              </w:rPr>
            </w:pPr>
            <w:r w:rsidRPr="00FF6F61">
              <w:rPr>
                <w:color w:val="1F1F1F"/>
                <w:bdr w:val="none" w:sz="0" w:space="0" w:color="auto" w:frame="1"/>
              </w:rPr>
              <w:t>4.1</w:t>
            </w:r>
            <w:r>
              <w:rPr>
                <w:color w:val="1F1F1F"/>
                <w:bdr w:val="none" w:sz="0" w:space="0" w:color="auto" w:frame="1"/>
              </w:rPr>
              <w:t>.3</w:t>
            </w:r>
          </w:p>
        </w:tc>
        <w:tc>
          <w:tcPr>
            <w:tcW w:w="0" w:type="auto"/>
            <w:hideMark/>
          </w:tcPr>
          <w:p w14:paraId="034643AC"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Operational Limits</w:t>
            </w:r>
          </w:p>
        </w:tc>
        <w:tc>
          <w:tcPr>
            <w:tcW w:w="0" w:type="auto"/>
            <w:hideMark/>
          </w:tcPr>
          <w:p w14:paraId="399ED48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Identify technical limitations regarding V2G/V2X operations</w:t>
            </w:r>
            <w:r>
              <w:rPr>
                <w:color w:val="1F1F1F"/>
                <w:bdr w:val="none" w:sz="0" w:space="0" w:color="auto" w:frame="1"/>
              </w:rPr>
              <w:t xml:space="preserve"> (e.g., State of Charge (SOC) thresholds, discharge rate (max output in kW), temperature constraints, or maximum discharge cycles per day).</w:t>
            </w:r>
          </w:p>
        </w:tc>
      </w:tr>
      <w:tr w:rsidR="00ED0CC9" w14:paraId="5BBCCAA7"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368A2DC7" w14:textId="77777777" w:rsidR="00ED0CC9" w:rsidRDefault="00ED0CC9" w:rsidP="00BF6797">
            <w:pPr>
              <w:rPr>
                <w:color w:val="1F1F1F"/>
              </w:rPr>
            </w:pPr>
            <w:r w:rsidRPr="00FF6F61">
              <w:rPr>
                <w:color w:val="1F1F1F"/>
                <w:bdr w:val="none" w:sz="0" w:space="0" w:color="auto" w:frame="1"/>
              </w:rPr>
              <w:t>4.1</w:t>
            </w:r>
            <w:r>
              <w:rPr>
                <w:color w:val="1F1F1F"/>
                <w:bdr w:val="none" w:sz="0" w:space="0" w:color="auto" w:frame="1"/>
              </w:rPr>
              <w:t>.4</w:t>
            </w:r>
          </w:p>
        </w:tc>
        <w:tc>
          <w:tcPr>
            <w:tcW w:w="0" w:type="auto"/>
            <w:hideMark/>
          </w:tcPr>
          <w:p w14:paraId="6E0B026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Hydrogen (H2G)</w:t>
            </w:r>
          </w:p>
        </w:tc>
        <w:tc>
          <w:tcPr>
            <w:tcW w:w="0" w:type="auto"/>
            <w:hideMark/>
          </w:tcPr>
          <w:p w14:paraId="37693FAE"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For FCEV models, can the fuel cell stack export power back to the grid/facility while stationary? Specify max output (kW) and duration of discharge.</w:t>
            </w:r>
          </w:p>
        </w:tc>
      </w:tr>
      <w:tr w:rsidR="00ED0CC9" w14:paraId="6015B19D"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74B75DB4" w14:textId="77777777" w:rsidR="00ED0CC9" w:rsidRDefault="00ED0CC9" w:rsidP="00BF6797">
            <w:pPr>
              <w:rPr>
                <w:color w:val="1F1F1F"/>
              </w:rPr>
            </w:pPr>
            <w:r w:rsidRPr="00FF6F61">
              <w:rPr>
                <w:color w:val="1F1F1F"/>
                <w:bdr w:val="none" w:sz="0" w:space="0" w:color="auto" w:frame="1"/>
              </w:rPr>
              <w:t>4.1</w:t>
            </w:r>
            <w:r>
              <w:rPr>
                <w:color w:val="1F1F1F"/>
                <w:bdr w:val="none" w:sz="0" w:space="0" w:color="auto" w:frame="1"/>
              </w:rPr>
              <w:t>.5</w:t>
            </w:r>
          </w:p>
        </w:tc>
        <w:tc>
          <w:tcPr>
            <w:tcW w:w="0" w:type="auto"/>
            <w:hideMark/>
          </w:tcPr>
          <w:p w14:paraId="3992B7F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Lifetime and Warranty</w:t>
            </w:r>
          </w:p>
        </w:tc>
        <w:tc>
          <w:tcPr>
            <w:tcW w:w="0" w:type="auto"/>
            <w:hideMark/>
          </w:tcPr>
          <w:p w14:paraId="4CA7E55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How do V2G cycles affect the expected battery/fuel cell lifetime and warranty? Define "energy throughput" limits.</w:t>
            </w:r>
          </w:p>
        </w:tc>
      </w:tr>
    </w:tbl>
    <w:p w14:paraId="3B4BB5AB" w14:textId="77777777" w:rsidR="00ED0CC9" w:rsidRDefault="00ED0CC9" w:rsidP="00ED0CC9">
      <w:pPr>
        <w:pStyle w:val="4"/>
        <w:spacing w:after="120"/>
        <w:rPr>
          <w:color w:val="1F1F1F"/>
        </w:rPr>
      </w:pPr>
      <w:r>
        <w:rPr>
          <w:color w:val="1F1F1F"/>
        </w:rPr>
        <w:t>4.2. Advanced Communication</w:t>
      </w:r>
    </w:p>
    <w:tbl>
      <w:tblPr>
        <w:tblStyle w:val="1-5"/>
        <w:tblW w:w="0" w:type="auto"/>
        <w:tblLook w:val="04A0" w:firstRow="1" w:lastRow="0" w:firstColumn="1" w:lastColumn="0" w:noHBand="0" w:noVBand="1"/>
        <w:tblCaption w:val="Advanced Communication"/>
      </w:tblPr>
      <w:tblGrid>
        <w:gridCol w:w="669"/>
        <w:gridCol w:w="1438"/>
        <w:gridCol w:w="6523"/>
      </w:tblGrid>
      <w:tr w:rsidR="00ED0CC9" w14:paraId="5969E0F2"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2852E98" w14:textId="77777777" w:rsidR="00ED0CC9" w:rsidRDefault="00ED0CC9" w:rsidP="00BF6797">
            <w:pPr>
              <w:rPr>
                <w:color w:val="1F1F1F"/>
              </w:rPr>
            </w:pPr>
            <w:r>
              <w:rPr>
                <w:rStyle w:val="a8"/>
                <w:color w:val="1F1F1F"/>
                <w:bdr w:val="none" w:sz="0" w:space="0" w:color="auto" w:frame="1"/>
              </w:rPr>
              <w:t>ID</w:t>
            </w:r>
          </w:p>
        </w:tc>
        <w:tc>
          <w:tcPr>
            <w:tcW w:w="0" w:type="auto"/>
            <w:hideMark/>
          </w:tcPr>
          <w:p w14:paraId="2A597661"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Category</w:t>
            </w:r>
          </w:p>
        </w:tc>
        <w:tc>
          <w:tcPr>
            <w:tcW w:w="0" w:type="auto"/>
            <w:hideMark/>
          </w:tcPr>
          <w:p w14:paraId="451F3610"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Requirement</w:t>
            </w:r>
          </w:p>
        </w:tc>
      </w:tr>
      <w:tr w:rsidR="00ED0CC9" w14:paraId="0BF57947"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4DE79BA6" w14:textId="77777777" w:rsidR="00ED0CC9" w:rsidRDefault="00ED0CC9" w:rsidP="00BF6797">
            <w:pPr>
              <w:rPr>
                <w:color w:val="1F1F1F"/>
              </w:rPr>
            </w:pPr>
            <w:r>
              <w:rPr>
                <w:color w:val="1F1F1F"/>
                <w:bdr w:val="none" w:sz="0" w:space="0" w:color="auto" w:frame="1"/>
              </w:rPr>
              <w:t>4.2.1</w:t>
            </w:r>
          </w:p>
        </w:tc>
        <w:tc>
          <w:tcPr>
            <w:tcW w:w="0" w:type="auto"/>
            <w:hideMark/>
          </w:tcPr>
          <w:p w14:paraId="494B132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Protocols</w:t>
            </w:r>
          </w:p>
        </w:tc>
        <w:tc>
          <w:tcPr>
            <w:tcW w:w="0" w:type="auto"/>
            <w:hideMark/>
          </w:tcPr>
          <w:p w14:paraId="602BD0C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 xml:space="preserve">Does the system support both </w:t>
            </w:r>
            <w:r>
              <w:rPr>
                <w:b/>
                <w:bCs/>
                <w:color w:val="1F1F1F"/>
                <w:bdr w:val="none" w:sz="0" w:space="0" w:color="auto" w:frame="1"/>
              </w:rPr>
              <w:t>ISO 15118-20</w:t>
            </w:r>
            <w:r>
              <w:rPr>
                <w:color w:val="1F1F1F"/>
                <w:bdr w:val="none" w:sz="0" w:space="0" w:color="auto" w:frame="1"/>
              </w:rPr>
              <w:t xml:space="preserve"> and </w:t>
            </w:r>
            <w:r>
              <w:rPr>
                <w:b/>
                <w:bCs/>
                <w:color w:val="1F1F1F"/>
                <w:bdr w:val="none" w:sz="0" w:space="0" w:color="auto" w:frame="1"/>
              </w:rPr>
              <w:t>IEEE 2030.5</w:t>
            </w:r>
            <w:r>
              <w:rPr>
                <w:color w:val="1F1F1F"/>
                <w:bdr w:val="none" w:sz="0" w:space="0" w:color="auto" w:frame="1"/>
              </w:rPr>
              <w:t>? Detail the use of TLS 1.2 and PKI certificates.</w:t>
            </w:r>
          </w:p>
        </w:tc>
      </w:tr>
      <w:tr w:rsidR="00ED0CC9" w14:paraId="74AA918E"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633A4C7E" w14:textId="77777777" w:rsidR="00ED0CC9" w:rsidRDefault="00ED0CC9" w:rsidP="00BF6797">
            <w:pPr>
              <w:rPr>
                <w:color w:val="1F1F1F"/>
              </w:rPr>
            </w:pPr>
            <w:r>
              <w:rPr>
                <w:color w:val="1F1F1F"/>
                <w:bdr w:val="none" w:sz="0" w:space="0" w:color="auto" w:frame="1"/>
              </w:rPr>
              <w:t>4.2.3</w:t>
            </w:r>
          </w:p>
        </w:tc>
        <w:tc>
          <w:tcPr>
            <w:tcW w:w="0" w:type="auto"/>
            <w:hideMark/>
          </w:tcPr>
          <w:p w14:paraId="4E95645A"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OTA Capability</w:t>
            </w:r>
          </w:p>
        </w:tc>
        <w:tc>
          <w:tcPr>
            <w:tcW w:w="0" w:type="auto"/>
            <w:hideMark/>
          </w:tcPr>
          <w:p w14:paraId="54379DB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Does the hardware support Over-the-Air (OTA) updates for security and protocol evolution?</w:t>
            </w:r>
          </w:p>
        </w:tc>
      </w:tr>
      <w:tr w:rsidR="00ED0CC9" w14:paraId="687D949D"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4E9EDC23" w14:textId="77777777" w:rsidR="00ED0CC9" w:rsidRDefault="00ED0CC9" w:rsidP="00BF6797">
            <w:pPr>
              <w:rPr>
                <w:color w:val="1F1F1F"/>
              </w:rPr>
            </w:pPr>
            <w:r>
              <w:rPr>
                <w:color w:val="1F1F1F"/>
                <w:bdr w:val="none" w:sz="0" w:space="0" w:color="auto" w:frame="1"/>
              </w:rPr>
              <w:t>4.2.4</w:t>
            </w:r>
          </w:p>
        </w:tc>
        <w:tc>
          <w:tcPr>
            <w:tcW w:w="0" w:type="auto"/>
            <w:hideMark/>
          </w:tcPr>
          <w:p w14:paraId="3F7005C1"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Response &amp; Latency</w:t>
            </w:r>
          </w:p>
        </w:tc>
        <w:tc>
          <w:tcPr>
            <w:tcW w:w="0" w:type="auto"/>
            <w:hideMark/>
          </w:tcPr>
          <w:p w14:paraId="47998B30"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Specify the response time (in milliseconds/seconds) to a load change signal.</w:t>
            </w:r>
            <w:r>
              <w:rPr>
                <w:color w:val="1F1F1F"/>
                <w:bdr w:val="none" w:sz="0" w:space="0" w:color="auto" w:frame="1"/>
              </w:rPr>
              <w:t xml:space="preserve"> Detail the ramp rate for power discharge and the total latency from signal to execution.</w:t>
            </w:r>
          </w:p>
        </w:tc>
      </w:tr>
    </w:tbl>
    <w:p w14:paraId="34BB459E" w14:textId="77777777" w:rsidR="00ED0CC9" w:rsidRDefault="00ED0CC9" w:rsidP="00ED0CC9">
      <w:pPr>
        <w:pStyle w:val="4"/>
        <w:spacing w:after="120"/>
        <w:rPr>
          <w:color w:val="1F1F1F"/>
        </w:rPr>
      </w:pPr>
      <w:r>
        <w:rPr>
          <w:color w:val="1F1F1F"/>
        </w:rPr>
        <w:t>4.3. Resilience &amp; Emergency Operations</w:t>
      </w:r>
    </w:p>
    <w:tbl>
      <w:tblPr>
        <w:tblStyle w:val="1-5"/>
        <w:tblW w:w="0" w:type="auto"/>
        <w:tblLook w:val="04A0" w:firstRow="1" w:lastRow="0" w:firstColumn="1" w:lastColumn="0" w:noHBand="0" w:noVBand="1"/>
        <w:tblCaption w:val="Resilience &amp; Emergency Operations"/>
      </w:tblPr>
      <w:tblGrid>
        <w:gridCol w:w="669"/>
        <w:gridCol w:w="1433"/>
        <w:gridCol w:w="6528"/>
      </w:tblGrid>
      <w:tr w:rsidR="00ED0CC9" w14:paraId="55832DD3"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F6A9E89" w14:textId="77777777" w:rsidR="00ED0CC9" w:rsidRDefault="00ED0CC9" w:rsidP="00BF6797">
            <w:pPr>
              <w:rPr>
                <w:color w:val="1F1F1F"/>
              </w:rPr>
            </w:pPr>
            <w:r>
              <w:rPr>
                <w:rStyle w:val="a8"/>
                <w:color w:val="1F1F1F"/>
                <w:bdr w:val="none" w:sz="0" w:space="0" w:color="auto" w:frame="1"/>
              </w:rPr>
              <w:t>ID</w:t>
            </w:r>
          </w:p>
        </w:tc>
        <w:tc>
          <w:tcPr>
            <w:tcW w:w="0" w:type="auto"/>
            <w:hideMark/>
          </w:tcPr>
          <w:p w14:paraId="0850A2F9"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Area</w:t>
            </w:r>
          </w:p>
        </w:tc>
        <w:tc>
          <w:tcPr>
            <w:tcW w:w="0" w:type="auto"/>
            <w:hideMark/>
          </w:tcPr>
          <w:p w14:paraId="1888DC96"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Requirement</w:t>
            </w:r>
          </w:p>
        </w:tc>
      </w:tr>
      <w:tr w:rsidR="00ED0CC9" w14:paraId="074E3AF4"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2481CE7F" w14:textId="77777777" w:rsidR="00ED0CC9" w:rsidRDefault="00ED0CC9" w:rsidP="00BF6797">
            <w:pPr>
              <w:rPr>
                <w:color w:val="1F1F1F"/>
              </w:rPr>
            </w:pPr>
            <w:r w:rsidRPr="004E545C">
              <w:rPr>
                <w:color w:val="1F1F1F"/>
                <w:bdr w:val="none" w:sz="0" w:space="0" w:color="auto" w:frame="1"/>
              </w:rPr>
              <w:t>4.3</w:t>
            </w:r>
            <w:r>
              <w:rPr>
                <w:color w:val="1F1F1F"/>
                <w:bdr w:val="none" w:sz="0" w:space="0" w:color="auto" w:frame="1"/>
              </w:rPr>
              <w:t>.1</w:t>
            </w:r>
          </w:p>
        </w:tc>
        <w:tc>
          <w:tcPr>
            <w:tcW w:w="0" w:type="auto"/>
            <w:hideMark/>
          </w:tcPr>
          <w:p w14:paraId="22DBA59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Black Start</w:t>
            </w:r>
          </w:p>
        </w:tc>
        <w:tc>
          <w:tcPr>
            <w:tcW w:w="0" w:type="auto"/>
            <w:hideMark/>
          </w:tcPr>
          <w:p w14:paraId="5F6D832D"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Can the system assist in "Black Start" operations—providing initial power to restart a local grid segment during a total blackout?</w:t>
            </w:r>
          </w:p>
        </w:tc>
      </w:tr>
      <w:tr w:rsidR="00ED0CC9" w14:paraId="1AC939D2"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5F3861CE" w14:textId="77777777" w:rsidR="00ED0CC9" w:rsidRDefault="00ED0CC9" w:rsidP="00BF6797">
            <w:pPr>
              <w:rPr>
                <w:color w:val="1F1F1F"/>
              </w:rPr>
            </w:pPr>
            <w:r w:rsidRPr="004E545C">
              <w:rPr>
                <w:color w:val="1F1F1F"/>
                <w:bdr w:val="none" w:sz="0" w:space="0" w:color="auto" w:frame="1"/>
              </w:rPr>
              <w:lastRenderedPageBreak/>
              <w:t>4.3</w:t>
            </w:r>
            <w:r>
              <w:rPr>
                <w:color w:val="1F1F1F"/>
                <w:bdr w:val="none" w:sz="0" w:space="0" w:color="auto" w:frame="1"/>
              </w:rPr>
              <w:t>.2</w:t>
            </w:r>
          </w:p>
        </w:tc>
        <w:tc>
          <w:tcPr>
            <w:tcW w:w="0" w:type="auto"/>
            <w:hideMark/>
          </w:tcPr>
          <w:p w14:paraId="110CFA66"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Islanding (V2B/V2F)</w:t>
            </w:r>
          </w:p>
        </w:tc>
        <w:tc>
          <w:tcPr>
            <w:tcW w:w="0" w:type="auto"/>
            <w:hideMark/>
          </w:tcPr>
          <w:p w14:paraId="39EED75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 xml:space="preserve">Describe the capability to operate in "Island Mode" to provide backup power to critical buildings. </w:t>
            </w:r>
            <w:r>
              <w:rPr>
                <w:b/>
                <w:bCs/>
                <w:color w:val="1F1F1F"/>
                <w:bdr w:val="none" w:sz="0" w:space="0" w:color="auto" w:frame="1"/>
              </w:rPr>
              <w:t>Clarify if this is possible for a single vehicle or if coupling (parallel operation) of multiple vehicles is supported.</w:t>
            </w:r>
          </w:p>
        </w:tc>
      </w:tr>
      <w:tr w:rsidR="00ED0CC9" w14:paraId="26AFDFDF"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34BBECC1" w14:textId="77777777" w:rsidR="00ED0CC9" w:rsidRDefault="00ED0CC9" w:rsidP="00BF6797">
            <w:pPr>
              <w:rPr>
                <w:color w:val="1F1F1F"/>
              </w:rPr>
            </w:pPr>
            <w:r w:rsidRPr="004E545C">
              <w:rPr>
                <w:color w:val="1F1F1F"/>
                <w:bdr w:val="none" w:sz="0" w:space="0" w:color="auto" w:frame="1"/>
              </w:rPr>
              <w:t>4.3</w:t>
            </w:r>
            <w:r>
              <w:rPr>
                <w:color w:val="1F1F1F"/>
                <w:bdr w:val="none" w:sz="0" w:space="0" w:color="auto" w:frame="1"/>
              </w:rPr>
              <w:t>.3</w:t>
            </w:r>
          </w:p>
        </w:tc>
        <w:tc>
          <w:tcPr>
            <w:tcW w:w="0" w:type="auto"/>
            <w:hideMark/>
          </w:tcPr>
          <w:p w14:paraId="28767C2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Workforce</w:t>
            </w:r>
          </w:p>
        </w:tc>
        <w:tc>
          <w:tcPr>
            <w:tcW w:w="0" w:type="auto"/>
            <w:hideMark/>
          </w:tcPr>
          <w:p w14:paraId="6486E945"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Describe training programs for local Israeli technicians regarding high-power Heavy-Duty charging installation.</w:t>
            </w:r>
          </w:p>
        </w:tc>
      </w:tr>
    </w:tbl>
    <w:p w14:paraId="442C45C1" w14:textId="77777777" w:rsidR="00ED0CC9" w:rsidRDefault="00ED0CC9" w:rsidP="00ED0CC9">
      <w:pPr>
        <w:pStyle w:val="4"/>
        <w:spacing w:after="120"/>
        <w:rPr>
          <w:color w:val="1F1F1F"/>
        </w:rPr>
      </w:pPr>
    </w:p>
    <w:p w14:paraId="5B975419" w14:textId="52F70DA4" w:rsidR="00ED0CC9" w:rsidRDefault="00ED0CC9" w:rsidP="007F1E85">
      <w:pPr>
        <w:jc w:val="right"/>
        <w:rPr>
          <w:color w:val="1F1F1F"/>
        </w:rPr>
      </w:pPr>
      <w:r>
        <w:rPr>
          <w:color w:val="1F1F1F"/>
        </w:rPr>
        <w:t>4.4. Local Regulatory &amp; Technical Compliance (Israel Specific)</w:t>
      </w:r>
    </w:p>
    <w:tbl>
      <w:tblPr>
        <w:tblStyle w:val="1-5"/>
        <w:tblW w:w="0" w:type="auto"/>
        <w:tblLook w:val="04A0" w:firstRow="1" w:lastRow="0" w:firstColumn="1" w:lastColumn="0" w:noHBand="0" w:noVBand="1"/>
        <w:tblCaption w:val="Local Regulatory &amp; Technical Compliance (Israel Specific"/>
      </w:tblPr>
      <w:tblGrid>
        <w:gridCol w:w="669"/>
        <w:gridCol w:w="1646"/>
        <w:gridCol w:w="6315"/>
      </w:tblGrid>
      <w:tr w:rsidR="00ED0CC9" w14:paraId="67D07869"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7822D41" w14:textId="77777777" w:rsidR="00ED0CC9" w:rsidRDefault="00ED0CC9" w:rsidP="00BF6797">
            <w:pPr>
              <w:rPr>
                <w:color w:val="1F1F1F"/>
              </w:rPr>
            </w:pPr>
            <w:r>
              <w:rPr>
                <w:rStyle w:val="a8"/>
                <w:color w:val="1F1F1F"/>
                <w:bdr w:val="none" w:sz="0" w:space="0" w:color="auto" w:frame="1"/>
              </w:rPr>
              <w:t>ID</w:t>
            </w:r>
          </w:p>
        </w:tc>
        <w:tc>
          <w:tcPr>
            <w:tcW w:w="0" w:type="auto"/>
            <w:hideMark/>
          </w:tcPr>
          <w:p w14:paraId="380EFF37"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Category</w:t>
            </w:r>
          </w:p>
        </w:tc>
        <w:tc>
          <w:tcPr>
            <w:tcW w:w="0" w:type="auto"/>
            <w:hideMark/>
          </w:tcPr>
          <w:p w14:paraId="3261AA56"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Requirement</w:t>
            </w:r>
          </w:p>
        </w:tc>
      </w:tr>
      <w:tr w:rsidR="00ED0CC9" w14:paraId="206DC4C6"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43A845D0" w14:textId="77777777" w:rsidR="00ED0CC9" w:rsidRDefault="00ED0CC9" w:rsidP="00BF6797">
            <w:pPr>
              <w:rPr>
                <w:color w:val="1F1F1F"/>
              </w:rPr>
            </w:pPr>
            <w:r>
              <w:rPr>
                <w:color w:val="1F1F1F"/>
                <w:bdr w:val="none" w:sz="0" w:space="0" w:color="auto" w:frame="1"/>
              </w:rPr>
              <w:t>4.4.1</w:t>
            </w:r>
          </w:p>
        </w:tc>
        <w:tc>
          <w:tcPr>
            <w:tcW w:w="0" w:type="auto"/>
            <w:hideMark/>
          </w:tcPr>
          <w:p w14:paraId="298B051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System Operator (NOGA)</w:t>
            </w:r>
          </w:p>
        </w:tc>
        <w:tc>
          <w:tcPr>
            <w:tcW w:w="0" w:type="auto"/>
            <w:hideMark/>
          </w:tcPr>
          <w:p w14:paraId="554F3CF7"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Pr>
                <w:color w:val="1F1F1F"/>
                <w:bdr w:val="none" w:sz="0" w:space="0" w:color="auto" w:frame="1"/>
              </w:rPr>
              <w:t xml:space="preserve">NOGA is currently evaluating various solution for Demand Response (DR). One of the suggested solutions includes scheduling electric vehicles charging from the grid or discharging to the grid (V2G)  </w:t>
            </w:r>
          </w:p>
          <w:p w14:paraId="5BE2A200"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tl/>
              </w:rPr>
            </w:pPr>
            <w:r w:rsidRPr="002A0B02">
              <w:rPr>
                <w:color w:val="1F1F1F"/>
                <w:bdr w:val="none" w:sz="0" w:space="0" w:color="auto" w:frame="1"/>
              </w:rPr>
              <w:t xml:space="preserve">Describe your system's capability for participation and communication </w:t>
            </w:r>
            <w:r>
              <w:rPr>
                <w:color w:val="1F1F1F"/>
                <w:bdr w:val="none" w:sz="0" w:space="0" w:color="auto" w:frame="1"/>
              </w:rPr>
              <w:t xml:space="preserve">while operating in various DR modes. </w:t>
            </w:r>
          </w:p>
        </w:tc>
      </w:tr>
      <w:tr w:rsidR="00ED0CC9" w14:paraId="306667E8"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2E22B38D" w14:textId="77777777" w:rsidR="00ED0CC9" w:rsidRDefault="00ED0CC9" w:rsidP="00BF6797">
            <w:pPr>
              <w:rPr>
                <w:color w:val="1F1F1F"/>
              </w:rPr>
            </w:pPr>
            <w:r>
              <w:rPr>
                <w:color w:val="1F1F1F"/>
                <w:bdr w:val="none" w:sz="0" w:space="0" w:color="auto" w:frame="1"/>
              </w:rPr>
              <w:t>4.4.2</w:t>
            </w:r>
          </w:p>
        </w:tc>
        <w:tc>
          <w:tcPr>
            <w:tcW w:w="0" w:type="auto"/>
            <w:hideMark/>
          </w:tcPr>
          <w:p w14:paraId="044EF6FA"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Grid Code</w:t>
            </w:r>
          </w:p>
        </w:tc>
        <w:tc>
          <w:tcPr>
            <w:tcW w:w="0" w:type="auto"/>
            <w:hideMark/>
          </w:tcPr>
          <w:p w14:paraId="6465849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Pr>
                <w:color w:val="1F1F1F"/>
                <w:bdr w:val="none" w:sz="0" w:space="0" w:color="auto" w:frame="1"/>
              </w:rPr>
              <w:t>Confirm hardware (inverters) compliance with T</w:t>
            </w:r>
            <w:r w:rsidRPr="00381751">
              <w:rPr>
                <w:color w:val="1F1F1F"/>
                <w:bdr w:val="none" w:sz="0" w:space="0" w:color="auto" w:frame="1"/>
              </w:rPr>
              <w:t>he Standards Institution of Israel</w:t>
            </w:r>
            <w:r>
              <w:rPr>
                <w:color w:val="1F1F1F"/>
                <w:bdr w:val="none" w:sz="0" w:space="0" w:color="auto" w:frame="1"/>
              </w:rPr>
              <w:t xml:space="preserve"> (list of approved inverters can be found in the </w:t>
            </w:r>
            <w:hyperlink r:id="rId7" w:history="1">
              <w:r w:rsidRPr="00F40FEF">
                <w:rPr>
                  <w:rStyle w:val="Hyperlink"/>
                  <w:bdr w:val="none" w:sz="0" w:space="0" w:color="auto" w:frame="1"/>
                </w:rPr>
                <w:t>SII web site</w:t>
              </w:r>
            </w:hyperlink>
            <w:r>
              <w:rPr>
                <w:color w:val="1F1F1F"/>
                <w:bdr w:val="none" w:sz="0" w:space="0" w:color="auto" w:frame="1"/>
              </w:rPr>
              <w:t>)</w:t>
            </w:r>
          </w:p>
          <w:p w14:paraId="259DC39F"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Does your equipment support operation according with EN 50160 standard?</w:t>
            </w:r>
          </w:p>
        </w:tc>
      </w:tr>
      <w:tr w:rsidR="00ED0CC9" w14:paraId="17D2E9E4" w14:textId="77777777" w:rsidTr="00BF6797">
        <w:tc>
          <w:tcPr>
            <w:cnfStyle w:val="001000000000" w:firstRow="0" w:lastRow="0" w:firstColumn="1" w:lastColumn="0" w:oddVBand="0" w:evenVBand="0" w:oddHBand="0" w:evenHBand="0" w:firstRowFirstColumn="0" w:firstRowLastColumn="0" w:lastRowFirstColumn="0" w:lastRowLastColumn="0"/>
            <w:tcW w:w="0" w:type="auto"/>
            <w:hideMark/>
          </w:tcPr>
          <w:p w14:paraId="63ACEB26" w14:textId="77777777" w:rsidR="00ED0CC9" w:rsidRDefault="00ED0CC9" w:rsidP="00BF6797">
            <w:pPr>
              <w:rPr>
                <w:color w:val="1F1F1F"/>
              </w:rPr>
            </w:pPr>
            <w:r>
              <w:rPr>
                <w:color w:val="1F1F1F"/>
                <w:bdr w:val="none" w:sz="0" w:space="0" w:color="auto" w:frame="1"/>
              </w:rPr>
              <w:t>4.4.3</w:t>
            </w:r>
          </w:p>
        </w:tc>
        <w:tc>
          <w:tcPr>
            <w:tcW w:w="0" w:type="auto"/>
            <w:hideMark/>
          </w:tcPr>
          <w:p w14:paraId="7BC5EFA9"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Smart Metering</w:t>
            </w:r>
          </w:p>
        </w:tc>
        <w:tc>
          <w:tcPr>
            <w:tcW w:w="0" w:type="auto"/>
            <w:hideMark/>
          </w:tcPr>
          <w:p w14:paraId="738824F2"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Pr>
                <w:color w:val="1F1F1F"/>
                <w:bdr w:val="none" w:sz="0" w:space="0" w:color="auto" w:frame="1"/>
              </w:rPr>
              <w:t xml:space="preserve">IEC (Israel Electric Corporation) operates smart meters that operate at 15-minute resolution. </w:t>
            </w:r>
          </w:p>
          <w:p w14:paraId="48FE502C"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Pr>
                <w:color w:val="1F1F1F"/>
                <w:bdr w:val="none" w:sz="0" w:space="0" w:color="auto" w:frame="1"/>
              </w:rPr>
              <w:t xml:space="preserve">Does your solution support operation in this resolution? </w:t>
            </w:r>
          </w:p>
          <w:p w14:paraId="5F56965A"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How would your solution interface with IEC smart meters for TAOZ (Time-of-Use) billing and revenue-grade metering?</w:t>
            </w:r>
          </w:p>
        </w:tc>
      </w:tr>
      <w:tr w:rsidR="00ED0CC9" w14:paraId="76E36743" w14:textId="77777777" w:rsidTr="00BF6797">
        <w:tc>
          <w:tcPr>
            <w:cnfStyle w:val="001000000000" w:firstRow="0" w:lastRow="0" w:firstColumn="1" w:lastColumn="0" w:oddVBand="0" w:evenVBand="0" w:oddHBand="0" w:evenHBand="0" w:firstRowFirstColumn="0" w:firstRowLastColumn="0" w:lastRowFirstColumn="0" w:lastRowLastColumn="0"/>
            <w:tcW w:w="0" w:type="auto"/>
          </w:tcPr>
          <w:p w14:paraId="11639896" w14:textId="77777777" w:rsidR="00ED0CC9" w:rsidRDefault="00ED0CC9" w:rsidP="00BF6797">
            <w:pPr>
              <w:rPr>
                <w:b w:val="0"/>
                <w:bCs w:val="0"/>
                <w:color w:val="1F1F1F"/>
                <w:bdr w:val="none" w:sz="0" w:space="0" w:color="auto" w:frame="1"/>
              </w:rPr>
            </w:pPr>
            <w:r>
              <w:rPr>
                <w:color w:val="1F1F1F"/>
                <w:bdr w:val="none" w:sz="0" w:space="0" w:color="auto" w:frame="1"/>
              </w:rPr>
              <w:t>4.4.4</w:t>
            </w:r>
          </w:p>
        </w:tc>
        <w:tc>
          <w:tcPr>
            <w:tcW w:w="0" w:type="auto"/>
          </w:tcPr>
          <w:p w14:paraId="34E17448"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b/>
                <w:bCs/>
                <w:color w:val="1F1F1F"/>
                <w:bdr w:val="none" w:sz="0" w:space="0" w:color="auto" w:frame="1"/>
              </w:rPr>
            </w:pPr>
            <w:r>
              <w:rPr>
                <w:b/>
                <w:bCs/>
                <w:color w:val="1F1F1F"/>
                <w:bdr w:val="none" w:sz="0" w:space="0" w:color="auto" w:frame="1"/>
              </w:rPr>
              <w:t>Cybersecurity</w:t>
            </w:r>
          </w:p>
        </w:tc>
        <w:tc>
          <w:tcPr>
            <w:tcW w:w="0" w:type="auto"/>
          </w:tcPr>
          <w:p w14:paraId="4836B410" w14:textId="77777777" w:rsidR="00ED0CC9" w:rsidRPr="005A5271"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b/>
                <w:bCs/>
                <w:color w:val="1F1F1F"/>
                <w:bdr w:val="none" w:sz="0" w:space="0" w:color="auto" w:frame="1"/>
              </w:rPr>
              <w:t>Regulatory Compliance Compatibility</w:t>
            </w:r>
            <w:r w:rsidRPr="005A5271">
              <w:rPr>
                <w:color w:val="1F1F1F"/>
                <w:bdr w:val="none" w:sz="0" w:space="0" w:color="auto" w:frame="1"/>
              </w:rPr>
              <w:t> </w:t>
            </w:r>
            <w:r>
              <w:rPr>
                <w:color w:val="1F1F1F"/>
                <w:bdr w:val="none" w:sz="0" w:space="0" w:color="auto" w:frame="1"/>
              </w:rPr>
              <w:t>NOGA</w:t>
            </w:r>
            <w:r w:rsidRPr="005A5271">
              <w:rPr>
                <w:color w:val="1F1F1F"/>
                <w:bdr w:val="none" w:sz="0" w:space="0" w:color="auto" w:frame="1"/>
              </w:rPr>
              <w:t xml:space="preserve"> operates critical infrastructure subject to strict national and international cybersecurity regulations, including but not limited to </w:t>
            </w:r>
            <w:r w:rsidRPr="005A5271">
              <w:rPr>
                <w:b/>
                <w:bCs/>
                <w:color w:val="1F1F1F"/>
                <w:bdr w:val="none" w:sz="0" w:space="0" w:color="auto" w:frame="1"/>
              </w:rPr>
              <w:t>ISO 27001, ISO 27035, ISO 27019, NERC CIP, and IEC 62443</w:t>
            </w:r>
            <w:r w:rsidRPr="005A5271">
              <w:rPr>
                <w:color w:val="1F1F1F"/>
                <w:bdr w:val="none" w:sz="0" w:space="0" w:color="auto" w:frame="1"/>
              </w:rPr>
              <w:t>.</w:t>
            </w:r>
          </w:p>
          <w:p w14:paraId="75A6B5B5" w14:textId="77777777" w:rsidR="00ED0CC9" w:rsidRPr="005A5271"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color w:val="1F1F1F"/>
                <w:bdr w:val="none" w:sz="0" w:space="0" w:color="auto" w:frame="1"/>
              </w:rPr>
              <w:t>While full compliance certification is not required at the RFI stage, the Agency seeks to understand if the proposed solution is capable of operating within these frameworks.</w:t>
            </w:r>
          </w:p>
          <w:p w14:paraId="1795D02D" w14:textId="77777777" w:rsidR="00ED0CC9" w:rsidRPr="005A5271" w:rsidRDefault="00ED0CC9" w:rsidP="00BF6797">
            <w:p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b/>
                <w:bCs/>
                <w:color w:val="1F1F1F"/>
                <w:bdr w:val="none" w:sz="0" w:space="0" w:color="auto" w:frame="1"/>
              </w:rPr>
              <w:t>Please provide a brief narrative response to the following:</w:t>
            </w:r>
          </w:p>
          <w:p w14:paraId="696005B8" w14:textId="77777777" w:rsidR="00ED0CC9" w:rsidRPr="005A5271" w:rsidRDefault="00ED0CC9" w:rsidP="00ED0CC9">
            <w:pPr>
              <w:widowControl w:val="0"/>
              <w:numPr>
                <w:ilvl w:val="0"/>
                <w:numId w:val="2"/>
              </w:num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b/>
                <w:bCs/>
                <w:color w:val="1F1F1F"/>
                <w:bdr w:val="none" w:sz="0" w:space="0" w:color="auto" w:frame="1"/>
              </w:rPr>
              <w:t>Regulatory Alignment:</w:t>
            </w:r>
            <w:r w:rsidRPr="005A5271">
              <w:rPr>
                <w:color w:val="1F1F1F"/>
                <w:bdr w:val="none" w:sz="0" w:space="0" w:color="auto" w:frame="1"/>
              </w:rPr>
              <w:t> Does your organization or solution currently hold certifications or attestations for any of the listed standards (ISO 27001, IEC 62443, etc.)? If not, is the solution designed with these frameworks in mind?</w:t>
            </w:r>
          </w:p>
          <w:p w14:paraId="23C8469A" w14:textId="77777777" w:rsidR="00ED0CC9" w:rsidRPr="005A5271" w:rsidRDefault="00ED0CC9" w:rsidP="00ED0CC9">
            <w:pPr>
              <w:widowControl w:val="0"/>
              <w:numPr>
                <w:ilvl w:val="0"/>
                <w:numId w:val="2"/>
              </w:num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b/>
                <w:bCs/>
                <w:color w:val="1F1F1F"/>
                <w:bdr w:val="none" w:sz="0" w:space="0" w:color="auto" w:frame="1"/>
              </w:rPr>
              <w:t>Operational Constraints:</w:t>
            </w:r>
            <w:r w:rsidRPr="005A5271">
              <w:rPr>
                <w:color w:val="1F1F1F"/>
                <w:bdr w:val="none" w:sz="0" w:space="0" w:color="auto" w:frame="1"/>
              </w:rPr>
              <w:t> Do you foresee any aspect of your solution—specifically regarding remote support, patch management, or network connectivity—that would limit or prohibit the Agency from complying with the strict controls mandated by these regulations?</w:t>
            </w:r>
          </w:p>
          <w:p w14:paraId="554944DB" w14:textId="77777777" w:rsidR="00ED0CC9" w:rsidRPr="00317430" w:rsidRDefault="00ED0CC9" w:rsidP="00ED0CC9">
            <w:pPr>
              <w:widowControl w:val="0"/>
              <w:numPr>
                <w:ilvl w:val="0"/>
                <w:numId w:val="2"/>
              </w:numPr>
              <w:cnfStyle w:val="000000000000" w:firstRow="0" w:lastRow="0" w:firstColumn="0" w:lastColumn="0" w:oddVBand="0" w:evenVBand="0" w:oddHBand="0" w:evenHBand="0" w:firstRowFirstColumn="0" w:firstRowLastColumn="0" w:lastRowFirstColumn="0" w:lastRowLastColumn="0"/>
              <w:rPr>
                <w:color w:val="1F1F1F"/>
                <w:bdr w:val="none" w:sz="0" w:space="0" w:color="auto" w:frame="1"/>
              </w:rPr>
            </w:pPr>
            <w:r w:rsidRPr="005A5271">
              <w:rPr>
                <w:b/>
                <w:bCs/>
                <w:color w:val="1F1F1F"/>
                <w:bdr w:val="none" w:sz="0" w:space="0" w:color="auto" w:frame="1"/>
              </w:rPr>
              <w:t>Data Sovereignty:</w:t>
            </w:r>
            <w:r w:rsidRPr="005A5271">
              <w:rPr>
                <w:color w:val="1F1F1F"/>
                <w:bdr w:val="none" w:sz="0" w:space="0" w:color="auto" w:frame="1"/>
              </w:rPr>
              <w:t> Can you confirm that your solution architecture supports the requirement for all data processing and storage to remain within national borders or Agency-certified environments?</w:t>
            </w:r>
          </w:p>
        </w:tc>
      </w:tr>
    </w:tbl>
    <w:p w14:paraId="0CFD7027" w14:textId="77777777" w:rsidR="00ED0CC9" w:rsidRDefault="00ED0CC9" w:rsidP="00ED0CC9">
      <w:pPr>
        <w:pStyle w:val="4"/>
        <w:spacing w:after="120"/>
        <w:rPr>
          <w:color w:val="1F1F1F"/>
        </w:rPr>
      </w:pPr>
    </w:p>
    <w:p w14:paraId="71C4308D" w14:textId="77777777" w:rsidR="00ED0CC9" w:rsidRDefault="00ED0CC9" w:rsidP="00ED0CC9">
      <w:pPr>
        <w:pStyle w:val="4"/>
        <w:spacing w:after="120"/>
        <w:rPr>
          <w:color w:val="1F1F1F"/>
        </w:rPr>
      </w:pPr>
      <w:r>
        <w:rPr>
          <w:color w:val="1F1F1F"/>
        </w:rPr>
        <w:br w:type="page"/>
      </w:r>
      <w:r>
        <w:rPr>
          <w:color w:val="1F1F1F"/>
        </w:rPr>
        <w:lastRenderedPageBreak/>
        <w:t>4.5. Commercial and Operational Models</w:t>
      </w:r>
    </w:p>
    <w:tbl>
      <w:tblPr>
        <w:tblStyle w:val="1-5"/>
        <w:tblW w:w="0" w:type="auto"/>
        <w:tblLayout w:type="fixed"/>
        <w:tblLook w:val="04A0" w:firstRow="1" w:lastRow="0" w:firstColumn="1" w:lastColumn="0" w:noHBand="0" w:noVBand="1"/>
        <w:tblCaption w:val="Commercial and Operational Models"/>
      </w:tblPr>
      <w:tblGrid>
        <w:gridCol w:w="940"/>
        <w:gridCol w:w="1671"/>
        <w:gridCol w:w="5893"/>
      </w:tblGrid>
      <w:tr w:rsidR="00ED0CC9" w14:paraId="3C38B494" w14:textId="77777777" w:rsidTr="007F1E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40" w:type="dxa"/>
            <w:hideMark/>
          </w:tcPr>
          <w:p w14:paraId="0E878DC2" w14:textId="77777777" w:rsidR="00ED0CC9" w:rsidRDefault="00ED0CC9" w:rsidP="00BF6797">
            <w:pPr>
              <w:rPr>
                <w:color w:val="1F1F1F"/>
              </w:rPr>
            </w:pPr>
            <w:r>
              <w:rPr>
                <w:rStyle w:val="a8"/>
                <w:color w:val="1F1F1F"/>
                <w:bdr w:val="none" w:sz="0" w:space="0" w:color="auto" w:frame="1"/>
              </w:rPr>
              <w:t>ID</w:t>
            </w:r>
          </w:p>
        </w:tc>
        <w:tc>
          <w:tcPr>
            <w:tcW w:w="1671" w:type="dxa"/>
            <w:hideMark/>
          </w:tcPr>
          <w:p w14:paraId="0155FAC3"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Area</w:t>
            </w:r>
          </w:p>
        </w:tc>
        <w:tc>
          <w:tcPr>
            <w:tcW w:w="5893" w:type="dxa"/>
            <w:hideMark/>
          </w:tcPr>
          <w:p w14:paraId="5A81AF8E" w14:textId="77777777" w:rsidR="00ED0CC9" w:rsidRDefault="00ED0CC9" w:rsidP="00BF6797">
            <w:pPr>
              <w:cnfStyle w:val="100000000000" w:firstRow="1" w:lastRow="0" w:firstColumn="0" w:lastColumn="0" w:oddVBand="0" w:evenVBand="0" w:oddHBand="0" w:evenHBand="0" w:firstRowFirstColumn="0" w:firstRowLastColumn="0" w:lastRowFirstColumn="0" w:lastRowLastColumn="0"/>
              <w:rPr>
                <w:color w:val="1F1F1F"/>
              </w:rPr>
            </w:pPr>
            <w:r>
              <w:rPr>
                <w:rStyle w:val="a8"/>
                <w:color w:val="1F1F1F"/>
                <w:bdr w:val="none" w:sz="0" w:space="0" w:color="auto" w:frame="1"/>
              </w:rPr>
              <w:t>Requirement</w:t>
            </w:r>
          </w:p>
        </w:tc>
      </w:tr>
      <w:tr w:rsidR="00ED0CC9" w14:paraId="1D351473" w14:textId="77777777" w:rsidTr="00BF6797">
        <w:tc>
          <w:tcPr>
            <w:cnfStyle w:val="001000000000" w:firstRow="0" w:lastRow="0" w:firstColumn="1" w:lastColumn="0" w:oddVBand="0" w:evenVBand="0" w:oddHBand="0" w:evenHBand="0" w:firstRowFirstColumn="0" w:firstRowLastColumn="0" w:lastRowFirstColumn="0" w:lastRowLastColumn="0"/>
            <w:tcW w:w="940" w:type="dxa"/>
            <w:hideMark/>
          </w:tcPr>
          <w:p w14:paraId="66745679" w14:textId="77777777" w:rsidR="00ED0CC9" w:rsidRDefault="00ED0CC9" w:rsidP="00BF6797">
            <w:pPr>
              <w:rPr>
                <w:color w:val="1F1F1F"/>
              </w:rPr>
            </w:pPr>
            <w:r>
              <w:rPr>
                <w:color w:val="1F1F1F"/>
                <w:bdr w:val="none" w:sz="0" w:space="0" w:color="auto" w:frame="1"/>
              </w:rPr>
              <w:t>4.5.1</w:t>
            </w:r>
          </w:p>
        </w:tc>
        <w:tc>
          <w:tcPr>
            <w:tcW w:w="1671" w:type="dxa"/>
            <w:hideMark/>
          </w:tcPr>
          <w:p w14:paraId="18264F7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Local Presence</w:t>
            </w:r>
          </w:p>
        </w:tc>
        <w:tc>
          <w:tcPr>
            <w:tcW w:w="5893" w:type="dxa"/>
            <w:hideMark/>
          </w:tcPr>
          <w:p w14:paraId="10C2D369"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Describe your local technical support, implementation partners, and spare parts inventory strategy in Israel.</w:t>
            </w:r>
          </w:p>
        </w:tc>
      </w:tr>
      <w:tr w:rsidR="00ED0CC9" w14:paraId="6F9DF5C9" w14:textId="77777777" w:rsidTr="00BF6797">
        <w:tc>
          <w:tcPr>
            <w:cnfStyle w:val="001000000000" w:firstRow="0" w:lastRow="0" w:firstColumn="1" w:lastColumn="0" w:oddVBand="0" w:evenVBand="0" w:oddHBand="0" w:evenHBand="0" w:firstRowFirstColumn="0" w:firstRowLastColumn="0" w:lastRowFirstColumn="0" w:lastRowLastColumn="0"/>
            <w:tcW w:w="940" w:type="dxa"/>
            <w:hideMark/>
          </w:tcPr>
          <w:p w14:paraId="185E4730" w14:textId="77777777" w:rsidR="00ED0CC9" w:rsidRDefault="00ED0CC9" w:rsidP="00BF6797">
            <w:pPr>
              <w:rPr>
                <w:color w:val="1F1F1F"/>
              </w:rPr>
            </w:pPr>
            <w:r>
              <w:rPr>
                <w:color w:val="1F1F1F"/>
                <w:bdr w:val="none" w:sz="0" w:space="0" w:color="auto" w:frame="1"/>
              </w:rPr>
              <w:t>4.5.2</w:t>
            </w:r>
          </w:p>
        </w:tc>
        <w:tc>
          <w:tcPr>
            <w:tcW w:w="1671" w:type="dxa"/>
            <w:hideMark/>
          </w:tcPr>
          <w:p w14:paraId="73DDB3E2"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Cost Structure</w:t>
            </w:r>
          </w:p>
        </w:tc>
        <w:tc>
          <w:tcPr>
            <w:tcW w:w="5893" w:type="dxa"/>
            <w:hideMark/>
          </w:tcPr>
          <w:p w14:paraId="1B4ACED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color w:val="1F1F1F"/>
                <w:bdr w:val="none" w:sz="0" w:space="0" w:color="auto" w:frame="1"/>
              </w:rPr>
              <w:t>Provide unit cost estimates for bidirectional hardware (CAPEX) and recurring SaaS/Aggregation software fees (OPEX).</w:t>
            </w:r>
          </w:p>
          <w:p w14:paraId="1FED59E2"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sidRPr="00D233BA">
              <w:rPr>
                <w:color w:val="1F1F1F"/>
              </w:rPr>
              <w:t>What are your underlying assumptions regarding pre-deployment preparations and infrastructure requirements that could impact the cost estimates</w:t>
            </w:r>
          </w:p>
        </w:tc>
      </w:tr>
      <w:tr w:rsidR="00ED0CC9" w14:paraId="3892E35E" w14:textId="77777777" w:rsidTr="00BF6797">
        <w:tc>
          <w:tcPr>
            <w:cnfStyle w:val="001000000000" w:firstRow="0" w:lastRow="0" w:firstColumn="1" w:lastColumn="0" w:oddVBand="0" w:evenVBand="0" w:oddHBand="0" w:evenHBand="0" w:firstRowFirstColumn="0" w:firstRowLastColumn="0" w:lastRowFirstColumn="0" w:lastRowLastColumn="0"/>
            <w:tcW w:w="940" w:type="dxa"/>
            <w:hideMark/>
          </w:tcPr>
          <w:p w14:paraId="19EB1330" w14:textId="77777777" w:rsidR="00ED0CC9" w:rsidRDefault="00ED0CC9" w:rsidP="00BF6797">
            <w:pPr>
              <w:rPr>
                <w:color w:val="1F1F1F"/>
              </w:rPr>
            </w:pPr>
            <w:r>
              <w:rPr>
                <w:color w:val="1F1F1F"/>
                <w:bdr w:val="none" w:sz="0" w:space="0" w:color="auto" w:frame="1"/>
              </w:rPr>
              <w:t>4.5.3</w:t>
            </w:r>
          </w:p>
        </w:tc>
        <w:tc>
          <w:tcPr>
            <w:tcW w:w="1671" w:type="dxa"/>
            <w:hideMark/>
          </w:tcPr>
          <w:p w14:paraId="6A4BD2F4"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Pr>
            </w:pPr>
            <w:r>
              <w:rPr>
                <w:b/>
                <w:bCs/>
                <w:color w:val="1F1F1F"/>
                <w:bdr w:val="none" w:sz="0" w:space="0" w:color="auto" w:frame="1"/>
              </w:rPr>
              <w:t>Economic Model</w:t>
            </w:r>
          </w:p>
        </w:tc>
        <w:tc>
          <w:tcPr>
            <w:tcW w:w="5893" w:type="dxa"/>
            <w:hideMark/>
          </w:tcPr>
          <w:p w14:paraId="79E8D585"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b/>
                <w:bCs/>
                <w:color w:val="1F1F1F"/>
                <w:bdr w:val="none" w:sz="0" w:space="0" w:color="auto" w:frame="1"/>
              </w:rPr>
            </w:pPr>
            <w:r>
              <w:rPr>
                <w:color w:val="1F1F1F"/>
                <w:bdr w:val="none" w:sz="0" w:space="0" w:color="auto" w:frame="1"/>
              </w:rPr>
              <w:t xml:space="preserve">Provide an economic model estimate based on current Israeli tariffs (TAOZ). </w:t>
            </w:r>
            <w:r>
              <w:rPr>
                <w:b/>
                <w:bCs/>
                <w:color w:val="1F1F1F"/>
                <w:bdr w:val="none" w:sz="0" w:space="0" w:color="auto" w:frame="1"/>
              </w:rPr>
              <w:t>State the necessary regulatory or tariff changes required to make the business case economically viable.</w:t>
            </w:r>
          </w:p>
          <w:p w14:paraId="74544B52"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rtl/>
              </w:rPr>
            </w:pPr>
            <w:r w:rsidRPr="00B7725F">
              <w:rPr>
                <w:color w:val="1F1F1F"/>
              </w:rPr>
              <w:t xml:space="preserve">TAOZ scheduling and tariffs are available on </w:t>
            </w:r>
            <w:hyperlink r:id="rId8" w:history="1">
              <w:r w:rsidRPr="00F40FEF">
                <w:rPr>
                  <w:rStyle w:val="Hyperlink"/>
                </w:rPr>
                <w:t>Electric Authority web site</w:t>
              </w:r>
            </w:hyperlink>
          </w:p>
          <w:p w14:paraId="60DA7A4E" w14:textId="77777777" w:rsidR="00ED0CC9" w:rsidRDefault="00ED0CC9" w:rsidP="00BF6797">
            <w:pPr>
              <w:cnfStyle w:val="000000000000" w:firstRow="0" w:lastRow="0" w:firstColumn="0" w:lastColumn="0" w:oddVBand="0" w:evenVBand="0" w:oddHBand="0" w:evenHBand="0" w:firstRowFirstColumn="0" w:firstRowLastColumn="0" w:lastRowFirstColumn="0" w:lastRowLastColumn="0"/>
              <w:rPr>
                <w:color w:val="1F1F1F"/>
                <w:rtl/>
              </w:rPr>
            </w:pPr>
            <w:r>
              <w:rPr>
                <w:b/>
                <w:bCs/>
                <w:color w:val="1F1F1F"/>
              </w:rPr>
              <w:t xml:space="preserve"> </w:t>
            </w:r>
            <w:r w:rsidRPr="00C4664B">
              <w:rPr>
                <w:color w:val="1F1F1F"/>
                <w:bdr w:val="none" w:sz="0" w:space="0" w:color="auto" w:frame="1"/>
              </w:rPr>
              <w:t>For your convenience</w:t>
            </w:r>
            <w:r>
              <w:rPr>
                <w:color w:val="1F1F1F"/>
                <w:bdr w:val="none" w:sz="0" w:space="0" w:color="auto" w:frame="1"/>
              </w:rPr>
              <w:t>, see annex A-</w:t>
            </w:r>
            <w:r w:rsidRPr="00C4664B">
              <w:rPr>
                <w:color w:val="1F1F1F"/>
                <w:bdr w:val="none" w:sz="0" w:space="0" w:color="auto" w:frame="1"/>
              </w:rPr>
              <w:t xml:space="preserve"> </w:t>
            </w:r>
            <w:r w:rsidRPr="00FF59E3">
              <w:rPr>
                <w:color w:val="1F1F1F"/>
                <w:bdr w:val="none" w:sz="0" w:space="0" w:color="auto" w:frame="1"/>
              </w:rPr>
              <w:t>translate</w:t>
            </w:r>
            <w:r>
              <w:rPr>
                <w:color w:val="1F1F1F"/>
                <w:bdr w:val="none" w:sz="0" w:space="0" w:color="auto" w:frame="1"/>
              </w:rPr>
              <w:t xml:space="preserve">d </w:t>
            </w:r>
            <w:r w:rsidRPr="00C4664B">
              <w:rPr>
                <w:color w:val="1F1F1F"/>
                <w:bdr w:val="none" w:sz="0" w:space="0" w:color="auto" w:frame="1"/>
              </w:rPr>
              <w:t>scheduling and tariffs as of January 2026.</w:t>
            </w:r>
          </w:p>
        </w:tc>
      </w:tr>
    </w:tbl>
    <w:p w14:paraId="76296F9A" w14:textId="77777777" w:rsidR="00ED0CC9" w:rsidRDefault="007F1E85" w:rsidP="00ED0CC9">
      <w:pPr>
        <w:spacing w:after="120"/>
        <w:rPr>
          <w:color w:val="1F1F1F"/>
        </w:rPr>
      </w:pPr>
      <w:r>
        <w:rPr>
          <w:color w:val="1F1F1F"/>
        </w:rPr>
        <w:pict w14:anchorId="44813FCE">
          <v:rect id="_x0000_i1026" style="width:0;height:1.5pt" o:hralign="center" o:hrstd="t" o:hrnoshade="t" o:hr="t" fillcolor="gray" stroked="f"/>
        </w:pict>
      </w:r>
    </w:p>
    <w:p w14:paraId="2EAB5AB6" w14:textId="77777777" w:rsidR="00ED0CC9" w:rsidRDefault="00ED0CC9" w:rsidP="00ED0CC9">
      <w:pPr>
        <w:pBdr>
          <w:top w:val="nil"/>
          <w:left w:val="nil"/>
          <w:bottom w:val="nil"/>
          <w:right w:val="nil"/>
          <w:between w:val="nil"/>
        </w:pBdr>
        <w:spacing w:after="240" w:line="275" w:lineRule="auto"/>
        <w:rPr>
          <w:b/>
          <w:bCs/>
          <w:color w:val="1F1F1F"/>
          <w:sz w:val="28"/>
          <w:szCs w:val="28"/>
        </w:rPr>
      </w:pPr>
    </w:p>
    <w:p w14:paraId="7EC3C404" w14:textId="77777777" w:rsidR="00ED0CC9" w:rsidRPr="00837FA2" w:rsidRDefault="00ED0CC9" w:rsidP="00947564">
      <w:pPr>
        <w:pBdr>
          <w:top w:val="nil"/>
          <w:left w:val="nil"/>
          <w:bottom w:val="nil"/>
          <w:right w:val="nil"/>
          <w:between w:val="nil"/>
        </w:pBdr>
        <w:bidi w:val="0"/>
        <w:spacing w:after="240" w:line="275" w:lineRule="auto"/>
        <w:rPr>
          <w:rFonts w:eastAsia="Google Sans Text" w:cs="Google Sans Text"/>
          <w:color w:val="1F1F1F"/>
        </w:rPr>
      </w:pPr>
      <w:r>
        <w:rPr>
          <w:b/>
          <w:bCs/>
          <w:color w:val="1F1F1F"/>
          <w:sz w:val="28"/>
          <w:szCs w:val="28"/>
        </w:rPr>
        <w:t>5.</w:t>
      </w:r>
      <w:r w:rsidRPr="001D342E">
        <w:rPr>
          <w:b/>
          <w:bCs/>
          <w:color w:val="1F1F1F"/>
          <w:sz w:val="28"/>
          <w:szCs w:val="28"/>
        </w:rPr>
        <w:t xml:space="preserve"> Document Upload</w:t>
      </w:r>
      <w:r w:rsidRPr="001D342E">
        <w:rPr>
          <w:rFonts w:eastAsia="Google Sans Text" w:cs="Google Sans Text"/>
          <w:color w:val="1F1F1F"/>
        </w:rPr>
        <w:t xml:space="preserve"> </w:t>
      </w:r>
      <w:r>
        <w:rPr>
          <w:rFonts w:eastAsia="Google Sans Text" w:cs="Google Sans Text"/>
          <w:color w:val="1F1F1F"/>
        </w:rPr>
        <w:t>(</w:t>
      </w:r>
      <w:r w:rsidRPr="001D342E">
        <w:rPr>
          <w:rFonts w:eastAsia="Google Sans Text" w:cs="Google Sans Text"/>
          <w:color w:val="1F1F1F"/>
        </w:rPr>
        <w:t>Datasheets, White Papers, Case Studies).</w:t>
      </w:r>
    </w:p>
    <w:p w14:paraId="3743CDBB" w14:textId="77777777" w:rsidR="00ED0CC9" w:rsidRDefault="00ED0CC9" w:rsidP="00ED0CC9">
      <w:pPr>
        <w:pStyle w:val="3"/>
        <w:spacing w:after="120"/>
        <w:rPr>
          <w:color w:val="1F1F1F"/>
        </w:rPr>
      </w:pPr>
    </w:p>
    <w:p w14:paraId="3F385793" w14:textId="77777777" w:rsidR="00ED0CC9" w:rsidRDefault="00ED0CC9" w:rsidP="00ED0CC9">
      <w:pPr>
        <w:pStyle w:val="3"/>
        <w:spacing w:after="120"/>
        <w:rPr>
          <w:color w:val="1F1F1F"/>
        </w:rPr>
      </w:pPr>
      <w:r>
        <w:rPr>
          <w:color w:val="1F1F1F"/>
        </w:rPr>
        <w:t>6. Respondent Declaration</w:t>
      </w:r>
    </w:p>
    <w:p w14:paraId="6F8477AB" w14:textId="77777777" w:rsidR="00ED0CC9" w:rsidRDefault="00ED0CC9" w:rsidP="00ED0CC9">
      <w:pPr>
        <w:pStyle w:val="NormalWeb"/>
        <w:spacing w:after="240" w:afterAutospacing="0"/>
        <w:rPr>
          <w:color w:val="1F1F1F"/>
        </w:rPr>
      </w:pPr>
      <w:r>
        <w:rPr>
          <w:color w:val="1F1F1F"/>
        </w:rPr>
        <w:t>I, the undersigned, representative of [Company Name], hereby declare that the information provided is accurate and that I have the authority to submit this response.</w:t>
      </w:r>
    </w:p>
    <w:p w14:paraId="47EFD016" w14:textId="77777777" w:rsidR="00ED0CC9" w:rsidRDefault="00ED0CC9" w:rsidP="00ED0CC9">
      <w:pPr>
        <w:pStyle w:val="NormalWeb"/>
        <w:spacing w:after="0" w:afterAutospacing="0"/>
        <w:rPr>
          <w:color w:val="1F1F1F"/>
        </w:rPr>
      </w:pPr>
      <w:r>
        <w:rPr>
          <w:b/>
          <w:bCs/>
          <w:color w:val="1F1F1F"/>
          <w:bdr w:val="none" w:sz="0" w:space="0" w:color="auto" w:frame="1"/>
        </w:rPr>
        <w:t>Signature:</w:t>
      </w:r>
      <w:r>
        <w:rPr>
          <w:color w:val="1F1F1F"/>
        </w:rPr>
        <w:t xml:space="preserve"> ____________________ </w:t>
      </w:r>
      <w:r>
        <w:rPr>
          <w:b/>
          <w:bCs/>
          <w:color w:val="1F1F1F"/>
          <w:bdr w:val="none" w:sz="0" w:space="0" w:color="auto" w:frame="1"/>
        </w:rPr>
        <w:t>Date:</w:t>
      </w:r>
      <w:r>
        <w:rPr>
          <w:color w:val="1F1F1F"/>
        </w:rPr>
        <w:t xml:space="preserve"> ____________________</w:t>
      </w:r>
    </w:p>
    <w:p w14:paraId="76C5C88E" w14:textId="77777777" w:rsidR="00C04AA8" w:rsidRPr="00A74A65" w:rsidRDefault="00C04AA8" w:rsidP="00ED0CC9">
      <w:pPr>
        <w:bidi w:val="0"/>
      </w:pPr>
    </w:p>
    <w:sectPr w:rsidR="00C04AA8" w:rsidRPr="00A74A65" w:rsidSect="005A11C4">
      <w:headerReference w:type="default" r:id="rId9"/>
      <w:pgSz w:w="12240" w:h="15840"/>
      <w:pgMar w:top="576" w:right="1800" w:bottom="576" w:left="1800" w:header="706" w:footer="706"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FB8C7" w14:textId="77777777" w:rsidR="00ED0CC9" w:rsidRDefault="00ED0CC9" w:rsidP="00ED0CC9">
      <w:r>
        <w:separator/>
      </w:r>
    </w:p>
  </w:endnote>
  <w:endnote w:type="continuationSeparator" w:id="0">
    <w:p w14:paraId="763CD1D0" w14:textId="77777777" w:rsidR="00ED0CC9" w:rsidRDefault="00ED0CC9" w:rsidP="00ED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w:altName w:val="Times New Roman"/>
    <w:charset w:val="00"/>
    <w:family w:val="auto"/>
    <w:pitch w:val="default"/>
  </w:font>
  <w:font w:name="Google Sans Text">
    <w:altName w:val="Calibri"/>
    <w:charset w:val="00"/>
    <w:family w:val="auto"/>
    <w:pitch w:val="default"/>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B98E7" w14:textId="77777777" w:rsidR="00ED0CC9" w:rsidRDefault="00ED0CC9" w:rsidP="00ED0CC9">
      <w:r>
        <w:separator/>
      </w:r>
    </w:p>
  </w:footnote>
  <w:footnote w:type="continuationSeparator" w:id="0">
    <w:p w14:paraId="5624E95B" w14:textId="77777777" w:rsidR="00ED0CC9" w:rsidRDefault="00ED0CC9" w:rsidP="00ED0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5A11C4" w:rsidRPr="005A11C4" w14:paraId="4541AE6F" w14:textId="77777777" w:rsidTr="004276E3">
      <w:trPr>
        <w:trHeight w:val="284"/>
        <w:jc w:val="center"/>
      </w:trPr>
      <w:tc>
        <w:tcPr>
          <w:tcW w:w="851" w:type="dxa"/>
          <w:vAlign w:val="center"/>
        </w:tcPr>
        <w:p w14:paraId="54CF8F17" w14:textId="64892ACB" w:rsidR="005A11C4" w:rsidRPr="005A11C4" w:rsidRDefault="007F1E85" w:rsidP="005A11C4">
          <w:pPr>
            <w:pStyle w:val="a3"/>
            <w:tabs>
              <w:tab w:val="left" w:pos="2447"/>
            </w:tabs>
            <w:bidi/>
            <w:spacing w:line="276" w:lineRule="auto"/>
            <w:jc w:val="center"/>
            <w:rPr>
              <w:rFonts w:ascii="David" w:hAnsi="David" w:cs="David"/>
              <w:b/>
              <w:bCs/>
              <w:rtl/>
            </w:rPr>
          </w:pPr>
        </w:p>
      </w:tc>
      <w:tc>
        <w:tcPr>
          <w:tcW w:w="4384" w:type="dxa"/>
          <w:vAlign w:val="center"/>
        </w:tcPr>
        <w:p w14:paraId="5E6DC2DF" w14:textId="5141CE03" w:rsidR="005A11C4" w:rsidRPr="005A11C4" w:rsidRDefault="007F1E85" w:rsidP="000E1427">
          <w:pPr>
            <w:pStyle w:val="a3"/>
            <w:tabs>
              <w:tab w:val="left" w:pos="2447"/>
            </w:tabs>
            <w:spacing w:line="276" w:lineRule="auto"/>
            <w:rPr>
              <w:rFonts w:ascii="David" w:hAnsi="David" w:cs="David"/>
              <w:b/>
              <w:bCs/>
              <w:rtl/>
            </w:rPr>
          </w:pPr>
        </w:p>
      </w:tc>
      <w:tc>
        <w:tcPr>
          <w:tcW w:w="4688" w:type="dxa"/>
          <w:vAlign w:val="center"/>
        </w:tcPr>
        <w:p w14:paraId="33D9CAB1" w14:textId="5B3311E1" w:rsidR="005A11C4" w:rsidRPr="005A11C4" w:rsidRDefault="007F1E85" w:rsidP="000E1427">
          <w:pPr>
            <w:pStyle w:val="a3"/>
            <w:tabs>
              <w:tab w:val="left" w:pos="2447"/>
            </w:tabs>
            <w:spacing w:line="276" w:lineRule="auto"/>
            <w:jc w:val="both"/>
            <w:rPr>
              <w:rFonts w:ascii="David" w:hAnsi="David" w:cs="David"/>
              <w:rtl/>
            </w:rPr>
          </w:pPr>
        </w:p>
      </w:tc>
    </w:tr>
  </w:tbl>
  <w:p w14:paraId="03CDB2C4" w14:textId="77777777" w:rsidR="00880097" w:rsidRDefault="007F1E8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24165"/>
    <w:multiLevelType w:val="multilevel"/>
    <w:tmpl w:val="1356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D6358F"/>
    <w:multiLevelType w:val="multilevel"/>
    <w:tmpl w:val="F9DC1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53"/>
    <w:rsid w:val="00273353"/>
    <w:rsid w:val="00367B05"/>
    <w:rsid w:val="004A4B61"/>
    <w:rsid w:val="005A1C32"/>
    <w:rsid w:val="006D6A60"/>
    <w:rsid w:val="0074709B"/>
    <w:rsid w:val="007F1E85"/>
    <w:rsid w:val="00947564"/>
    <w:rsid w:val="00951655"/>
    <w:rsid w:val="00A0385B"/>
    <w:rsid w:val="00A54637"/>
    <w:rsid w:val="00A74A65"/>
    <w:rsid w:val="00C04AA8"/>
    <w:rsid w:val="00ED0C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1B982C"/>
  <w15:chartTrackingRefBased/>
  <w15:docId w15:val="{D3207DF1-6E35-484E-8BDA-881562EFB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3353"/>
    <w:pPr>
      <w:spacing w:after="0" w:line="240" w:lineRule="auto"/>
    </w:pPr>
    <w:rPr>
      <w:rFonts w:ascii="Calibri" w:hAnsi="Calibri" w:cs="Calibri"/>
    </w:rPr>
  </w:style>
  <w:style w:type="paragraph" w:styleId="1">
    <w:name w:val="heading 1"/>
    <w:basedOn w:val="a"/>
    <w:next w:val="a"/>
    <w:link w:val="10"/>
    <w:uiPriority w:val="9"/>
    <w:qFormat/>
    <w:rsid w:val="00ED0CC9"/>
    <w:pPr>
      <w:widowControl w:val="0"/>
      <w:pBdr>
        <w:top w:val="nil"/>
        <w:left w:val="nil"/>
        <w:bottom w:val="nil"/>
        <w:right w:val="nil"/>
        <w:between w:val="nil"/>
      </w:pBdr>
      <w:bidi w:val="0"/>
      <w:spacing w:before="240" w:after="240"/>
      <w:outlineLvl w:val="0"/>
    </w:pPr>
    <w:rPr>
      <w:rFonts w:ascii="Arial" w:eastAsia="Arial" w:hAnsi="Arial" w:cs="Arial"/>
      <w:b/>
      <w:bCs/>
      <w:sz w:val="48"/>
      <w:szCs w:val="48"/>
    </w:rPr>
  </w:style>
  <w:style w:type="paragraph" w:styleId="3">
    <w:name w:val="heading 3"/>
    <w:basedOn w:val="a"/>
    <w:next w:val="a"/>
    <w:link w:val="30"/>
    <w:uiPriority w:val="9"/>
    <w:unhideWhenUsed/>
    <w:qFormat/>
    <w:rsid w:val="00ED0CC9"/>
    <w:pPr>
      <w:widowControl w:val="0"/>
      <w:pBdr>
        <w:top w:val="nil"/>
        <w:left w:val="nil"/>
        <w:bottom w:val="nil"/>
        <w:right w:val="nil"/>
        <w:between w:val="nil"/>
      </w:pBdr>
      <w:bidi w:val="0"/>
      <w:spacing w:before="240" w:after="240"/>
      <w:outlineLvl w:val="2"/>
    </w:pPr>
    <w:rPr>
      <w:rFonts w:ascii="Arial" w:eastAsia="Arial" w:hAnsi="Arial" w:cs="Arial"/>
      <w:b/>
      <w:bCs/>
      <w:sz w:val="28"/>
      <w:szCs w:val="28"/>
    </w:rPr>
  </w:style>
  <w:style w:type="paragraph" w:styleId="4">
    <w:name w:val="heading 4"/>
    <w:basedOn w:val="a"/>
    <w:next w:val="a"/>
    <w:link w:val="40"/>
    <w:uiPriority w:val="9"/>
    <w:unhideWhenUsed/>
    <w:qFormat/>
    <w:rsid w:val="00ED0CC9"/>
    <w:pPr>
      <w:widowControl w:val="0"/>
      <w:pBdr>
        <w:top w:val="nil"/>
        <w:left w:val="nil"/>
        <w:bottom w:val="nil"/>
        <w:right w:val="nil"/>
        <w:between w:val="nil"/>
      </w:pBdr>
      <w:bidi w:val="0"/>
      <w:spacing w:before="255" w:after="255"/>
      <w:outlineLvl w:val="3"/>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D0CC9"/>
    <w:rPr>
      <w:rFonts w:ascii="Arial" w:eastAsia="Arial" w:hAnsi="Arial" w:cs="Arial"/>
      <w:b/>
      <w:bCs/>
      <w:sz w:val="48"/>
      <w:szCs w:val="48"/>
    </w:rPr>
  </w:style>
  <w:style w:type="character" w:customStyle="1" w:styleId="30">
    <w:name w:val="כותרת 3 תו"/>
    <w:basedOn w:val="a0"/>
    <w:link w:val="3"/>
    <w:uiPriority w:val="9"/>
    <w:rsid w:val="00ED0CC9"/>
    <w:rPr>
      <w:rFonts w:ascii="Arial" w:eastAsia="Arial" w:hAnsi="Arial" w:cs="Arial"/>
      <w:b/>
      <w:bCs/>
      <w:sz w:val="28"/>
      <w:szCs w:val="28"/>
    </w:rPr>
  </w:style>
  <w:style w:type="character" w:customStyle="1" w:styleId="40">
    <w:name w:val="כותרת 4 תו"/>
    <w:basedOn w:val="a0"/>
    <w:link w:val="4"/>
    <w:uiPriority w:val="9"/>
    <w:rsid w:val="00ED0CC9"/>
    <w:rPr>
      <w:rFonts w:ascii="Arial" w:eastAsia="Arial" w:hAnsi="Arial" w:cs="Arial"/>
      <w:b/>
      <w:bCs/>
      <w:sz w:val="24"/>
      <w:szCs w:val="24"/>
    </w:rPr>
  </w:style>
  <w:style w:type="paragraph" w:styleId="a3">
    <w:name w:val="header"/>
    <w:aliases w:val="Header"/>
    <w:basedOn w:val="a"/>
    <w:link w:val="a4"/>
    <w:uiPriority w:val="99"/>
    <w:unhideWhenUsed/>
    <w:qFormat/>
    <w:rsid w:val="00ED0CC9"/>
    <w:pPr>
      <w:tabs>
        <w:tab w:val="center" w:pos="4320"/>
        <w:tab w:val="right" w:pos="8640"/>
      </w:tabs>
      <w:bidi w:val="0"/>
    </w:pPr>
    <w:rPr>
      <w:rFonts w:asciiTheme="minorHAnsi" w:hAnsiTheme="minorHAnsi" w:cstheme="minorBidi"/>
    </w:rPr>
  </w:style>
  <w:style w:type="character" w:customStyle="1" w:styleId="a4">
    <w:name w:val="כותרת עליונה תו"/>
    <w:aliases w:val="Header תו"/>
    <w:basedOn w:val="a0"/>
    <w:link w:val="a3"/>
    <w:uiPriority w:val="99"/>
    <w:rsid w:val="00ED0CC9"/>
  </w:style>
  <w:style w:type="paragraph" w:styleId="a5">
    <w:name w:val="footer"/>
    <w:basedOn w:val="a"/>
    <w:link w:val="a6"/>
    <w:uiPriority w:val="99"/>
    <w:unhideWhenUsed/>
    <w:rsid w:val="00ED0CC9"/>
    <w:pPr>
      <w:tabs>
        <w:tab w:val="center" w:pos="4320"/>
        <w:tab w:val="right" w:pos="8640"/>
      </w:tabs>
      <w:bidi w:val="0"/>
    </w:pPr>
    <w:rPr>
      <w:rFonts w:asciiTheme="minorHAnsi" w:hAnsiTheme="minorHAnsi" w:cstheme="minorBidi"/>
    </w:rPr>
  </w:style>
  <w:style w:type="character" w:customStyle="1" w:styleId="a6">
    <w:name w:val="כותרת תחתונה תו"/>
    <w:basedOn w:val="a0"/>
    <w:link w:val="a5"/>
    <w:uiPriority w:val="99"/>
    <w:rsid w:val="00ED0CC9"/>
  </w:style>
  <w:style w:type="table" w:styleId="a7">
    <w:name w:val="Table Grid"/>
    <w:aliases w:val="טקסט טבלה תחתונה"/>
    <w:basedOn w:val="a1"/>
    <w:rsid w:val="00ED0CC9"/>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ED0CC9"/>
    <w:rPr>
      <w:color w:val="0563C1" w:themeColor="hyperlink"/>
      <w:u w:val="single"/>
    </w:rPr>
  </w:style>
  <w:style w:type="paragraph" w:styleId="NormalWeb">
    <w:name w:val="Normal (Web)"/>
    <w:basedOn w:val="a"/>
    <w:uiPriority w:val="99"/>
    <w:semiHidden/>
    <w:unhideWhenUsed/>
    <w:rsid w:val="00ED0CC9"/>
    <w:pPr>
      <w:bidi w:val="0"/>
      <w:spacing w:before="100" w:beforeAutospacing="1" w:after="100" w:afterAutospacing="1"/>
    </w:pPr>
    <w:rPr>
      <w:rFonts w:ascii="Times New Roman" w:eastAsia="Times New Roman" w:hAnsi="Times New Roman" w:cs="Times New Roman"/>
      <w:sz w:val="24"/>
      <w:szCs w:val="24"/>
    </w:rPr>
  </w:style>
  <w:style w:type="character" w:styleId="a8">
    <w:name w:val="Strong"/>
    <w:basedOn w:val="a0"/>
    <w:uiPriority w:val="22"/>
    <w:qFormat/>
    <w:rsid w:val="00ED0CC9"/>
    <w:rPr>
      <w:b/>
      <w:bCs/>
    </w:rPr>
  </w:style>
  <w:style w:type="table" w:styleId="1-5">
    <w:name w:val="Grid Table 1 Light Accent 5"/>
    <w:basedOn w:val="a1"/>
    <w:uiPriority w:val="46"/>
    <w:rsid w:val="00ED0CC9"/>
    <w:pPr>
      <w:bidi w:val="0"/>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59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BlobFolder/generalpage/tarriffbook/he/Files_netunei_hasmal_sefer_tariff_01_2026.pdf" TargetMode="External"/><Relationship Id="rId3" Type="http://schemas.openxmlformats.org/officeDocument/2006/relationships/settings" Target="settings.xml"/><Relationship Id="rId7" Type="http://schemas.openxmlformats.org/officeDocument/2006/relationships/hyperlink" Target="https://www.sii.org.il/he/batte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993</Words>
  <Characters>4968</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Ministry of Energy</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11/2026</dc:title>
  <dc:subject/>
  <dc:creator>מיכאל דנון</dc:creator>
  <cp:keywords>11/2026</cp:keywords>
  <dc:description/>
  <cp:lastModifiedBy>יסמין סיאני</cp:lastModifiedBy>
  <cp:revision>3</cp:revision>
  <dcterms:created xsi:type="dcterms:W3CDTF">2026-09-07T08:12:00Z</dcterms:created>
  <dcterms:modified xsi:type="dcterms:W3CDTF">2026-09-07T08:14:00Z</dcterms:modified>
</cp:coreProperties>
</file>