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AEDFBD" w14:textId="6CBDE359" w:rsidR="00BD2057" w:rsidRPr="003970B1" w:rsidRDefault="003970B1" w:rsidP="00BD2057">
      <w:pPr>
        <w:bidi/>
        <w:jc w:val="center"/>
        <w:rPr>
          <w:rFonts w:ascii="David" w:hAnsi="David" w:cs="David"/>
          <w:b/>
          <w:bCs/>
          <w:szCs w:val="24"/>
          <w:u w:val="single"/>
          <w:rtl/>
          <w:lang w:val="en-US"/>
        </w:rPr>
      </w:pPr>
      <w:r>
        <w:rPr>
          <w:rFonts w:ascii="David" w:hAnsi="David" w:cs="David" w:hint="cs"/>
          <w:b/>
          <w:bCs/>
          <w:szCs w:val="24"/>
          <w:u w:val="single"/>
          <w:rtl/>
          <w:lang w:val="en-US"/>
        </w:rPr>
        <w:t>דרישות</w:t>
      </w:r>
      <w:r w:rsidRPr="003970B1">
        <w:rPr>
          <w:rFonts w:ascii="David" w:hAnsi="David" w:cs="David" w:hint="cs"/>
          <w:b/>
          <w:bCs/>
          <w:szCs w:val="24"/>
          <w:u w:val="single"/>
          <w:rtl/>
          <w:lang w:val="en-US"/>
        </w:rPr>
        <w:t xml:space="preserve"> המשרד להגנת הסביבה לעבודות ומבנים הפטורים מהיתר במגרשים לתעשייה</w:t>
      </w:r>
    </w:p>
    <w:p w14:paraId="3D1B3020" w14:textId="77777777" w:rsidR="00BD2057" w:rsidRDefault="00BD2057" w:rsidP="00BD2057">
      <w:pPr>
        <w:bidi/>
        <w:rPr>
          <w:rFonts w:ascii="David" w:hAnsi="David" w:cs="David"/>
          <w:szCs w:val="24"/>
          <w:rtl/>
          <w:lang w:val="en-US"/>
        </w:rPr>
      </w:pPr>
    </w:p>
    <w:p w14:paraId="6875AE70" w14:textId="4A889E0B" w:rsidR="00BD2057" w:rsidRDefault="003970B1" w:rsidP="00BD2057">
      <w:pPr>
        <w:bidi/>
        <w:rPr>
          <w:rFonts w:ascii="David" w:hAnsi="David" w:cs="David"/>
          <w:szCs w:val="24"/>
          <w:rtl/>
          <w:lang w:val="en-US"/>
        </w:rPr>
      </w:pPr>
      <w:r>
        <w:rPr>
          <w:rFonts w:ascii="David" w:hAnsi="David" w:cs="David" w:hint="cs"/>
          <w:szCs w:val="24"/>
          <w:rtl/>
          <w:lang w:val="en-US"/>
        </w:rPr>
        <w:t xml:space="preserve">בתאריך 17/07/2022 נכנס לתוקף סימן י' </w:t>
      </w:r>
      <w:r>
        <w:rPr>
          <w:rFonts w:ascii="David" w:hAnsi="David" w:cs="David"/>
          <w:szCs w:val="24"/>
          <w:rtl/>
          <w:lang w:val="en-US"/>
        </w:rPr>
        <w:t>–</w:t>
      </w:r>
      <w:r>
        <w:rPr>
          <w:rFonts w:ascii="David" w:hAnsi="David" w:cs="David" w:hint="cs"/>
          <w:szCs w:val="24"/>
          <w:rtl/>
          <w:lang w:val="en-US"/>
        </w:rPr>
        <w:t xml:space="preserve"> 'תעשייה' בתקנות התכנון והבנייה (עבודות ומבנים הפטורים מהיתר), התשע"ד</w:t>
      </w:r>
      <w:r w:rsidR="00105278">
        <w:rPr>
          <w:rFonts w:ascii="David" w:hAnsi="David" w:cs="David" w:hint="cs"/>
          <w:szCs w:val="24"/>
          <w:rtl/>
          <w:lang w:val="en-US"/>
        </w:rPr>
        <w:t>-</w:t>
      </w:r>
      <w:r>
        <w:rPr>
          <w:rFonts w:ascii="David" w:hAnsi="David" w:cs="David" w:hint="cs"/>
          <w:szCs w:val="24"/>
          <w:rtl/>
          <w:lang w:val="en-US"/>
        </w:rPr>
        <w:t>2014.</w:t>
      </w:r>
    </w:p>
    <w:p w14:paraId="58F34F2D" w14:textId="1819A0F8" w:rsidR="003970B1" w:rsidRDefault="003970B1" w:rsidP="003970B1">
      <w:pPr>
        <w:bidi/>
        <w:rPr>
          <w:rFonts w:ascii="David" w:hAnsi="David" w:cs="David"/>
          <w:szCs w:val="24"/>
          <w:rtl/>
          <w:lang w:val="en-US"/>
        </w:rPr>
      </w:pPr>
      <w:r>
        <w:rPr>
          <w:rFonts w:ascii="David" w:hAnsi="David" w:cs="David" w:hint="cs"/>
          <w:szCs w:val="24"/>
          <w:rtl/>
          <w:lang w:val="en-US"/>
        </w:rPr>
        <w:t>התקנות מרחיבות את העבודות בהליך הפטור מהיתר במגרשים לתעשייה כהגדרתם בתקנות, תוך קבלת אישור מהגורמים המאשרים בהתאם לסוג העבודה כמפורט בטבלה שבתוספת השנייה.</w:t>
      </w:r>
    </w:p>
    <w:p w14:paraId="2C9782D8" w14:textId="77777777" w:rsidR="003970B1" w:rsidRDefault="003970B1" w:rsidP="003970B1">
      <w:pPr>
        <w:bidi/>
        <w:rPr>
          <w:rFonts w:ascii="David" w:hAnsi="David" w:cs="David"/>
          <w:szCs w:val="24"/>
          <w:rtl/>
          <w:lang w:val="en-US"/>
        </w:rPr>
      </w:pPr>
    </w:p>
    <w:p w14:paraId="4DA079B1" w14:textId="422BF820" w:rsidR="00C26976" w:rsidRPr="009B4A59" w:rsidRDefault="00C26976" w:rsidP="009B4A59">
      <w:pPr>
        <w:bidi/>
        <w:rPr>
          <w:rFonts w:ascii="David" w:hAnsi="David" w:cs="David"/>
          <w:szCs w:val="24"/>
        </w:rPr>
      </w:pPr>
      <w:r>
        <w:rPr>
          <w:rFonts w:ascii="David" w:hAnsi="David" w:cs="David" w:hint="cs"/>
          <w:szCs w:val="24"/>
          <w:rtl/>
          <w:lang w:val="en-US"/>
        </w:rPr>
        <w:t xml:space="preserve">ככלל בעבודות הפטורות מהיתר </w:t>
      </w:r>
      <w:r w:rsidR="00E37DBB">
        <w:rPr>
          <w:rFonts w:ascii="David" w:hAnsi="David" w:cs="David" w:hint="cs"/>
          <w:szCs w:val="24"/>
          <w:rtl/>
          <w:lang w:val="en-US"/>
        </w:rPr>
        <w:t xml:space="preserve">בחלק זה </w:t>
      </w:r>
      <w:r>
        <w:rPr>
          <w:rFonts w:ascii="David" w:hAnsi="David" w:cs="David" w:hint="cs"/>
          <w:szCs w:val="24"/>
          <w:rtl/>
          <w:lang w:val="en-US"/>
        </w:rPr>
        <w:t>יש לעדכן את נותן האישור (</w:t>
      </w:r>
      <w:r w:rsidR="00CD29EF">
        <w:rPr>
          <w:rFonts w:ascii="David" w:hAnsi="David" w:cs="David" w:hint="cs"/>
          <w:szCs w:val="24"/>
          <w:rtl/>
          <w:lang w:val="en-US"/>
        </w:rPr>
        <w:t>ה</w:t>
      </w:r>
      <w:r>
        <w:rPr>
          <w:rFonts w:ascii="David" w:hAnsi="David" w:cs="David" w:hint="cs"/>
          <w:szCs w:val="24"/>
          <w:rtl/>
          <w:lang w:val="en-US"/>
        </w:rPr>
        <w:t xml:space="preserve">משרד להגנת הסביבה </w:t>
      </w:r>
      <w:r w:rsidR="00CD29EF">
        <w:rPr>
          <w:rFonts w:ascii="David" w:hAnsi="David" w:cs="David" w:hint="cs"/>
          <w:szCs w:val="24"/>
          <w:rtl/>
          <w:lang w:val="en-US"/>
        </w:rPr>
        <w:t xml:space="preserve"> להלן: "המשרד" </w:t>
      </w:r>
      <w:r>
        <w:rPr>
          <w:rFonts w:ascii="David" w:hAnsi="David" w:cs="David" w:hint="cs"/>
          <w:szCs w:val="24"/>
          <w:rtl/>
          <w:lang w:val="en-US"/>
        </w:rPr>
        <w:t>או מי מטעמם)</w:t>
      </w:r>
      <w:r>
        <w:rPr>
          <w:rFonts w:ascii="David" w:hAnsi="David" w:cs="David" w:hint="cs"/>
          <w:szCs w:val="24"/>
          <w:lang w:val="en-US"/>
        </w:rPr>
        <w:t xml:space="preserve"> </w:t>
      </w:r>
      <w:r w:rsidR="00965F82" w:rsidRPr="009B4A59">
        <w:rPr>
          <w:rFonts w:ascii="David" w:hAnsi="David" w:cs="David" w:hint="cs"/>
          <w:szCs w:val="24"/>
          <w:rtl/>
        </w:rPr>
        <w:t>בהרחבה</w:t>
      </w:r>
      <w:r w:rsidR="00965F82" w:rsidRPr="009B4A59">
        <w:rPr>
          <w:rFonts w:ascii="David" w:hAnsi="David" w:cs="David"/>
          <w:szCs w:val="24"/>
          <w:rtl/>
        </w:rPr>
        <w:t xml:space="preserve"> </w:t>
      </w:r>
      <w:r w:rsidR="00AB0EE2">
        <w:rPr>
          <w:rFonts w:ascii="David" w:hAnsi="David" w:cs="David" w:hint="cs"/>
          <w:szCs w:val="24"/>
          <w:rtl/>
        </w:rPr>
        <w:t xml:space="preserve">או שינוי </w:t>
      </w:r>
      <w:r w:rsidR="00965F82" w:rsidRPr="009B4A59">
        <w:rPr>
          <w:rFonts w:ascii="David" w:hAnsi="David" w:cs="David" w:hint="cs"/>
          <w:szCs w:val="24"/>
          <w:rtl/>
        </w:rPr>
        <w:t>של</w:t>
      </w:r>
      <w:r w:rsidR="00965F82" w:rsidRPr="009B4A59">
        <w:rPr>
          <w:rFonts w:ascii="David" w:hAnsi="David" w:cs="David"/>
          <w:szCs w:val="24"/>
          <w:rtl/>
        </w:rPr>
        <w:t xml:space="preserve"> </w:t>
      </w:r>
      <w:r w:rsidR="00965F82" w:rsidRPr="009B4A59">
        <w:rPr>
          <w:rFonts w:ascii="David" w:hAnsi="David" w:cs="David" w:hint="cs"/>
          <w:szCs w:val="24"/>
          <w:rtl/>
        </w:rPr>
        <w:t>מבנה</w:t>
      </w:r>
      <w:r w:rsidR="00965F82" w:rsidRPr="009B4A59">
        <w:rPr>
          <w:rFonts w:ascii="David" w:hAnsi="David" w:cs="David"/>
          <w:szCs w:val="24"/>
          <w:rtl/>
        </w:rPr>
        <w:t xml:space="preserve"> </w:t>
      </w:r>
      <w:r w:rsidR="00965F82" w:rsidRPr="009B4A59">
        <w:rPr>
          <w:rFonts w:ascii="David" w:hAnsi="David" w:cs="David" w:hint="cs"/>
          <w:szCs w:val="24"/>
          <w:rtl/>
        </w:rPr>
        <w:t>המוסדר</w:t>
      </w:r>
      <w:r w:rsidR="00965F82" w:rsidRPr="009B4A59">
        <w:rPr>
          <w:rFonts w:ascii="David" w:hAnsi="David" w:cs="David"/>
          <w:szCs w:val="24"/>
          <w:rtl/>
        </w:rPr>
        <w:t xml:space="preserve"> </w:t>
      </w:r>
      <w:r w:rsidR="00965F82" w:rsidRPr="009B4A59">
        <w:rPr>
          <w:rFonts w:ascii="David" w:hAnsi="David" w:cs="David" w:hint="cs"/>
          <w:szCs w:val="24"/>
          <w:rtl/>
        </w:rPr>
        <w:t>באמצעות</w:t>
      </w:r>
      <w:r w:rsidR="00965F82" w:rsidRPr="009B4A59">
        <w:rPr>
          <w:rFonts w:ascii="David" w:hAnsi="David" w:cs="David"/>
          <w:szCs w:val="24"/>
          <w:rtl/>
        </w:rPr>
        <w:t xml:space="preserve"> </w:t>
      </w:r>
      <w:r w:rsidR="00965F82" w:rsidRPr="009B4A59">
        <w:rPr>
          <w:rFonts w:ascii="David" w:hAnsi="David" w:cs="David" w:hint="cs"/>
          <w:szCs w:val="24"/>
          <w:rtl/>
        </w:rPr>
        <w:t>ר</w:t>
      </w:r>
      <w:r w:rsidR="00105278">
        <w:rPr>
          <w:rFonts w:ascii="David" w:hAnsi="David" w:cs="David" w:hint="cs"/>
          <w:szCs w:val="24"/>
          <w:rtl/>
        </w:rPr>
        <w:t>י</w:t>
      </w:r>
      <w:r w:rsidR="00965F82" w:rsidRPr="009B4A59">
        <w:rPr>
          <w:rFonts w:ascii="David" w:hAnsi="David" w:cs="David" w:hint="cs"/>
          <w:szCs w:val="24"/>
          <w:rtl/>
        </w:rPr>
        <w:t>שיון</w:t>
      </w:r>
      <w:r w:rsidR="00965F82" w:rsidRPr="009B4A59">
        <w:rPr>
          <w:rFonts w:ascii="David" w:hAnsi="David" w:cs="David"/>
          <w:szCs w:val="24"/>
          <w:rtl/>
        </w:rPr>
        <w:t xml:space="preserve"> </w:t>
      </w:r>
      <w:r w:rsidR="00965F82" w:rsidRPr="009B4A59">
        <w:rPr>
          <w:rFonts w:ascii="David" w:hAnsi="David" w:cs="David" w:hint="cs"/>
          <w:szCs w:val="24"/>
          <w:rtl/>
        </w:rPr>
        <w:t>עסק</w:t>
      </w:r>
      <w:r w:rsidRPr="009B4A59">
        <w:rPr>
          <w:rFonts w:ascii="David" w:hAnsi="David" w:cs="David"/>
          <w:szCs w:val="24"/>
          <w:rtl/>
        </w:rPr>
        <w:t xml:space="preserve">. </w:t>
      </w:r>
    </w:p>
    <w:p w14:paraId="688A7308" w14:textId="77777777" w:rsidR="00C26976" w:rsidRDefault="00C26976" w:rsidP="00C26976">
      <w:pPr>
        <w:bidi/>
        <w:rPr>
          <w:rFonts w:ascii="David" w:hAnsi="David" w:cs="David"/>
          <w:szCs w:val="24"/>
          <w:rtl/>
        </w:rPr>
      </w:pPr>
    </w:p>
    <w:p w14:paraId="07B0B5FC" w14:textId="7AA83DC8" w:rsidR="00AB0EE2" w:rsidRPr="00B16DC1" w:rsidRDefault="00C26976" w:rsidP="00AB0EE2">
      <w:pPr>
        <w:pStyle w:val="ListParagraph"/>
        <w:numPr>
          <w:ilvl w:val="0"/>
          <w:numId w:val="10"/>
        </w:numPr>
        <w:rPr>
          <w:rFonts w:ascii="David" w:hAnsi="David" w:cs="David"/>
          <w:szCs w:val="24"/>
        </w:rPr>
      </w:pPr>
      <w:r w:rsidRPr="006E78EC">
        <w:rPr>
          <w:rFonts w:ascii="David" w:hAnsi="David" w:cs="David" w:hint="eastAsia"/>
          <w:szCs w:val="24"/>
          <w:rtl/>
        </w:rPr>
        <w:t>להלן</w:t>
      </w:r>
      <w:r w:rsidRPr="006E78EC">
        <w:rPr>
          <w:rFonts w:ascii="David" w:hAnsi="David" w:cs="David"/>
          <w:szCs w:val="24"/>
          <w:rtl/>
        </w:rPr>
        <w:t xml:space="preserve"> </w:t>
      </w:r>
      <w:r w:rsidRPr="006E78EC">
        <w:rPr>
          <w:rFonts w:ascii="David" w:hAnsi="David" w:cs="David" w:hint="eastAsia"/>
          <w:szCs w:val="24"/>
          <w:rtl/>
        </w:rPr>
        <w:t>דרישות</w:t>
      </w:r>
      <w:r w:rsidRPr="006E78EC">
        <w:rPr>
          <w:rFonts w:ascii="David" w:hAnsi="David" w:cs="David"/>
          <w:szCs w:val="24"/>
          <w:rtl/>
        </w:rPr>
        <w:t xml:space="preserve"> </w:t>
      </w:r>
      <w:r w:rsidRPr="006E78EC">
        <w:rPr>
          <w:rFonts w:ascii="David" w:hAnsi="David" w:cs="David" w:hint="eastAsia"/>
          <w:szCs w:val="24"/>
          <w:rtl/>
        </w:rPr>
        <w:t>המשרד</w:t>
      </w:r>
      <w:r w:rsidRPr="006E78EC">
        <w:rPr>
          <w:rFonts w:ascii="David" w:hAnsi="David" w:cs="David"/>
          <w:szCs w:val="24"/>
          <w:rtl/>
        </w:rPr>
        <w:t xml:space="preserve"> </w:t>
      </w:r>
      <w:r w:rsidRPr="006E78EC">
        <w:rPr>
          <w:rFonts w:ascii="David" w:hAnsi="David" w:cs="David" w:hint="eastAsia"/>
          <w:szCs w:val="24"/>
          <w:rtl/>
        </w:rPr>
        <w:t>להגנת</w:t>
      </w:r>
      <w:r w:rsidRPr="006E78EC">
        <w:rPr>
          <w:rFonts w:ascii="David" w:hAnsi="David" w:cs="David"/>
          <w:szCs w:val="24"/>
          <w:rtl/>
        </w:rPr>
        <w:t xml:space="preserve"> </w:t>
      </w:r>
      <w:r w:rsidRPr="006E78EC">
        <w:rPr>
          <w:rFonts w:ascii="David" w:hAnsi="David" w:cs="David" w:hint="eastAsia"/>
          <w:szCs w:val="24"/>
          <w:rtl/>
        </w:rPr>
        <w:t>הסביבה</w:t>
      </w:r>
      <w:r w:rsidRPr="006E78EC">
        <w:rPr>
          <w:rFonts w:ascii="David" w:hAnsi="David" w:cs="David"/>
          <w:szCs w:val="24"/>
          <w:rtl/>
        </w:rPr>
        <w:t xml:space="preserve"> </w:t>
      </w:r>
      <w:r w:rsidR="00E37DBB">
        <w:rPr>
          <w:rFonts w:ascii="David" w:hAnsi="David" w:cs="David" w:hint="cs"/>
          <w:szCs w:val="24"/>
          <w:rtl/>
        </w:rPr>
        <w:t xml:space="preserve">או מי מטעמם </w:t>
      </w:r>
      <w:r w:rsidRPr="006E78EC">
        <w:rPr>
          <w:rFonts w:ascii="David" w:hAnsi="David" w:cs="David" w:hint="eastAsia"/>
          <w:szCs w:val="24"/>
          <w:rtl/>
        </w:rPr>
        <w:t>לעבודות</w:t>
      </w:r>
      <w:r w:rsidRPr="006E78EC">
        <w:rPr>
          <w:rFonts w:ascii="David" w:hAnsi="David" w:cs="David"/>
          <w:szCs w:val="24"/>
          <w:rtl/>
        </w:rPr>
        <w:t xml:space="preserve"> </w:t>
      </w:r>
      <w:r w:rsidRPr="006E78EC">
        <w:rPr>
          <w:rFonts w:ascii="David" w:hAnsi="David" w:cs="David" w:hint="eastAsia"/>
          <w:szCs w:val="24"/>
          <w:rtl/>
        </w:rPr>
        <w:t>ומבנים</w:t>
      </w:r>
      <w:r w:rsidRPr="006E78EC">
        <w:rPr>
          <w:rFonts w:ascii="David" w:hAnsi="David" w:cs="David"/>
          <w:szCs w:val="24"/>
          <w:rtl/>
        </w:rPr>
        <w:t xml:space="preserve"> </w:t>
      </w:r>
      <w:r w:rsidRPr="006E78EC">
        <w:rPr>
          <w:rFonts w:ascii="David" w:hAnsi="David" w:cs="David" w:hint="eastAsia"/>
          <w:szCs w:val="24"/>
          <w:rtl/>
        </w:rPr>
        <w:t>הפטורים</w:t>
      </w:r>
      <w:r w:rsidRPr="006E78EC">
        <w:rPr>
          <w:rFonts w:ascii="David" w:hAnsi="David" w:cs="David"/>
          <w:szCs w:val="24"/>
          <w:rtl/>
        </w:rPr>
        <w:t xml:space="preserve"> </w:t>
      </w:r>
      <w:r w:rsidRPr="006E78EC">
        <w:rPr>
          <w:rFonts w:ascii="David" w:hAnsi="David" w:cs="David" w:hint="eastAsia"/>
          <w:szCs w:val="24"/>
          <w:rtl/>
        </w:rPr>
        <w:t>מהיתר</w:t>
      </w:r>
      <w:r w:rsidRPr="006E78EC">
        <w:rPr>
          <w:rFonts w:ascii="David" w:hAnsi="David" w:cs="David"/>
          <w:szCs w:val="24"/>
          <w:rtl/>
        </w:rPr>
        <w:t xml:space="preserve"> </w:t>
      </w:r>
      <w:r w:rsidRPr="006E78EC">
        <w:rPr>
          <w:rFonts w:ascii="David" w:hAnsi="David" w:cs="David" w:hint="eastAsia"/>
          <w:szCs w:val="24"/>
          <w:rtl/>
        </w:rPr>
        <w:t>במגרשים</w:t>
      </w:r>
      <w:r w:rsidRPr="006E78EC">
        <w:rPr>
          <w:rFonts w:ascii="David" w:hAnsi="David" w:cs="David"/>
          <w:szCs w:val="24"/>
          <w:rtl/>
        </w:rPr>
        <w:t xml:space="preserve"> </w:t>
      </w:r>
      <w:r w:rsidRPr="006E78EC">
        <w:rPr>
          <w:rFonts w:ascii="David" w:hAnsi="David" w:cs="David" w:hint="eastAsia"/>
          <w:szCs w:val="24"/>
          <w:rtl/>
        </w:rPr>
        <w:t>לתעשייה</w:t>
      </w:r>
      <w:r>
        <w:rPr>
          <w:rFonts w:ascii="David" w:hAnsi="David" w:cs="David" w:hint="cs"/>
          <w:szCs w:val="24"/>
          <w:rtl/>
        </w:rPr>
        <w:t xml:space="preserve"> בהתאם לסוג</w:t>
      </w:r>
      <w:r w:rsidR="00E37DBB">
        <w:rPr>
          <w:rFonts w:ascii="David" w:hAnsi="David" w:cs="David" w:hint="cs"/>
          <w:szCs w:val="24"/>
          <w:rtl/>
        </w:rPr>
        <w:t>י</w:t>
      </w:r>
      <w:r>
        <w:rPr>
          <w:rFonts w:ascii="David" w:hAnsi="David" w:cs="David" w:hint="cs"/>
          <w:szCs w:val="24"/>
          <w:rtl/>
        </w:rPr>
        <w:t xml:space="preserve"> העבוד</w:t>
      </w:r>
      <w:r w:rsidR="00E37DBB">
        <w:rPr>
          <w:rFonts w:ascii="David" w:hAnsi="David" w:cs="David" w:hint="cs"/>
          <w:szCs w:val="24"/>
          <w:rtl/>
        </w:rPr>
        <w:t>ות ה</w:t>
      </w:r>
      <w:hyperlink r:id="rId8" w:anchor="hed215" w:history="1">
        <w:r w:rsidR="00E37DBB" w:rsidRPr="00E37DBB">
          <w:rPr>
            <w:rStyle w:val="Hyperlink"/>
            <w:rFonts w:ascii="David" w:hAnsi="David" w:cs="David" w:hint="cs"/>
            <w:szCs w:val="24"/>
            <w:rtl/>
          </w:rPr>
          <w:t>מופיעות בסימן זה</w:t>
        </w:r>
      </w:hyperlink>
      <w:r w:rsidR="007932F6">
        <w:rPr>
          <w:rFonts w:ascii="David" w:hAnsi="David" w:cs="David" w:hint="cs"/>
          <w:szCs w:val="24"/>
          <w:rtl/>
        </w:rPr>
        <w:t xml:space="preserve"> (דרישות נוספות מופיעות בתוספת השנייה לתקנות הנ"ל)</w:t>
      </w:r>
      <w:r w:rsidRPr="006E78EC">
        <w:rPr>
          <w:rFonts w:ascii="David" w:hAnsi="David" w:cs="David"/>
          <w:szCs w:val="24"/>
          <w:rtl/>
        </w:rPr>
        <w:t>:</w:t>
      </w:r>
      <w:r w:rsidR="00B16DC1" w:rsidRPr="009B4A59">
        <w:rPr>
          <w:rFonts w:ascii="David" w:hAnsi="David" w:cs="David" w:hint="cs"/>
          <w:b/>
          <w:bCs/>
          <w:szCs w:val="24"/>
          <w:rtl/>
        </w:rPr>
        <w:t>מפה</w:t>
      </w:r>
      <w:r w:rsidR="00B16DC1" w:rsidRPr="009B4A59">
        <w:rPr>
          <w:rFonts w:ascii="David" w:hAnsi="David" w:cs="David"/>
          <w:b/>
          <w:bCs/>
          <w:szCs w:val="24"/>
          <w:rtl/>
        </w:rPr>
        <w:t xml:space="preserve"> מצבית</w:t>
      </w:r>
      <w:r w:rsidR="00B16DC1">
        <w:rPr>
          <w:rFonts w:ascii="David" w:hAnsi="David" w:cs="David" w:hint="cs"/>
          <w:szCs w:val="24"/>
          <w:rtl/>
        </w:rPr>
        <w:t xml:space="preserve">: </w:t>
      </w:r>
      <w:r w:rsidR="00AB0EE2">
        <w:rPr>
          <w:rFonts w:ascii="David" w:hAnsi="David" w:cs="David" w:hint="cs"/>
          <w:szCs w:val="24"/>
          <w:rtl/>
        </w:rPr>
        <w:t xml:space="preserve">לכל </w:t>
      </w:r>
      <w:r w:rsidR="00AB0EE2" w:rsidRPr="00B16DC1">
        <w:rPr>
          <w:rFonts w:ascii="David" w:hAnsi="David" w:cs="David" w:hint="cs"/>
          <w:szCs w:val="24"/>
          <w:rtl/>
        </w:rPr>
        <w:t>ע</w:t>
      </w:r>
      <w:r w:rsidR="00AB0EE2" w:rsidRPr="009B4A59">
        <w:rPr>
          <w:rFonts w:ascii="David" w:hAnsi="David" w:cs="David" w:hint="cs"/>
          <w:szCs w:val="24"/>
          <w:rtl/>
        </w:rPr>
        <w:t>בודה</w:t>
      </w:r>
      <w:r w:rsidR="00AB0EE2" w:rsidRPr="009B4A59">
        <w:rPr>
          <w:rFonts w:ascii="David" w:hAnsi="David" w:cs="David"/>
          <w:szCs w:val="24"/>
          <w:rtl/>
        </w:rPr>
        <w:t xml:space="preserve"> תצורף מפה מצבית בהתאם למפורט בטור ד' בתוספת השנייה לתקנות אלה.</w:t>
      </w:r>
    </w:p>
    <w:p w14:paraId="43F1161B" w14:textId="320F712F" w:rsidR="00AB0EE2" w:rsidRDefault="00AB0EE2" w:rsidP="00AB0EE2">
      <w:pPr>
        <w:pStyle w:val="ListParagraph"/>
        <w:numPr>
          <w:ilvl w:val="0"/>
          <w:numId w:val="10"/>
        </w:numPr>
        <w:rPr>
          <w:rFonts w:ascii="David" w:hAnsi="David" w:cs="David"/>
          <w:szCs w:val="24"/>
        </w:rPr>
      </w:pPr>
      <w:r w:rsidRPr="009B4A59">
        <w:rPr>
          <w:rFonts w:ascii="David" w:hAnsi="David" w:cs="David" w:hint="cs"/>
          <w:b/>
          <w:bCs/>
          <w:szCs w:val="24"/>
          <w:rtl/>
        </w:rPr>
        <w:t>קרינה</w:t>
      </w:r>
      <w:r>
        <w:rPr>
          <w:rFonts w:ascii="David" w:hAnsi="David" w:cs="David" w:hint="cs"/>
          <w:szCs w:val="24"/>
          <w:rtl/>
        </w:rPr>
        <w:t xml:space="preserve">: לעניין מבנה טכני המיועד להשנאה ולהגדלת אספקת החשמל </w:t>
      </w:r>
      <w:r>
        <w:rPr>
          <w:rFonts w:ascii="David" w:hAnsi="David" w:cs="David"/>
          <w:szCs w:val="24"/>
          <w:rtl/>
        </w:rPr>
        <w:t>–</w:t>
      </w:r>
      <w:r>
        <w:rPr>
          <w:rFonts w:ascii="David" w:hAnsi="David" w:cs="David" w:hint="cs"/>
          <w:szCs w:val="24"/>
          <w:rtl/>
        </w:rPr>
        <w:t xml:space="preserve"> יצורף גם אישור הממונה על הקרינה.</w:t>
      </w:r>
    </w:p>
    <w:p w14:paraId="112C714C" w14:textId="71D26F8A" w:rsidR="00AB0EE2" w:rsidRDefault="00AB0EE2" w:rsidP="00AB0EE2">
      <w:pPr>
        <w:pStyle w:val="ListParagraph"/>
        <w:numPr>
          <w:ilvl w:val="0"/>
          <w:numId w:val="10"/>
        </w:numPr>
        <w:rPr>
          <w:rFonts w:ascii="David" w:hAnsi="David" w:cs="David"/>
          <w:szCs w:val="24"/>
        </w:rPr>
      </w:pPr>
      <w:r w:rsidRPr="009B4A59">
        <w:rPr>
          <w:rFonts w:ascii="David" w:hAnsi="David" w:cs="David" w:hint="cs"/>
          <w:b/>
          <w:bCs/>
          <w:szCs w:val="24"/>
          <w:rtl/>
        </w:rPr>
        <w:t>רעש</w:t>
      </w:r>
      <w:r>
        <w:rPr>
          <w:rFonts w:ascii="David" w:hAnsi="David" w:cs="David" w:hint="cs"/>
          <w:szCs w:val="24"/>
          <w:rtl/>
        </w:rPr>
        <w:t xml:space="preserve">: </w:t>
      </w:r>
      <w:r w:rsidR="00B16DC1">
        <w:rPr>
          <w:rFonts w:ascii="David" w:hAnsi="David" w:cs="David" w:hint="cs"/>
          <w:szCs w:val="24"/>
          <w:rtl/>
        </w:rPr>
        <w:t xml:space="preserve">אם </w:t>
      </w:r>
      <w:r>
        <w:rPr>
          <w:rFonts w:ascii="David" w:hAnsi="David" w:cs="David" w:hint="cs"/>
          <w:szCs w:val="24"/>
          <w:rtl/>
        </w:rPr>
        <w:t>מתוכנן מבנה העלול ליצור רעש מחוץ לגבול המגרש , תצורף חוות דעת אקוסטית (ככל הניתן, המבנה ימוקם רחוק מגבול המגרש).</w:t>
      </w:r>
    </w:p>
    <w:p w14:paraId="4C75D8E9" w14:textId="7BE6FF63" w:rsidR="00AB0EE2" w:rsidRDefault="00AB0EE2" w:rsidP="00AB0EE2">
      <w:pPr>
        <w:pStyle w:val="ListParagraph"/>
        <w:numPr>
          <w:ilvl w:val="0"/>
          <w:numId w:val="10"/>
        </w:numPr>
        <w:rPr>
          <w:rFonts w:ascii="David" w:hAnsi="David" w:cs="David"/>
          <w:szCs w:val="24"/>
        </w:rPr>
      </w:pPr>
      <w:r w:rsidRPr="009B4A59">
        <w:rPr>
          <w:rFonts w:ascii="David" w:hAnsi="David" w:cs="David" w:hint="cs"/>
          <w:b/>
          <w:bCs/>
          <w:szCs w:val="24"/>
          <w:rtl/>
        </w:rPr>
        <w:t>אסבסט</w:t>
      </w:r>
      <w:r>
        <w:rPr>
          <w:rFonts w:ascii="David" w:hAnsi="David" w:cs="David" w:hint="cs"/>
          <w:szCs w:val="24"/>
          <w:rtl/>
        </w:rPr>
        <w:t>: יש לפעול בהתאם לחוק למניעת מפגעי אסבסט ואבק מזיק, תשע"א</w:t>
      </w:r>
      <w:r w:rsidR="00105278">
        <w:rPr>
          <w:rFonts w:ascii="David" w:hAnsi="David" w:cs="David" w:hint="cs"/>
          <w:szCs w:val="24"/>
          <w:rtl/>
        </w:rPr>
        <w:t>-</w:t>
      </w:r>
      <w:r>
        <w:rPr>
          <w:rFonts w:ascii="David" w:hAnsi="David" w:cs="David" w:hint="cs"/>
          <w:szCs w:val="24"/>
          <w:rtl/>
        </w:rPr>
        <w:t>2011, והתקנות לפיו, ובכלל זה תקנות למניעת מפגעי אסבסט ואבק מזיק (פטור מרישיון ומהיתר לעבודת אסבסט ומניעת ניגוד עניינים), תשע"א</w:t>
      </w:r>
      <w:r w:rsidR="00105278">
        <w:rPr>
          <w:rFonts w:ascii="David" w:hAnsi="David" w:cs="David" w:hint="cs"/>
          <w:szCs w:val="24"/>
          <w:rtl/>
        </w:rPr>
        <w:t>-</w:t>
      </w:r>
      <w:r>
        <w:rPr>
          <w:rFonts w:ascii="David" w:hAnsi="David" w:cs="David" w:hint="cs"/>
          <w:szCs w:val="24"/>
          <w:rtl/>
        </w:rPr>
        <w:t>2011.</w:t>
      </w:r>
    </w:p>
    <w:p w14:paraId="2171D84E" w14:textId="46D74B70" w:rsidR="00AB0EE2" w:rsidRPr="009B4A59" w:rsidRDefault="00AB0EE2" w:rsidP="009B4A59">
      <w:pPr>
        <w:pStyle w:val="ListParagraph"/>
        <w:numPr>
          <w:ilvl w:val="0"/>
          <w:numId w:val="10"/>
        </w:numPr>
        <w:rPr>
          <w:rFonts w:ascii="David" w:hAnsi="David" w:cs="David"/>
          <w:szCs w:val="24"/>
          <w:rtl/>
        </w:rPr>
      </w:pPr>
      <w:r w:rsidRPr="009B4A59">
        <w:rPr>
          <w:rFonts w:ascii="David" w:hAnsi="David" w:cs="David" w:hint="eastAsia"/>
          <w:b/>
          <w:bCs/>
          <w:szCs w:val="24"/>
          <w:rtl/>
        </w:rPr>
        <w:t>חומרים</w:t>
      </w:r>
      <w:r w:rsidRPr="009B4A59">
        <w:rPr>
          <w:rFonts w:ascii="David" w:hAnsi="David" w:cs="David"/>
          <w:szCs w:val="24"/>
          <w:rtl/>
        </w:rPr>
        <w:t xml:space="preserve"> </w:t>
      </w:r>
      <w:r w:rsidRPr="009B4A59">
        <w:rPr>
          <w:rFonts w:ascii="David" w:hAnsi="David" w:cs="David" w:hint="eastAsia"/>
          <w:b/>
          <w:bCs/>
          <w:szCs w:val="24"/>
          <w:rtl/>
        </w:rPr>
        <w:t>מסוכנים</w:t>
      </w:r>
      <w:r w:rsidRPr="009B4A59">
        <w:rPr>
          <w:rFonts w:ascii="David" w:hAnsi="David" w:cs="David"/>
          <w:szCs w:val="24"/>
          <w:rtl/>
        </w:rPr>
        <w:t xml:space="preserve">: </w:t>
      </w:r>
      <w:r w:rsidRPr="009B4A59">
        <w:rPr>
          <w:rFonts w:ascii="David" w:hAnsi="David" w:cs="David" w:hint="eastAsia"/>
          <w:szCs w:val="24"/>
          <w:rtl/>
        </w:rPr>
        <w:t>בעבודות</w:t>
      </w:r>
      <w:r w:rsidRPr="009B4A59">
        <w:rPr>
          <w:rFonts w:ascii="David" w:hAnsi="David" w:cs="David"/>
          <w:szCs w:val="24"/>
          <w:rtl/>
        </w:rPr>
        <w:t xml:space="preserve"> להקמת/ הרחבת מכולה המשמשת לאחסנה שאינה מיועדת לשימוש בני אדם, מבנה מחומרים קלים, או תעלות פנימיות במגרש לצורכי ניקוז פנימיים או לצורכי תקשורת, ובלבד שאינם לשם שימוש הזרמת ביוב ומי שתייה:</w:t>
      </w:r>
    </w:p>
    <w:p w14:paraId="68BD99A6" w14:textId="424DA08B" w:rsidR="00AB0EE2" w:rsidRDefault="00AB0EE2" w:rsidP="00AB0EE2">
      <w:pPr>
        <w:pStyle w:val="ListParagraph"/>
        <w:rPr>
          <w:rFonts w:ascii="David" w:hAnsi="David" w:cs="David"/>
          <w:szCs w:val="24"/>
          <w:rtl/>
        </w:rPr>
      </w:pPr>
      <w:r>
        <w:rPr>
          <w:rFonts w:ascii="David" w:hAnsi="David" w:cs="David" w:hint="cs"/>
          <w:szCs w:val="24"/>
          <w:rtl/>
        </w:rPr>
        <w:t>אם במגרש התעשייה קיים מפעל שיש לו היתר רעלים, מיקום המבנה המוצע יסומן במרחק העולה על 20 מטרים מגבול מגרש המיועד לשמש כשטח ציבורי פתוח לפי הת</w:t>
      </w:r>
      <w:r w:rsidR="00105278">
        <w:rPr>
          <w:rFonts w:ascii="David" w:hAnsi="David" w:cs="David" w:hint="cs"/>
          <w:szCs w:val="24"/>
          <w:rtl/>
        </w:rPr>
        <w:t>ו</w:t>
      </w:r>
      <w:r>
        <w:rPr>
          <w:rFonts w:ascii="David" w:hAnsi="David" w:cs="David" w:hint="cs"/>
          <w:szCs w:val="24"/>
          <w:rtl/>
        </w:rPr>
        <w:t>כנית החלה במגרש.</w:t>
      </w:r>
    </w:p>
    <w:p w14:paraId="76B5BEAA" w14:textId="4270B80C" w:rsidR="00AB0EE2" w:rsidRPr="009B4A59" w:rsidRDefault="00AB0EE2" w:rsidP="00AB0EE2">
      <w:pPr>
        <w:pStyle w:val="ListParagraph"/>
        <w:numPr>
          <w:ilvl w:val="0"/>
          <w:numId w:val="10"/>
        </w:numPr>
        <w:rPr>
          <w:rFonts w:ascii="David" w:hAnsi="David" w:cs="David"/>
          <w:szCs w:val="24"/>
          <w:rtl/>
        </w:rPr>
      </w:pPr>
      <w:r w:rsidRPr="009B4A59">
        <w:rPr>
          <w:rFonts w:ascii="David" w:hAnsi="David" w:cs="David" w:hint="cs"/>
          <w:b/>
          <w:bCs/>
          <w:szCs w:val="24"/>
          <w:rtl/>
        </w:rPr>
        <w:t>שפכי</w:t>
      </w:r>
      <w:r>
        <w:rPr>
          <w:rFonts w:ascii="David" w:hAnsi="David" w:cs="David" w:hint="cs"/>
          <w:szCs w:val="24"/>
          <w:rtl/>
        </w:rPr>
        <w:t xml:space="preserve"> </w:t>
      </w:r>
      <w:r w:rsidRPr="009B4A59">
        <w:rPr>
          <w:rFonts w:ascii="David" w:hAnsi="David" w:cs="David" w:hint="cs"/>
          <w:b/>
          <w:bCs/>
          <w:szCs w:val="24"/>
          <w:rtl/>
        </w:rPr>
        <w:t>תעשייה</w:t>
      </w:r>
      <w:r>
        <w:rPr>
          <w:rFonts w:ascii="David" w:hAnsi="David" w:cs="David" w:hint="cs"/>
          <w:szCs w:val="24"/>
          <w:rtl/>
        </w:rPr>
        <w:t xml:space="preserve">: </w:t>
      </w:r>
      <w:r w:rsidR="00B16DC1">
        <w:rPr>
          <w:rFonts w:ascii="David" w:hAnsi="David" w:cs="David" w:hint="cs"/>
          <w:szCs w:val="24"/>
          <w:rtl/>
        </w:rPr>
        <w:t xml:space="preserve">אם </w:t>
      </w:r>
      <w:r>
        <w:rPr>
          <w:rFonts w:ascii="David" w:hAnsi="David" w:cs="David" w:hint="cs"/>
          <w:szCs w:val="24"/>
          <w:rtl/>
        </w:rPr>
        <w:t xml:space="preserve">העבודה חלה במבנה הכולל </w:t>
      </w:r>
      <w:r w:rsidRPr="00202385">
        <w:rPr>
          <w:rFonts w:ascii="David" w:hAnsi="David" w:cs="David" w:hint="eastAsia"/>
          <w:szCs w:val="24"/>
          <w:rtl/>
        </w:rPr>
        <w:t>פעילות</w:t>
      </w:r>
      <w:r w:rsidRPr="00202385">
        <w:rPr>
          <w:rFonts w:ascii="David" w:hAnsi="David" w:cs="David"/>
          <w:szCs w:val="24"/>
          <w:rtl/>
        </w:rPr>
        <w:t xml:space="preserve"> </w:t>
      </w:r>
      <w:r w:rsidRPr="00202385">
        <w:rPr>
          <w:rFonts w:ascii="David" w:hAnsi="David" w:cs="David" w:hint="eastAsia"/>
          <w:szCs w:val="24"/>
          <w:rtl/>
        </w:rPr>
        <w:t>תעשייתית</w:t>
      </w:r>
      <w:r>
        <w:rPr>
          <w:rFonts w:ascii="David" w:hAnsi="David" w:cs="David" w:hint="cs"/>
          <w:szCs w:val="24"/>
          <w:rtl/>
        </w:rPr>
        <w:t xml:space="preserve">, יובטחו שמירת </w:t>
      </w:r>
      <w:r w:rsidRPr="00202385">
        <w:rPr>
          <w:rFonts w:ascii="David" w:hAnsi="David" w:cs="David" w:hint="eastAsia"/>
          <w:szCs w:val="24"/>
          <w:rtl/>
        </w:rPr>
        <w:t>הפרדת</w:t>
      </w:r>
      <w:r w:rsidRPr="00202385">
        <w:rPr>
          <w:rFonts w:ascii="David" w:hAnsi="David" w:cs="David"/>
          <w:szCs w:val="24"/>
          <w:rtl/>
        </w:rPr>
        <w:t xml:space="preserve"> </w:t>
      </w:r>
      <w:r>
        <w:rPr>
          <w:rFonts w:ascii="David" w:hAnsi="David" w:cs="David" w:hint="cs"/>
          <w:szCs w:val="24"/>
          <w:rtl/>
        </w:rPr>
        <w:t>ה</w:t>
      </w:r>
      <w:r w:rsidRPr="00202385">
        <w:rPr>
          <w:rFonts w:ascii="David" w:hAnsi="David" w:cs="David" w:hint="eastAsia"/>
          <w:szCs w:val="24"/>
          <w:rtl/>
        </w:rPr>
        <w:t>זרמים</w:t>
      </w:r>
      <w:r w:rsidRPr="00202385">
        <w:rPr>
          <w:rFonts w:ascii="David" w:hAnsi="David" w:cs="David"/>
          <w:szCs w:val="24"/>
          <w:rtl/>
        </w:rPr>
        <w:t xml:space="preserve"> </w:t>
      </w:r>
      <w:r w:rsidRPr="00202385">
        <w:rPr>
          <w:rFonts w:ascii="David" w:hAnsi="David" w:cs="David" w:hint="eastAsia"/>
          <w:szCs w:val="24"/>
          <w:rtl/>
        </w:rPr>
        <w:t>וטיפול</w:t>
      </w:r>
      <w:r w:rsidRPr="00202385">
        <w:rPr>
          <w:rFonts w:ascii="David" w:hAnsi="David" w:cs="David"/>
          <w:szCs w:val="24"/>
          <w:rtl/>
        </w:rPr>
        <w:t xml:space="preserve"> </w:t>
      </w:r>
      <w:r w:rsidRPr="00202385">
        <w:rPr>
          <w:rFonts w:ascii="David" w:hAnsi="David" w:cs="David" w:hint="eastAsia"/>
          <w:szCs w:val="24"/>
          <w:rtl/>
        </w:rPr>
        <w:t>מתאים</w:t>
      </w:r>
      <w:r>
        <w:rPr>
          <w:rFonts w:ascii="David" w:hAnsi="David" w:cs="David" w:hint="cs"/>
          <w:szCs w:val="24"/>
          <w:rtl/>
        </w:rPr>
        <w:t xml:space="preserve"> בהם</w:t>
      </w:r>
      <w:r w:rsidRPr="00202385">
        <w:rPr>
          <w:rFonts w:ascii="David" w:hAnsi="David" w:cs="David"/>
          <w:szCs w:val="24"/>
          <w:rtl/>
        </w:rPr>
        <w:t>,</w:t>
      </w:r>
      <w:r>
        <w:rPr>
          <w:rFonts w:ascii="David" w:hAnsi="David" w:cs="David" w:hint="cs"/>
          <w:szCs w:val="24"/>
          <w:rtl/>
        </w:rPr>
        <w:t xml:space="preserve"> וישמרו או יבנו </w:t>
      </w:r>
      <w:r w:rsidRPr="00202385">
        <w:rPr>
          <w:rFonts w:ascii="David" w:hAnsi="David" w:cs="David" w:hint="eastAsia"/>
          <w:szCs w:val="24"/>
          <w:rtl/>
        </w:rPr>
        <w:t>תשתיות</w:t>
      </w:r>
      <w:r w:rsidRPr="00202385">
        <w:rPr>
          <w:rFonts w:ascii="David" w:hAnsi="David" w:cs="David"/>
          <w:szCs w:val="24"/>
          <w:rtl/>
        </w:rPr>
        <w:t xml:space="preserve"> </w:t>
      </w:r>
      <w:r w:rsidRPr="00202385">
        <w:rPr>
          <w:rFonts w:ascii="David" w:hAnsi="David" w:cs="David" w:hint="eastAsia"/>
          <w:szCs w:val="24"/>
          <w:rtl/>
        </w:rPr>
        <w:t>למניעת</w:t>
      </w:r>
      <w:r w:rsidRPr="00202385">
        <w:rPr>
          <w:rFonts w:ascii="David" w:hAnsi="David" w:cs="David"/>
          <w:szCs w:val="24"/>
          <w:rtl/>
        </w:rPr>
        <w:t xml:space="preserve"> </w:t>
      </w:r>
      <w:r w:rsidRPr="00202385">
        <w:rPr>
          <w:rFonts w:ascii="David" w:hAnsi="David" w:cs="David" w:hint="eastAsia"/>
          <w:szCs w:val="24"/>
          <w:rtl/>
        </w:rPr>
        <w:t>זיהום</w:t>
      </w:r>
      <w:r w:rsidRPr="00202385">
        <w:rPr>
          <w:rFonts w:ascii="David" w:hAnsi="David" w:cs="David"/>
          <w:szCs w:val="24"/>
          <w:rtl/>
        </w:rPr>
        <w:t xml:space="preserve"> </w:t>
      </w:r>
      <w:r w:rsidRPr="00202385">
        <w:rPr>
          <w:rFonts w:ascii="David" w:hAnsi="David" w:cs="David" w:hint="eastAsia"/>
          <w:szCs w:val="24"/>
          <w:rtl/>
        </w:rPr>
        <w:t>נגר</w:t>
      </w:r>
      <w:r w:rsidRPr="00202385">
        <w:rPr>
          <w:rFonts w:ascii="David" w:hAnsi="David" w:cs="David"/>
          <w:szCs w:val="24"/>
          <w:rtl/>
        </w:rPr>
        <w:t xml:space="preserve"> </w:t>
      </w:r>
      <w:r w:rsidRPr="00202385">
        <w:rPr>
          <w:rFonts w:ascii="David" w:hAnsi="David" w:cs="David" w:hint="eastAsia"/>
          <w:szCs w:val="24"/>
          <w:rtl/>
        </w:rPr>
        <w:t>עיל</w:t>
      </w:r>
      <w:r>
        <w:rPr>
          <w:rFonts w:ascii="David" w:hAnsi="David" w:cs="David" w:hint="cs"/>
          <w:szCs w:val="24"/>
          <w:rtl/>
        </w:rPr>
        <w:t>י המושפע מהקמת המבנ</w:t>
      </w:r>
      <w:r w:rsidRPr="009449F8">
        <w:rPr>
          <w:rFonts w:ascii="David" w:hAnsi="David" w:cs="David" w:hint="cs"/>
          <w:szCs w:val="24"/>
          <w:rtl/>
        </w:rPr>
        <w:t>ה</w:t>
      </w:r>
      <w:r w:rsidRPr="006E78EC">
        <w:rPr>
          <w:rFonts w:ascii="David" w:hAnsi="David" w:cs="David"/>
          <w:szCs w:val="24"/>
          <w:rtl/>
        </w:rPr>
        <w:t>.</w:t>
      </w:r>
    </w:p>
    <w:p w14:paraId="4E4A5D43" w14:textId="6634127A" w:rsidR="00AB0EE2" w:rsidRPr="009B4A59" w:rsidRDefault="00AB0EE2" w:rsidP="009B4A59">
      <w:pPr>
        <w:pStyle w:val="ListParagraph"/>
        <w:rPr>
          <w:rFonts w:ascii="David" w:hAnsi="David" w:cs="David"/>
          <w:szCs w:val="24"/>
          <w:rtl/>
        </w:rPr>
      </w:pPr>
      <w:r w:rsidRPr="009B4A59">
        <w:rPr>
          <w:rFonts w:ascii="David" w:hAnsi="David" w:cs="David" w:hint="eastAsia"/>
          <w:szCs w:val="24"/>
          <w:rtl/>
        </w:rPr>
        <w:t>בעבודות</w:t>
      </w:r>
      <w:r w:rsidRPr="009B4A59">
        <w:rPr>
          <w:rFonts w:ascii="David" w:hAnsi="David" w:cs="David"/>
          <w:szCs w:val="24"/>
          <w:rtl/>
        </w:rPr>
        <w:t xml:space="preserve"> להקמת משטח תפעול, משטח אחסון, הארכת צנרת או תעלות פנימיות במגרש לצורכי ניקוז פנימיים או לצורכי תקשורת, ובלבד שאינם לשם שימוש הזרמת ביוב ומי שתייה:</w:t>
      </w:r>
    </w:p>
    <w:p w14:paraId="43803285" w14:textId="15E8A9BC" w:rsidR="00AB0EE2" w:rsidRDefault="00AB0EE2" w:rsidP="00AB0EE2">
      <w:pPr>
        <w:pStyle w:val="ListParagraph"/>
        <w:rPr>
          <w:rFonts w:ascii="David" w:hAnsi="David" w:cs="David"/>
          <w:szCs w:val="24"/>
          <w:rtl/>
        </w:rPr>
      </w:pPr>
      <w:r>
        <w:rPr>
          <w:rFonts w:ascii="David" w:hAnsi="David" w:cs="David" w:hint="cs"/>
          <w:szCs w:val="24"/>
          <w:rtl/>
        </w:rPr>
        <w:t xml:space="preserve">יובטחו שמירת </w:t>
      </w:r>
      <w:r w:rsidRPr="00202385">
        <w:rPr>
          <w:rFonts w:ascii="David" w:hAnsi="David" w:cs="David" w:hint="eastAsia"/>
          <w:szCs w:val="24"/>
          <w:rtl/>
        </w:rPr>
        <w:t>הפרדת</w:t>
      </w:r>
      <w:r w:rsidRPr="00202385">
        <w:rPr>
          <w:rFonts w:ascii="David" w:hAnsi="David" w:cs="David"/>
          <w:szCs w:val="24"/>
          <w:rtl/>
        </w:rPr>
        <w:t xml:space="preserve"> </w:t>
      </w:r>
      <w:r>
        <w:rPr>
          <w:rFonts w:ascii="David" w:hAnsi="David" w:cs="David" w:hint="cs"/>
          <w:szCs w:val="24"/>
          <w:rtl/>
        </w:rPr>
        <w:t>ה</w:t>
      </w:r>
      <w:r w:rsidRPr="00202385">
        <w:rPr>
          <w:rFonts w:ascii="David" w:hAnsi="David" w:cs="David" w:hint="eastAsia"/>
          <w:szCs w:val="24"/>
          <w:rtl/>
        </w:rPr>
        <w:t>זרמים</w:t>
      </w:r>
      <w:r w:rsidRPr="00202385">
        <w:rPr>
          <w:rFonts w:ascii="David" w:hAnsi="David" w:cs="David"/>
          <w:szCs w:val="24"/>
          <w:rtl/>
        </w:rPr>
        <w:t xml:space="preserve"> </w:t>
      </w:r>
      <w:r w:rsidRPr="00202385">
        <w:rPr>
          <w:rFonts w:ascii="David" w:hAnsi="David" w:cs="David" w:hint="eastAsia"/>
          <w:szCs w:val="24"/>
          <w:rtl/>
        </w:rPr>
        <w:t>וטיפול</w:t>
      </w:r>
      <w:r w:rsidRPr="00202385">
        <w:rPr>
          <w:rFonts w:ascii="David" w:hAnsi="David" w:cs="David"/>
          <w:szCs w:val="24"/>
          <w:rtl/>
        </w:rPr>
        <w:t xml:space="preserve"> </w:t>
      </w:r>
      <w:r w:rsidRPr="00202385">
        <w:rPr>
          <w:rFonts w:ascii="David" w:hAnsi="David" w:cs="David" w:hint="eastAsia"/>
          <w:szCs w:val="24"/>
          <w:rtl/>
        </w:rPr>
        <w:t>מתאים</w:t>
      </w:r>
      <w:r>
        <w:rPr>
          <w:rFonts w:ascii="David" w:hAnsi="David" w:cs="David" w:hint="cs"/>
          <w:szCs w:val="24"/>
          <w:rtl/>
        </w:rPr>
        <w:t xml:space="preserve"> בהם</w:t>
      </w:r>
      <w:r w:rsidRPr="00202385">
        <w:rPr>
          <w:rFonts w:ascii="David" w:hAnsi="David" w:cs="David"/>
          <w:szCs w:val="24"/>
          <w:rtl/>
        </w:rPr>
        <w:t>,</w:t>
      </w:r>
      <w:r>
        <w:rPr>
          <w:rFonts w:ascii="David" w:hAnsi="David" w:cs="David" w:hint="cs"/>
          <w:szCs w:val="24"/>
          <w:rtl/>
        </w:rPr>
        <w:t xml:space="preserve"> תישמרנה או </w:t>
      </w:r>
      <w:proofErr w:type="spellStart"/>
      <w:r>
        <w:rPr>
          <w:rFonts w:ascii="David" w:hAnsi="David" w:cs="David" w:hint="cs"/>
          <w:szCs w:val="24"/>
          <w:rtl/>
        </w:rPr>
        <w:t>תיבננה</w:t>
      </w:r>
      <w:proofErr w:type="spellEnd"/>
      <w:r>
        <w:rPr>
          <w:rFonts w:ascii="David" w:hAnsi="David" w:cs="David" w:hint="cs"/>
          <w:szCs w:val="24"/>
          <w:rtl/>
        </w:rPr>
        <w:t xml:space="preserve"> </w:t>
      </w:r>
      <w:r w:rsidRPr="00202385">
        <w:rPr>
          <w:rFonts w:ascii="David" w:hAnsi="David" w:cs="David" w:hint="eastAsia"/>
          <w:szCs w:val="24"/>
          <w:rtl/>
        </w:rPr>
        <w:t>תשתיות</w:t>
      </w:r>
      <w:r w:rsidRPr="00202385">
        <w:rPr>
          <w:rFonts w:ascii="David" w:hAnsi="David" w:cs="David"/>
          <w:szCs w:val="24"/>
          <w:rtl/>
        </w:rPr>
        <w:t xml:space="preserve"> </w:t>
      </w:r>
      <w:r w:rsidRPr="00202385">
        <w:rPr>
          <w:rFonts w:ascii="David" w:hAnsi="David" w:cs="David" w:hint="eastAsia"/>
          <w:szCs w:val="24"/>
          <w:rtl/>
        </w:rPr>
        <w:t>למניעת</w:t>
      </w:r>
      <w:r w:rsidRPr="00202385">
        <w:rPr>
          <w:rFonts w:ascii="David" w:hAnsi="David" w:cs="David"/>
          <w:szCs w:val="24"/>
          <w:rtl/>
        </w:rPr>
        <w:t xml:space="preserve"> </w:t>
      </w:r>
      <w:r w:rsidRPr="00202385">
        <w:rPr>
          <w:rFonts w:ascii="David" w:hAnsi="David" w:cs="David" w:hint="eastAsia"/>
          <w:szCs w:val="24"/>
          <w:rtl/>
        </w:rPr>
        <w:t>זיהום</w:t>
      </w:r>
      <w:r w:rsidRPr="00202385">
        <w:rPr>
          <w:rFonts w:ascii="David" w:hAnsi="David" w:cs="David"/>
          <w:szCs w:val="24"/>
          <w:rtl/>
        </w:rPr>
        <w:t xml:space="preserve"> </w:t>
      </w:r>
      <w:r w:rsidRPr="00202385">
        <w:rPr>
          <w:rFonts w:ascii="David" w:hAnsi="David" w:cs="David" w:hint="eastAsia"/>
          <w:szCs w:val="24"/>
          <w:rtl/>
        </w:rPr>
        <w:t>נגר</w:t>
      </w:r>
      <w:r w:rsidRPr="00202385">
        <w:rPr>
          <w:rFonts w:ascii="David" w:hAnsi="David" w:cs="David"/>
          <w:szCs w:val="24"/>
          <w:rtl/>
        </w:rPr>
        <w:t xml:space="preserve"> </w:t>
      </w:r>
      <w:r w:rsidRPr="00202385">
        <w:rPr>
          <w:rFonts w:ascii="David" w:hAnsi="David" w:cs="David" w:hint="eastAsia"/>
          <w:szCs w:val="24"/>
          <w:rtl/>
        </w:rPr>
        <w:t>עיל</w:t>
      </w:r>
      <w:r>
        <w:rPr>
          <w:rFonts w:ascii="David" w:hAnsi="David" w:cs="David" w:hint="cs"/>
          <w:szCs w:val="24"/>
          <w:rtl/>
        </w:rPr>
        <w:t>י המושפע מבניית המשטח, ויש לפעול בהתאם לכתוב ברישיון העסק לעניין משטח התפעול.</w:t>
      </w:r>
    </w:p>
    <w:p w14:paraId="6B85F5EF" w14:textId="07051695" w:rsidR="007F00A5" w:rsidRPr="009B4A59" w:rsidRDefault="00AB0EE2" w:rsidP="007F00A5">
      <w:pPr>
        <w:pStyle w:val="ListParagraph"/>
        <w:numPr>
          <w:ilvl w:val="0"/>
          <w:numId w:val="10"/>
        </w:numPr>
        <w:rPr>
          <w:rFonts w:ascii="David" w:hAnsi="David" w:cs="David"/>
          <w:szCs w:val="24"/>
        </w:rPr>
      </w:pPr>
      <w:r w:rsidRPr="009B4A59">
        <w:rPr>
          <w:rFonts w:ascii="David" w:hAnsi="David" w:cs="David" w:hint="cs"/>
          <w:b/>
          <w:bCs/>
          <w:szCs w:val="24"/>
          <w:rtl/>
        </w:rPr>
        <w:lastRenderedPageBreak/>
        <w:t>איכות</w:t>
      </w:r>
      <w:r>
        <w:rPr>
          <w:rFonts w:ascii="David" w:hAnsi="David" w:cs="David" w:hint="cs"/>
          <w:szCs w:val="24"/>
          <w:rtl/>
        </w:rPr>
        <w:t xml:space="preserve"> </w:t>
      </w:r>
      <w:r w:rsidRPr="009B4A59">
        <w:rPr>
          <w:rFonts w:ascii="David" w:hAnsi="David" w:cs="David" w:hint="cs"/>
          <w:b/>
          <w:bCs/>
          <w:szCs w:val="24"/>
          <w:rtl/>
        </w:rPr>
        <w:t>אוויר</w:t>
      </w:r>
      <w:r>
        <w:rPr>
          <w:rFonts w:ascii="David" w:hAnsi="David" w:cs="David" w:hint="cs"/>
          <w:szCs w:val="24"/>
          <w:rtl/>
        </w:rPr>
        <w:t xml:space="preserve">: </w:t>
      </w:r>
      <w:r w:rsidR="007F00A5">
        <w:rPr>
          <w:rFonts w:ascii="David" w:hAnsi="David" w:cs="David" w:hint="cs"/>
          <w:szCs w:val="24"/>
          <w:rtl/>
        </w:rPr>
        <w:t xml:space="preserve">במקרים בהם יש פוטנציאל לזיהום אוויר, </w:t>
      </w:r>
      <w:r>
        <w:rPr>
          <w:rFonts w:ascii="David" w:hAnsi="David" w:cs="David" w:hint="cs"/>
          <w:szCs w:val="24"/>
          <w:rtl/>
        </w:rPr>
        <w:t>בעבודות ל</w:t>
      </w:r>
      <w:r w:rsidRPr="00AB0EE2">
        <w:rPr>
          <w:rFonts w:ascii="David" w:hAnsi="David" w:cs="David"/>
          <w:szCs w:val="24"/>
          <w:rtl/>
        </w:rPr>
        <w:t>מתקן שאינו טעון היתר פליטה - יש לעמוד בהנחיות ה-</w:t>
      </w:r>
      <w:r w:rsidR="007F00A5">
        <w:rPr>
          <w:rFonts w:ascii="David" w:hAnsi="David" w:cs="David"/>
          <w:szCs w:val="24"/>
        </w:rPr>
        <w:t>TA-</w:t>
      </w:r>
      <w:proofErr w:type="spellStart"/>
      <w:r w:rsidR="007F00A5">
        <w:rPr>
          <w:rFonts w:ascii="David" w:hAnsi="David" w:cs="David"/>
          <w:szCs w:val="24"/>
        </w:rPr>
        <w:t>luft</w:t>
      </w:r>
      <w:proofErr w:type="spellEnd"/>
      <w:r w:rsidR="007F00A5">
        <w:rPr>
          <w:rFonts w:ascii="David" w:hAnsi="David" w:cs="David"/>
          <w:szCs w:val="24"/>
        </w:rPr>
        <w:t xml:space="preserve"> 2002</w:t>
      </w:r>
      <w:r w:rsidR="007F00A5">
        <w:rPr>
          <w:rFonts w:ascii="David" w:hAnsi="David" w:cs="David" w:hint="cs"/>
          <w:szCs w:val="24"/>
          <w:rtl/>
        </w:rPr>
        <w:t>.</w:t>
      </w:r>
    </w:p>
    <w:p w14:paraId="7F7E7312" w14:textId="2EC2D9EF" w:rsidR="00AB0EE2" w:rsidRDefault="00AB0EE2" w:rsidP="00AB0EE2">
      <w:pPr>
        <w:pStyle w:val="ListParagraph"/>
        <w:numPr>
          <w:ilvl w:val="0"/>
          <w:numId w:val="10"/>
        </w:numPr>
        <w:rPr>
          <w:rFonts w:ascii="David" w:hAnsi="David" w:cs="David"/>
          <w:szCs w:val="24"/>
        </w:rPr>
      </w:pPr>
      <w:r w:rsidRPr="009B4A59">
        <w:rPr>
          <w:rFonts w:ascii="David" w:hAnsi="David" w:cs="David" w:hint="cs"/>
          <w:b/>
          <w:bCs/>
          <w:szCs w:val="24"/>
          <w:rtl/>
        </w:rPr>
        <w:t>ריח</w:t>
      </w:r>
      <w:r>
        <w:rPr>
          <w:rFonts w:ascii="David" w:hAnsi="David" w:cs="David" w:hint="cs"/>
          <w:szCs w:val="24"/>
          <w:rtl/>
        </w:rPr>
        <w:t>:</w:t>
      </w:r>
      <w:r w:rsidR="007F00A5">
        <w:rPr>
          <w:rFonts w:ascii="David" w:hAnsi="David" w:cs="David" w:hint="cs"/>
          <w:szCs w:val="24"/>
          <w:rtl/>
        </w:rPr>
        <w:t xml:space="preserve"> במקרים בהם יש פוטנציאל למטרדי ריח, נדרש להגיש סקר ריח.</w:t>
      </w:r>
    </w:p>
    <w:p w14:paraId="53A46785" w14:textId="29F65544" w:rsidR="00C26976" w:rsidRPr="009B4A59" w:rsidRDefault="00AB0EE2" w:rsidP="009B4A59">
      <w:pPr>
        <w:pStyle w:val="ListParagraph"/>
        <w:numPr>
          <w:ilvl w:val="0"/>
          <w:numId w:val="10"/>
        </w:numPr>
        <w:rPr>
          <w:rFonts w:ascii="David" w:hAnsi="David" w:cs="David"/>
          <w:szCs w:val="24"/>
          <w:rtl/>
        </w:rPr>
      </w:pPr>
      <w:r w:rsidRPr="009B4A59">
        <w:rPr>
          <w:rFonts w:ascii="David" w:hAnsi="David" w:cs="David" w:hint="eastAsia"/>
          <w:b/>
          <w:bCs/>
          <w:szCs w:val="24"/>
          <w:rtl/>
        </w:rPr>
        <w:t>מהלך</w:t>
      </w:r>
      <w:r>
        <w:rPr>
          <w:rFonts w:ascii="David" w:hAnsi="David" w:cs="David" w:hint="cs"/>
          <w:szCs w:val="24"/>
          <w:rtl/>
        </w:rPr>
        <w:t xml:space="preserve"> </w:t>
      </w:r>
      <w:r w:rsidRPr="009B4A59">
        <w:rPr>
          <w:rFonts w:ascii="David" w:hAnsi="David" w:cs="David" w:hint="eastAsia"/>
          <w:b/>
          <w:bCs/>
          <w:szCs w:val="24"/>
          <w:rtl/>
        </w:rPr>
        <w:t>העבודות</w:t>
      </w:r>
      <w:r>
        <w:rPr>
          <w:rFonts w:ascii="David" w:hAnsi="David" w:cs="David" w:hint="cs"/>
          <w:szCs w:val="24"/>
          <w:rtl/>
        </w:rPr>
        <w:t xml:space="preserve">: תצורף הצהרת עורך הבקשה בדבר קיום </w:t>
      </w:r>
      <w:hyperlink r:id="rId9" w:history="1">
        <w:r w:rsidRPr="0032568E">
          <w:rPr>
            <w:rStyle w:val="Hyperlink"/>
            <w:rFonts w:ascii="David" w:hAnsi="David" w:cs="David" w:hint="cs"/>
            <w:szCs w:val="24"/>
            <w:rtl/>
          </w:rPr>
          <w:t>הנחיות למניעת מפגעים במהלך ביצוע העבודות</w:t>
        </w:r>
      </w:hyperlink>
      <w:r>
        <w:rPr>
          <w:rFonts w:ascii="David" w:hAnsi="David" w:cs="David" w:hint="cs"/>
          <w:szCs w:val="24"/>
          <w:rtl/>
        </w:rPr>
        <w:t>.</w:t>
      </w:r>
    </w:p>
    <w:p w14:paraId="37BE3489" w14:textId="77777777" w:rsidR="00E37DBB" w:rsidRDefault="00E37DBB" w:rsidP="00E37DBB">
      <w:pPr>
        <w:bidi/>
        <w:rPr>
          <w:rFonts w:ascii="David" w:hAnsi="David" w:cs="David"/>
          <w:szCs w:val="24"/>
          <w:rtl/>
        </w:rPr>
      </w:pPr>
    </w:p>
    <w:p w14:paraId="4F01D369" w14:textId="77777777" w:rsidR="00E37DBB" w:rsidRPr="009B4A59" w:rsidRDefault="00E37DBB" w:rsidP="00E37DBB">
      <w:pPr>
        <w:bidi/>
        <w:rPr>
          <w:rFonts w:ascii="David" w:hAnsi="David" w:cs="David"/>
          <w:b/>
          <w:bCs/>
          <w:szCs w:val="24"/>
          <w:lang w:val="en-US"/>
        </w:rPr>
      </w:pPr>
      <w:r w:rsidRPr="009B4A59">
        <w:rPr>
          <w:rFonts w:ascii="David" w:hAnsi="David" w:cs="David"/>
          <w:b/>
          <w:bCs/>
          <w:szCs w:val="24"/>
          <w:rtl/>
          <w:lang w:val="en-US"/>
        </w:rPr>
        <w:t> ביצוע העבודות והקמת המבנים המפורטים בטור א' בטבלה שבתוספת השנייה במגרש לתעשייה יהיו פטורים מהיתר, ובלבד שהתקיימו כל אלה:</w:t>
      </w:r>
    </w:p>
    <w:p w14:paraId="14185497"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(1)  נמסרה הודעה בדבר הכוונה לבצע עבודה כאמור בתקנה 39ד והודעה על ביצוע העבודה כאמור בתקנה 39ו;</w:t>
      </w:r>
    </w:p>
    <w:p w14:paraId="0471D87C"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(2)  שולמו כל החיובים כקבוע בתקנה 39ה טרם תחילת ביצוע העבודות או שניתנו הערבויות המתאימות להבטחת תשלום החיובים, בכפוף להוראות כל דין;</w:t>
      </w:r>
    </w:p>
    <w:p w14:paraId="1E8AC64B"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(3)  המבנה עומד בדרישות המפורטות בטור ב' ובטור ד' בטבלה שבתוספת השנייה, לפי העניין;</w:t>
      </w:r>
    </w:p>
    <w:p w14:paraId="4CE5FC65"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(4)  ניתן אישורם של הגורמים המפורטים בטור ג' בטבלה שבתוספת השנייה לביצוע העבודות טרם מתן ההודעה כאמור בתקנה 39ד; אם קבע גורם כאמור תנאי או הוראה אחרת בנוגע לביצוע העבודה, לרבות עריכת חוות דעת, לא תימסר הודעה בדבר פטור מהיתר כאמור בתקנה 39ד, אלא בצירוף אישור מאותו גורם בדבר מילוי התנאי או ההוראה כאמור;</w:t>
      </w:r>
    </w:p>
    <w:p w14:paraId="2E107DAB"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(5)  אין בעבודות משום –</w:t>
      </w:r>
    </w:p>
    <w:p w14:paraId="49B1CDD4"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(א)   ייצור, הובלה בצנרת, אחסון או אגירה של גז, נפט, דלק או חומרים מסוכנים אחרים;</w:t>
      </w:r>
    </w:p>
    <w:p w14:paraId="45322D82"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(ב)   שימוש ברעלים המחייב החזקת היתר רעלים לפי חוק החומרים המסוכנים, התשנ"ג-1993 (להלן – היתר רעלים);</w:t>
      </w:r>
    </w:p>
    <w:p w14:paraId="3108B8DB"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(ג)    הגדלה משמעותית של ההשפעה הסביבתית של המגרש בהתאם לאישור המשרד להגנת הסביבה כמפורט בטור ג' בטבלה שבתוספת השנייה;</w:t>
      </w:r>
    </w:p>
    <w:p w14:paraId="36A8813A"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(6)  העבודות נדרשות במישרין לפעילות מפעל התעשייה שנבנה לפי כל דין;</w:t>
      </w:r>
    </w:p>
    <w:p w14:paraId="79725579"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(7)  ניתן אישור עורך בקשה בדבר כל אלה:</w:t>
      </w:r>
    </w:p>
    <w:p w14:paraId="32460722"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(א)   קיום הדרישות המפורטות בתקנה 2(4) עד (6), והתנאים המפורטים בטור ב' ובטור ד' בטבלה שבתוספת השנייה ובתקנה 39ג(4);</w:t>
      </w:r>
    </w:p>
    <w:p w14:paraId="438C66B6"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(ב)   אין בעבודה המבוצעת במגרש כדי לפגוע בהסדרי התנועה והחניה הקיימים כדין;</w:t>
      </w:r>
    </w:p>
    <w:p w14:paraId="7C4D3944"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(ג)    במגרש שבו מבוצעת העבודה חלה תוכנית הכוללת את כל הנושאים המפורטים בפסקאות (1) עד (4) בסעיף 145(ז) לחוק;</w:t>
      </w:r>
    </w:p>
    <w:p w14:paraId="399AEE26"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(ד)   אין בעבודות משום ייצור, הובלה בצנרת, אחסון או אגירה של גז, נפט, דלק או חומרים מסוכנים אחרים;</w:t>
      </w:r>
    </w:p>
    <w:p w14:paraId="07AEF8CE" w14:textId="77777777" w:rsidR="00E37DBB" w:rsidRPr="00E37DBB" w:rsidRDefault="00E37DBB" w:rsidP="00E37DBB">
      <w:pPr>
        <w:bidi/>
        <w:rPr>
          <w:rFonts w:ascii="David" w:hAnsi="David" w:cs="David"/>
          <w:szCs w:val="24"/>
          <w:rtl/>
          <w:lang w:val="en-US"/>
        </w:rPr>
      </w:pPr>
      <w:r w:rsidRPr="00E37DBB">
        <w:rPr>
          <w:rFonts w:ascii="David" w:hAnsi="David" w:cs="David"/>
          <w:szCs w:val="24"/>
          <w:rtl/>
          <w:lang w:val="en-US"/>
        </w:rPr>
        <w:t>(ה)   אין בעבודות משום שימוש ברעלים המחייב החזקת היתר רעלים;</w:t>
      </w:r>
    </w:p>
    <w:p w14:paraId="3F8DC104" w14:textId="01478ADD" w:rsidR="00E37DBB" w:rsidRPr="002A78A8" w:rsidRDefault="00E37DBB" w:rsidP="007F00A5">
      <w:pPr>
        <w:bidi/>
        <w:rPr>
          <w:rFonts w:ascii="David" w:hAnsi="David" w:cs="David"/>
          <w:szCs w:val="24"/>
          <w:rtl/>
          <w:lang w:val="en-US"/>
        </w:rPr>
      </w:pPr>
      <w:r w:rsidRPr="00E37DBB">
        <w:rPr>
          <w:rFonts w:ascii="David" w:hAnsi="David" w:cs="David"/>
          <w:szCs w:val="24"/>
          <w:rtl/>
          <w:lang w:val="en-US"/>
        </w:rPr>
        <w:t>(ו)    פורסמו הנחיות בדבר מניעת מפגעים במהלך ביצוע עבודות באתר האינטרנט של הוועדה המקומית עד למועד שליחת ההודעה כאמור בתקנה 39ד, יאשר עורך הבקשה את התקיימותם; לא פורסמו הנחיות כאמור, יאשר עורך הבקשה כי התקיימו ההנחיות בדבר מניעת מפגעים שפורסמו באתר מינהל התכנון.</w:t>
      </w:r>
    </w:p>
    <w:sectPr w:rsidR="00E37DBB" w:rsidRPr="002A78A8" w:rsidSect="001314F9">
      <w:headerReference w:type="default" r:id="rId10"/>
      <w:footerReference w:type="default" r:id="rId11"/>
      <w:pgSz w:w="12240" w:h="15840"/>
      <w:pgMar w:top="0" w:right="1588" w:bottom="1440" w:left="1588" w:header="0"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F2B38B" w14:textId="77777777" w:rsidR="009155E5" w:rsidRDefault="009155E5">
      <w:pPr>
        <w:spacing w:line="240" w:lineRule="auto"/>
      </w:pPr>
      <w:r>
        <w:separator/>
      </w:r>
    </w:p>
  </w:endnote>
  <w:endnote w:type="continuationSeparator" w:id="0">
    <w:p w14:paraId="0894B948" w14:textId="77777777" w:rsidR="009155E5" w:rsidRDefault="009155E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FrankRuehl">
    <w:panose1 w:val="020E0503060101010101"/>
    <w:charset w:val="00"/>
    <w:family w:val="swiss"/>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3D30B5" w14:textId="77777777" w:rsidR="00455D63" w:rsidRDefault="00455D63" w:rsidP="00F71200">
    <w:pPr>
      <w:pStyle w:val="Footer"/>
    </w:pPr>
    <w:r>
      <w:rPr>
        <w:noProof/>
        <w:lang w:val="en-US"/>
      </w:rPr>
      <mc:AlternateContent>
        <mc:Choice Requires="wps">
          <w:drawing>
            <wp:anchor distT="45720" distB="45720" distL="114300" distR="114300" simplePos="0" relativeHeight="251661312" behindDoc="0" locked="0" layoutInCell="1" allowOverlap="1" wp14:anchorId="6DB37EEC" wp14:editId="1A190944">
              <wp:simplePos x="0" y="0"/>
              <wp:positionH relativeFrom="margin">
                <wp:posOffset>-449208</wp:posOffset>
              </wp:positionH>
              <wp:positionV relativeFrom="paragraph">
                <wp:posOffset>285115</wp:posOffset>
              </wp:positionV>
              <wp:extent cx="1457325" cy="1404620"/>
              <wp:effectExtent l="0" t="0" r="9525" b="825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404620"/>
                      </a:xfrm>
                      <a:prstGeom prst="rect">
                        <a:avLst/>
                      </a:prstGeom>
                      <a:solidFill>
                        <a:srgbClr val="FFFFFF"/>
                      </a:solidFill>
                      <a:ln w="9525">
                        <a:noFill/>
                        <a:miter lim="800000"/>
                        <a:headEnd/>
                        <a:tailEnd/>
                      </a:ln>
                    </wps:spPr>
                    <wps:txbx>
                      <w:txbxContent>
                        <w:p w14:paraId="30B5969B" w14:textId="77777777" w:rsidR="00455D63" w:rsidRPr="00FF7B46" w:rsidRDefault="00455D63" w:rsidP="00AF123A">
                          <w:pPr>
                            <w:bidi/>
                            <w:rPr>
                              <w:rFonts w:asciiTheme="majorHAnsi" w:hAnsiTheme="majorHAnsi" w:cstheme="majorHAnsi"/>
                              <w:lang w:val="en-US"/>
                            </w:rPr>
                          </w:pPr>
                          <w:r>
                            <w:rPr>
                              <w:rFonts w:asciiTheme="majorHAnsi" w:hAnsiTheme="majorHAnsi" w:cstheme="majorHAnsi"/>
                              <w:lang w:val="en-US"/>
                            </w:rPr>
                            <w:t>www.sviva.gov.il</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DB37EEC" id="_x0000_t202" coordsize="21600,21600" o:spt="202" path="m,l,21600r21600,l21600,xe">
              <v:stroke joinstyle="miter"/>
              <v:path gradientshapeok="t" o:connecttype="rect"/>
            </v:shapetype>
            <v:shape id="Text Box 2" o:spid="_x0000_s1026" type="#_x0000_t202" style="position:absolute;margin-left:-35.35pt;margin-top:22.45pt;width:114.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" stroked="f">
              <v:textbox style="mso-fit-shape-to-text:t">
                <w:txbxContent>
                  <w:p w14:paraId="30B5969B" w14:textId="77777777" w:rsidR="00455D63" w:rsidRPr="00FF7B46" w:rsidRDefault="00455D63" w:rsidP="00AF123A">
                    <w:pPr>
                      <w:bidi/>
                      <w:rPr>
                        <w:rFonts w:asciiTheme="majorHAnsi" w:hAnsiTheme="majorHAnsi" w:cstheme="majorHAnsi"/>
                        <w:lang w:val="en-US"/>
                      </w:rPr>
                    </w:pPr>
                    <w:r>
                      <w:rPr>
                        <w:rFonts w:asciiTheme="majorHAnsi" w:hAnsiTheme="majorHAnsi" w:cstheme="majorHAnsi"/>
                        <w:lang w:val="en-US"/>
                      </w:rPr>
                      <w:t>www.sviva.gov.il</w:t>
                    </w:r>
                  </w:p>
                </w:txbxContent>
              </v:textbox>
              <w10:wrap type="square" anchorx="margin"/>
            </v:shape>
          </w:pict>
        </mc:Fallback>
      </mc:AlternateContent>
    </w:r>
    <w:r>
      <w:rPr>
        <w:noProof/>
        <w:lang w:val="en-US"/>
      </w:rPr>
      <w:drawing>
        <wp:anchor distT="0" distB="0" distL="114300" distR="114300" simplePos="0" relativeHeight="251659264" behindDoc="0" locked="0" layoutInCell="1" allowOverlap="1" wp14:anchorId="4D852DF9" wp14:editId="1D60E10B">
          <wp:simplePos x="0" y="0"/>
          <wp:positionH relativeFrom="margin">
            <wp:align>center</wp:align>
          </wp:positionH>
          <wp:positionV relativeFrom="paragraph">
            <wp:posOffset>-101600</wp:posOffset>
          </wp:positionV>
          <wp:extent cx="7524750" cy="723900"/>
          <wp:effectExtent l="0" t="0" r="0" b="0"/>
          <wp:wrapSquare wrapText="bothSides"/>
          <wp:docPr id="32" name="image1.jpg" descr="כתובת המשרד: בנק ישראל 7, בניין ג'נרי 2 ירושלים &#10;מיקוד: 9195024&#10;טלפון: 02-6553855&#10;כתובת מייל: www.sviva.gov.il"/>
          <wp:cNvGraphicFramePr/>
          <a:graphic xmlns:a="http://schemas.openxmlformats.org/drawingml/2006/main">
            <a:graphicData uri="http://schemas.openxmlformats.org/drawingml/2006/picture">
              <pic:pic xmlns:pic="http://schemas.openxmlformats.org/drawingml/2006/picture">
                <pic:nvPicPr>
                  <pic:cNvPr id="32" name="image1.jpg" descr="כתובת המשרד: בנק ישראל 7, בניין ג'נרי 2 ירושלים &#10;מיקוד: 9195024&#10;טלפון: 02-6553855&#10;כתובת מייל: www.sviva.gov.il"/>
                  <pic:cNvPicPr preferRelativeResize="0"/>
                </pic:nvPicPr>
                <pic:blipFill rotWithShape="1">
                  <a:blip r:embed="rId1" cstate="print">
                    <a:extLst>
                      <a:ext uri="{28A0092B-C50C-407E-A947-70E740481C1C}">
                        <a14:useLocalDpi xmlns:a14="http://schemas.microsoft.com/office/drawing/2010/main" val="0"/>
                      </a:ext>
                    </a:extLst>
                  </a:blip>
                  <a:srcRect l="1852" r="1852" b="29630"/>
                  <a:stretch/>
                </pic:blipFill>
                <pic:spPr bwMode="auto">
                  <a:xfrm>
                    <a:off x="0" y="0"/>
                    <a:ext cx="7524750" cy="7239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sdt>
      <w:sdtPr>
        <w:id w:val="1947114051"/>
        <w:docPartObj>
          <w:docPartGallery w:val="Page Numbers (Bottom of Page)"/>
          <w:docPartUnique/>
        </w:docPartObj>
      </w:sdtPr>
      <w:sdtContent>
        <w:r w:rsidRPr="00FF7B46">
          <w:rPr>
            <w:rFonts w:asciiTheme="majorHAnsi" w:hAnsiTheme="majorHAnsi" w:cstheme="majorHAnsi"/>
            <w:sz w:val="20"/>
            <w:szCs w:val="20"/>
          </w:rPr>
          <w:fldChar w:fldCharType="begin"/>
        </w:r>
        <w:r w:rsidRPr="00FF7B46">
          <w:rPr>
            <w:rFonts w:asciiTheme="majorHAnsi" w:hAnsiTheme="majorHAnsi" w:cstheme="majorHAnsi"/>
            <w:sz w:val="20"/>
            <w:szCs w:val="20"/>
          </w:rPr>
          <w:instrText xml:space="preserve"> PAGE   \* MERGEFORMAT </w:instrText>
        </w:r>
        <w:r w:rsidRPr="00FF7B46">
          <w:rPr>
            <w:rFonts w:asciiTheme="majorHAnsi" w:hAnsiTheme="majorHAnsi" w:cstheme="majorHAnsi"/>
            <w:sz w:val="20"/>
            <w:szCs w:val="20"/>
          </w:rPr>
          <w:fldChar w:fldCharType="separate"/>
        </w:r>
        <w:r w:rsidR="006E5410">
          <w:rPr>
            <w:rFonts w:asciiTheme="majorHAnsi" w:hAnsiTheme="majorHAnsi" w:cstheme="majorHAnsi"/>
            <w:noProof/>
            <w:sz w:val="20"/>
            <w:szCs w:val="20"/>
          </w:rPr>
          <w:t>1</w:t>
        </w:r>
        <w:r w:rsidRPr="00FF7B46">
          <w:rPr>
            <w:rFonts w:asciiTheme="majorHAnsi" w:hAnsiTheme="majorHAnsi" w:cstheme="majorHAnsi"/>
            <w:noProof/>
            <w:sz w:val="20"/>
            <w:szCs w:val="20"/>
          </w:rPr>
          <w:fldChar w:fldCharType="end"/>
        </w:r>
      </w:sdtContent>
    </w:sdt>
  </w:p>
  <w:p w14:paraId="4B826DCA" w14:textId="77777777" w:rsidR="00455D63" w:rsidRDefault="00455D63" w:rsidP="00AF123A">
    <w:pPr>
      <w:tabs>
        <w:tab w:val="left" w:pos="867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922D0F" w14:textId="77777777" w:rsidR="009155E5" w:rsidRDefault="009155E5">
      <w:pPr>
        <w:spacing w:line="240" w:lineRule="auto"/>
      </w:pPr>
      <w:r>
        <w:separator/>
      </w:r>
    </w:p>
  </w:footnote>
  <w:footnote w:type="continuationSeparator" w:id="0">
    <w:p w14:paraId="1A6E3368" w14:textId="77777777" w:rsidR="009155E5" w:rsidRDefault="009155E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6420" w14:textId="47F18C0D" w:rsidR="00455D63" w:rsidRDefault="00455D63">
    <w:r>
      <w:rPr>
        <w:noProof/>
        <w:lang w:val="en-US"/>
      </w:rPr>
      <w:drawing>
        <wp:anchor distT="0" distB="0" distL="114300" distR="114300" simplePos="0" relativeHeight="251662336" behindDoc="0" locked="0" layoutInCell="1" allowOverlap="1" wp14:anchorId="59AC524F" wp14:editId="63AD58E4">
          <wp:simplePos x="0" y="0"/>
          <wp:positionH relativeFrom="column">
            <wp:posOffset>-783590</wp:posOffset>
          </wp:positionH>
          <wp:positionV relativeFrom="paragraph">
            <wp:posOffset>-88900</wp:posOffset>
          </wp:positionV>
          <wp:extent cx="7467600" cy="1651000"/>
          <wp:effectExtent l="0" t="0" r="0" b="6350"/>
          <wp:wrapSquare wrapText="bothSides"/>
          <wp:docPr id="31" name="image2.jpg" descr="סמל של המשרד להגנת הסביבה"/>
          <wp:cNvGraphicFramePr/>
          <a:graphic xmlns:a="http://schemas.openxmlformats.org/drawingml/2006/main">
            <a:graphicData uri="http://schemas.openxmlformats.org/drawingml/2006/picture">
              <pic:pic xmlns:pic="http://schemas.openxmlformats.org/drawingml/2006/picture">
                <pic:nvPicPr>
                  <pic:cNvPr id="31" name="image2.jpg" descr="סמל של המשרד להגנת הסביבה"/>
                  <pic:cNvPicPr preferRelativeResize="0"/>
                </pic:nvPicPr>
                <pic:blipFill>
                  <a:blip r:embed="rId1" cstate="print">
                    <a:extLst>
                      <a:ext uri="{28A0092B-C50C-407E-A947-70E740481C1C}">
                        <a14:useLocalDpi xmlns:a14="http://schemas.microsoft.com/office/drawing/2010/main" val="0"/>
                      </a:ext>
                    </a:extLst>
                  </a:blip>
                  <a:srcRect l="1574" r="1574"/>
                  <a:stretch>
                    <a:fillRect/>
                  </a:stretch>
                </pic:blipFill>
                <pic:spPr>
                  <a:xfrm>
                    <a:off x="0" y="0"/>
                    <a:ext cx="7467600" cy="1651000"/>
                  </a:xfrm>
                  <a:prstGeom prst="rect">
                    <a:avLst/>
                  </a:prstGeom>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3F629A"/>
    <w:multiLevelType w:val="hybridMultilevel"/>
    <w:tmpl w:val="E618C062"/>
    <w:lvl w:ilvl="0" w:tplc="04090013">
      <w:start w:val="1"/>
      <w:numFmt w:val="hebrew1"/>
      <w:lvlText w:val="%1."/>
      <w:lvlJc w:val="center"/>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0694BD3"/>
    <w:multiLevelType w:val="hybridMultilevel"/>
    <w:tmpl w:val="31005B42"/>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78A3B97"/>
    <w:multiLevelType w:val="hybridMultilevel"/>
    <w:tmpl w:val="7A4E5D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EA4162"/>
    <w:multiLevelType w:val="hybridMultilevel"/>
    <w:tmpl w:val="299827DE"/>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CA86334"/>
    <w:multiLevelType w:val="hybridMultilevel"/>
    <w:tmpl w:val="4ADAE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847397D"/>
    <w:multiLevelType w:val="hybridMultilevel"/>
    <w:tmpl w:val="71D8085E"/>
    <w:lvl w:ilvl="0" w:tplc="7A963CD6">
      <w:start w:val="1"/>
      <w:numFmt w:val="bullet"/>
      <w:lvlText w:val="•"/>
      <w:lvlJc w:val="left"/>
      <w:pPr>
        <w:tabs>
          <w:tab w:val="num" w:pos="720"/>
        </w:tabs>
        <w:ind w:left="720" w:hanging="360"/>
      </w:pPr>
      <w:rPr>
        <w:rFonts w:ascii="Times New Roman" w:hAnsi="Times New Roman" w:hint="default"/>
      </w:rPr>
    </w:lvl>
    <w:lvl w:ilvl="1" w:tplc="47001780" w:tentative="1">
      <w:start w:val="1"/>
      <w:numFmt w:val="bullet"/>
      <w:lvlText w:val="•"/>
      <w:lvlJc w:val="left"/>
      <w:pPr>
        <w:tabs>
          <w:tab w:val="num" w:pos="1440"/>
        </w:tabs>
        <w:ind w:left="1440" w:hanging="360"/>
      </w:pPr>
      <w:rPr>
        <w:rFonts w:ascii="Times New Roman" w:hAnsi="Times New Roman" w:hint="default"/>
      </w:rPr>
    </w:lvl>
    <w:lvl w:ilvl="2" w:tplc="E926E32C" w:tentative="1">
      <w:start w:val="1"/>
      <w:numFmt w:val="bullet"/>
      <w:lvlText w:val="•"/>
      <w:lvlJc w:val="left"/>
      <w:pPr>
        <w:tabs>
          <w:tab w:val="num" w:pos="2160"/>
        </w:tabs>
        <w:ind w:left="2160" w:hanging="360"/>
      </w:pPr>
      <w:rPr>
        <w:rFonts w:ascii="Times New Roman" w:hAnsi="Times New Roman" w:hint="default"/>
      </w:rPr>
    </w:lvl>
    <w:lvl w:ilvl="3" w:tplc="D166EA18" w:tentative="1">
      <w:start w:val="1"/>
      <w:numFmt w:val="bullet"/>
      <w:lvlText w:val="•"/>
      <w:lvlJc w:val="left"/>
      <w:pPr>
        <w:tabs>
          <w:tab w:val="num" w:pos="2880"/>
        </w:tabs>
        <w:ind w:left="2880" w:hanging="360"/>
      </w:pPr>
      <w:rPr>
        <w:rFonts w:ascii="Times New Roman" w:hAnsi="Times New Roman" w:hint="default"/>
      </w:rPr>
    </w:lvl>
    <w:lvl w:ilvl="4" w:tplc="3C8A0816" w:tentative="1">
      <w:start w:val="1"/>
      <w:numFmt w:val="bullet"/>
      <w:lvlText w:val="•"/>
      <w:lvlJc w:val="left"/>
      <w:pPr>
        <w:tabs>
          <w:tab w:val="num" w:pos="3600"/>
        </w:tabs>
        <w:ind w:left="3600" w:hanging="360"/>
      </w:pPr>
      <w:rPr>
        <w:rFonts w:ascii="Times New Roman" w:hAnsi="Times New Roman" w:hint="default"/>
      </w:rPr>
    </w:lvl>
    <w:lvl w:ilvl="5" w:tplc="7C681BAA" w:tentative="1">
      <w:start w:val="1"/>
      <w:numFmt w:val="bullet"/>
      <w:lvlText w:val="•"/>
      <w:lvlJc w:val="left"/>
      <w:pPr>
        <w:tabs>
          <w:tab w:val="num" w:pos="4320"/>
        </w:tabs>
        <w:ind w:left="4320" w:hanging="360"/>
      </w:pPr>
      <w:rPr>
        <w:rFonts w:ascii="Times New Roman" w:hAnsi="Times New Roman" w:hint="default"/>
      </w:rPr>
    </w:lvl>
    <w:lvl w:ilvl="6" w:tplc="A3AEE3F8" w:tentative="1">
      <w:start w:val="1"/>
      <w:numFmt w:val="bullet"/>
      <w:lvlText w:val="•"/>
      <w:lvlJc w:val="left"/>
      <w:pPr>
        <w:tabs>
          <w:tab w:val="num" w:pos="5040"/>
        </w:tabs>
        <w:ind w:left="5040" w:hanging="360"/>
      </w:pPr>
      <w:rPr>
        <w:rFonts w:ascii="Times New Roman" w:hAnsi="Times New Roman" w:hint="default"/>
      </w:rPr>
    </w:lvl>
    <w:lvl w:ilvl="7" w:tplc="543E519C" w:tentative="1">
      <w:start w:val="1"/>
      <w:numFmt w:val="bullet"/>
      <w:lvlText w:val="•"/>
      <w:lvlJc w:val="left"/>
      <w:pPr>
        <w:tabs>
          <w:tab w:val="num" w:pos="5760"/>
        </w:tabs>
        <w:ind w:left="5760" w:hanging="360"/>
      </w:pPr>
      <w:rPr>
        <w:rFonts w:ascii="Times New Roman" w:hAnsi="Times New Roman" w:hint="default"/>
      </w:rPr>
    </w:lvl>
    <w:lvl w:ilvl="8" w:tplc="61CA0846" w:tentative="1">
      <w:start w:val="1"/>
      <w:numFmt w:val="bullet"/>
      <w:lvlText w:val="•"/>
      <w:lvlJc w:val="left"/>
      <w:pPr>
        <w:tabs>
          <w:tab w:val="num" w:pos="6480"/>
        </w:tabs>
        <w:ind w:left="6480" w:hanging="360"/>
      </w:pPr>
      <w:rPr>
        <w:rFonts w:ascii="Times New Roman" w:hAnsi="Times New Roman" w:hint="default"/>
      </w:rPr>
    </w:lvl>
  </w:abstractNum>
  <w:abstractNum w:abstractNumId="6" w15:restartNumberingAfterBreak="0">
    <w:nsid w:val="56111C12"/>
    <w:multiLevelType w:val="hybridMultilevel"/>
    <w:tmpl w:val="4ADAEB2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B9E1457"/>
    <w:multiLevelType w:val="hybridMultilevel"/>
    <w:tmpl w:val="4DDA16C0"/>
    <w:lvl w:ilvl="0" w:tplc="F3525B04">
      <w:start w:val="1"/>
      <w:numFmt w:val="decimal"/>
      <w:lvlText w:val="%1."/>
      <w:lvlJc w:val="left"/>
      <w:pPr>
        <w:tabs>
          <w:tab w:val="num" w:pos="720"/>
        </w:tabs>
        <w:ind w:left="720" w:hanging="360"/>
      </w:pPr>
    </w:lvl>
    <w:lvl w:ilvl="1" w:tplc="04090013">
      <w:start w:val="1"/>
      <w:numFmt w:val="hebrew1"/>
      <w:lvlText w:val="%2."/>
      <w:lvlJc w:val="center"/>
      <w:pPr>
        <w:tabs>
          <w:tab w:val="num" w:pos="1440"/>
        </w:tabs>
        <w:ind w:left="1440" w:hanging="360"/>
      </w:pPr>
    </w:lvl>
    <w:lvl w:ilvl="2" w:tplc="F8BE226A" w:tentative="1">
      <w:start w:val="1"/>
      <w:numFmt w:val="decimal"/>
      <w:lvlText w:val="%3."/>
      <w:lvlJc w:val="left"/>
      <w:pPr>
        <w:tabs>
          <w:tab w:val="num" w:pos="2160"/>
        </w:tabs>
        <w:ind w:left="2160" w:hanging="360"/>
      </w:pPr>
    </w:lvl>
    <w:lvl w:ilvl="3" w:tplc="8C32CC46" w:tentative="1">
      <w:start w:val="1"/>
      <w:numFmt w:val="decimal"/>
      <w:lvlText w:val="%4."/>
      <w:lvlJc w:val="left"/>
      <w:pPr>
        <w:tabs>
          <w:tab w:val="num" w:pos="2880"/>
        </w:tabs>
        <w:ind w:left="2880" w:hanging="360"/>
      </w:pPr>
    </w:lvl>
    <w:lvl w:ilvl="4" w:tplc="2616705E" w:tentative="1">
      <w:start w:val="1"/>
      <w:numFmt w:val="decimal"/>
      <w:lvlText w:val="%5."/>
      <w:lvlJc w:val="left"/>
      <w:pPr>
        <w:tabs>
          <w:tab w:val="num" w:pos="3600"/>
        </w:tabs>
        <w:ind w:left="3600" w:hanging="360"/>
      </w:pPr>
    </w:lvl>
    <w:lvl w:ilvl="5" w:tplc="3C4815F6" w:tentative="1">
      <w:start w:val="1"/>
      <w:numFmt w:val="decimal"/>
      <w:lvlText w:val="%6."/>
      <w:lvlJc w:val="left"/>
      <w:pPr>
        <w:tabs>
          <w:tab w:val="num" w:pos="4320"/>
        </w:tabs>
        <w:ind w:left="4320" w:hanging="360"/>
      </w:pPr>
    </w:lvl>
    <w:lvl w:ilvl="6" w:tplc="E9F4B80E" w:tentative="1">
      <w:start w:val="1"/>
      <w:numFmt w:val="decimal"/>
      <w:lvlText w:val="%7."/>
      <w:lvlJc w:val="left"/>
      <w:pPr>
        <w:tabs>
          <w:tab w:val="num" w:pos="5040"/>
        </w:tabs>
        <w:ind w:left="5040" w:hanging="360"/>
      </w:pPr>
    </w:lvl>
    <w:lvl w:ilvl="7" w:tplc="98E4DE90" w:tentative="1">
      <w:start w:val="1"/>
      <w:numFmt w:val="decimal"/>
      <w:lvlText w:val="%8."/>
      <w:lvlJc w:val="left"/>
      <w:pPr>
        <w:tabs>
          <w:tab w:val="num" w:pos="5760"/>
        </w:tabs>
        <w:ind w:left="5760" w:hanging="360"/>
      </w:pPr>
    </w:lvl>
    <w:lvl w:ilvl="8" w:tplc="DC9E4324" w:tentative="1">
      <w:start w:val="1"/>
      <w:numFmt w:val="decimal"/>
      <w:lvlText w:val="%9."/>
      <w:lvlJc w:val="left"/>
      <w:pPr>
        <w:tabs>
          <w:tab w:val="num" w:pos="6480"/>
        </w:tabs>
        <w:ind w:left="6480" w:hanging="360"/>
      </w:pPr>
    </w:lvl>
  </w:abstractNum>
  <w:abstractNum w:abstractNumId="8" w15:restartNumberingAfterBreak="0">
    <w:nsid w:val="5E541785"/>
    <w:multiLevelType w:val="hybridMultilevel"/>
    <w:tmpl w:val="4ADAEB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4D63A06"/>
    <w:multiLevelType w:val="hybridMultilevel"/>
    <w:tmpl w:val="58E4A92C"/>
    <w:lvl w:ilvl="0" w:tplc="04090013">
      <w:start w:val="1"/>
      <w:numFmt w:val="hebrew1"/>
      <w:lvlText w:val="%1."/>
      <w:lvlJc w:val="center"/>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6A593288"/>
    <w:multiLevelType w:val="hybridMultilevel"/>
    <w:tmpl w:val="391E7C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1BD3D2A"/>
    <w:multiLevelType w:val="hybridMultilevel"/>
    <w:tmpl w:val="2ABCE95E"/>
    <w:lvl w:ilvl="0" w:tplc="BFB28A6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76071973">
    <w:abstractNumId w:val="7"/>
  </w:num>
  <w:num w:numId="2" w16cid:durableId="752778694">
    <w:abstractNumId w:val="9"/>
  </w:num>
  <w:num w:numId="3" w16cid:durableId="33434831">
    <w:abstractNumId w:val="1"/>
  </w:num>
  <w:num w:numId="4" w16cid:durableId="374156088">
    <w:abstractNumId w:val="5"/>
  </w:num>
  <w:num w:numId="5" w16cid:durableId="443421663">
    <w:abstractNumId w:val="0"/>
  </w:num>
  <w:num w:numId="6" w16cid:durableId="594367582">
    <w:abstractNumId w:val="3"/>
  </w:num>
  <w:num w:numId="7" w16cid:durableId="1842230963">
    <w:abstractNumId w:val="2"/>
  </w:num>
  <w:num w:numId="8" w16cid:durableId="1811970211">
    <w:abstractNumId w:val="11"/>
  </w:num>
  <w:num w:numId="9" w16cid:durableId="888759016">
    <w:abstractNumId w:val="10"/>
  </w:num>
  <w:num w:numId="10" w16cid:durableId="269624099">
    <w:abstractNumId w:val="8"/>
  </w:num>
  <w:num w:numId="11" w16cid:durableId="661003180">
    <w:abstractNumId w:val="6"/>
  </w:num>
  <w:num w:numId="12" w16cid:durableId="162277940">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7984"/>
    <w:rsid w:val="00003BDA"/>
    <w:rsid w:val="00013445"/>
    <w:rsid w:val="00014963"/>
    <w:rsid w:val="000151A4"/>
    <w:rsid w:val="000164FC"/>
    <w:rsid w:val="000206FF"/>
    <w:rsid w:val="00022427"/>
    <w:rsid w:val="000250CD"/>
    <w:rsid w:val="00025949"/>
    <w:rsid w:val="000419C4"/>
    <w:rsid w:val="000425C9"/>
    <w:rsid w:val="0004508C"/>
    <w:rsid w:val="000470A0"/>
    <w:rsid w:val="00050796"/>
    <w:rsid w:val="00054BC2"/>
    <w:rsid w:val="00057597"/>
    <w:rsid w:val="0006085A"/>
    <w:rsid w:val="0006712F"/>
    <w:rsid w:val="00070FB8"/>
    <w:rsid w:val="00074C05"/>
    <w:rsid w:val="000B0CB3"/>
    <w:rsid w:val="000B1DEC"/>
    <w:rsid w:val="000B4A36"/>
    <w:rsid w:val="000B69F3"/>
    <w:rsid w:val="000D2084"/>
    <w:rsid w:val="000D3078"/>
    <w:rsid w:val="000D6A35"/>
    <w:rsid w:val="000E5E2D"/>
    <w:rsid w:val="000E75A4"/>
    <w:rsid w:val="00101095"/>
    <w:rsid w:val="00105278"/>
    <w:rsid w:val="00111EAE"/>
    <w:rsid w:val="00117E10"/>
    <w:rsid w:val="00121596"/>
    <w:rsid w:val="001314F9"/>
    <w:rsid w:val="00135D62"/>
    <w:rsid w:val="00136539"/>
    <w:rsid w:val="00136BB9"/>
    <w:rsid w:val="00141D98"/>
    <w:rsid w:val="001451F3"/>
    <w:rsid w:val="0014618B"/>
    <w:rsid w:val="00154B8F"/>
    <w:rsid w:val="001562E2"/>
    <w:rsid w:val="00164D38"/>
    <w:rsid w:val="00171121"/>
    <w:rsid w:val="0017233C"/>
    <w:rsid w:val="00172C89"/>
    <w:rsid w:val="00174557"/>
    <w:rsid w:val="00174829"/>
    <w:rsid w:val="00175EC6"/>
    <w:rsid w:val="001768D9"/>
    <w:rsid w:val="0019524B"/>
    <w:rsid w:val="001A2811"/>
    <w:rsid w:val="001A3745"/>
    <w:rsid w:val="001A4AC8"/>
    <w:rsid w:val="001B1709"/>
    <w:rsid w:val="001C0CC1"/>
    <w:rsid w:val="001C1163"/>
    <w:rsid w:val="001D16D0"/>
    <w:rsid w:val="001D1C10"/>
    <w:rsid w:val="001E045E"/>
    <w:rsid w:val="001E74E9"/>
    <w:rsid w:val="001F1161"/>
    <w:rsid w:val="001F1CA8"/>
    <w:rsid w:val="001F3D94"/>
    <w:rsid w:val="001F6842"/>
    <w:rsid w:val="001F6EE0"/>
    <w:rsid w:val="00202385"/>
    <w:rsid w:val="00207E50"/>
    <w:rsid w:val="00207F6A"/>
    <w:rsid w:val="00210ADE"/>
    <w:rsid w:val="00210C79"/>
    <w:rsid w:val="00212660"/>
    <w:rsid w:val="00213619"/>
    <w:rsid w:val="00214C78"/>
    <w:rsid w:val="00225684"/>
    <w:rsid w:val="00234C10"/>
    <w:rsid w:val="002513DF"/>
    <w:rsid w:val="0025308C"/>
    <w:rsid w:val="00253716"/>
    <w:rsid w:val="00267D5A"/>
    <w:rsid w:val="0027559C"/>
    <w:rsid w:val="00276839"/>
    <w:rsid w:val="00280B61"/>
    <w:rsid w:val="002850A2"/>
    <w:rsid w:val="00286E71"/>
    <w:rsid w:val="00292379"/>
    <w:rsid w:val="00297E5A"/>
    <w:rsid w:val="002A1F9C"/>
    <w:rsid w:val="002A2E40"/>
    <w:rsid w:val="002A3025"/>
    <w:rsid w:val="002A6A92"/>
    <w:rsid w:val="002A78A8"/>
    <w:rsid w:val="002B2A9E"/>
    <w:rsid w:val="002B489D"/>
    <w:rsid w:val="002B48A8"/>
    <w:rsid w:val="002B73BA"/>
    <w:rsid w:val="002C206D"/>
    <w:rsid w:val="002C33D6"/>
    <w:rsid w:val="002C77E4"/>
    <w:rsid w:val="002D02E7"/>
    <w:rsid w:val="002D32C5"/>
    <w:rsid w:val="002E2352"/>
    <w:rsid w:val="002E38A5"/>
    <w:rsid w:val="002E7020"/>
    <w:rsid w:val="002F0B63"/>
    <w:rsid w:val="002F1254"/>
    <w:rsid w:val="00300E3E"/>
    <w:rsid w:val="0030114A"/>
    <w:rsid w:val="00306D53"/>
    <w:rsid w:val="00307CCD"/>
    <w:rsid w:val="0031548E"/>
    <w:rsid w:val="003161B7"/>
    <w:rsid w:val="003231FA"/>
    <w:rsid w:val="0032568E"/>
    <w:rsid w:val="00327FA3"/>
    <w:rsid w:val="00334179"/>
    <w:rsid w:val="00340B3B"/>
    <w:rsid w:val="003440E4"/>
    <w:rsid w:val="00346407"/>
    <w:rsid w:val="003538FD"/>
    <w:rsid w:val="00364CE3"/>
    <w:rsid w:val="00366255"/>
    <w:rsid w:val="003675BC"/>
    <w:rsid w:val="003710F9"/>
    <w:rsid w:val="00375F3C"/>
    <w:rsid w:val="0038259E"/>
    <w:rsid w:val="00384112"/>
    <w:rsid w:val="00384BDF"/>
    <w:rsid w:val="003936A6"/>
    <w:rsid w:val="003970B1"/>
    <w:rsid w:val="003A1837"/>
    <w:rsid w:val="003A3720"/>
    <w:rsid w:val="003A51FD"/>
    <w:rsid w:val="003A74E8"/>
    <w:rsid w:val="003A7F34"/>
    <w:rsid w:val="003B0BBF"/>
    <w:rsid w:val="003B39F7"/>
    <w:rsid w:val="003B741E"/>
    <w:rsid w:val="003C1E9B"/>
    <w:rsid w:val="003D19C2"/>
    <w:rsid w:val="003E6ECB"/>
    <w:rsid w:val="003F47F2"/>
    <w:rsid w:val="003F6FDB"/>
    <w:rsid w:val="00401BBC"/>
    <w:rsid w:val="004130B6"/>
    <w:rsid w:val="00425A85"/>
    <w:rsid w:val="00427E9F"/>
    <w:rsid w:val="0043296F"/>
    <w:rsid w:val="00433A7B"/>
    <w:rsid w:val="00434A7B"/>
    <w:rsid w:val="0043720F"/>
    <w:rsid w:val="00444219"/>
    <w:rsid w:val="00450A2A"/>
    <w:rsid w:val="00451B92"/>
    <w:rsid w:val="00454538"/>
    <w:rsid w:val="00455B78"/>
    <w:rsid w:val="00455D63"/>
    <w:rsid w:val="004872CB"/>
    <w:rsid w:val="004907ED"/>
    <w:rsid w:val="00492D6E"/>
    <w:rsid w:val="004A17EF"/>
    <w:rsid w:val="004A2B4B"/>
    <w:rsid w:val="004A459C"/>
    <w:rsid w:val="004A627D"/>
    <w:rsid w:val="004A7877"/>
    <w:rsid w:val="004A7F9B"/>
    <w:rsid w:val="004B54CA"/>
    <w:rsid w:val="004C0BBE"/>
    <w:rsid w:val="004C4B3B"/>
    <w:rsid w:val="004D0B5E"/>
    <w:rsid w:val="004D196F"/>
    <w:rsid w:val="004D21B9"/>
    <w:rsid w:val="004E6B66"/>
    <w:rsid w:val="004F74F5"/>
    <w:rsid w:val="00510935"/>
    <w:rsid w:val="00512413"/>
    <w:rsid w:val="00516FDB"/>
    <w:rsid w:val="005331FA"/>
    <w:rsid w:val="00533DAD"/>
    <w:rsid w:val="0054199B"/>
    <w:rsid w:val="005427AA"/>
    <w:rsid w:val="00546F31"/>
    <w:rsid w:val="00546F4D"/>
    <w:rsid w:val="00547984"/>
    <w:rsid w:val="00550F9A"/>
    <w:rsid w:val="00552F46"/>
    <w:rsid w:val="005604F4"/>
    <w:rsid w:val="00584B3B"/>
    <w:rsid w:val="0059677A"/>
    <w:rsid w:val="005A7D60"/>
    <w:rsid w:val="005B2712"/>
    <w:rsid w:val="005B54A1"/>
    <w:rsid w:val="005B6571"/>
    <w:rsid w:val="005B766D"/>
    <w:rsid w:val="005C3FDE"/>
    <w:rsid w:val="005E1DA7"/>
    <w:rsid w:val="005E319A"/>
    <w:rsid w:val="005F0B19"/>
    <w:rsid w:val="005F1C7B"/>
    <w:rsid w:val="005F37F9"/>
    <w:rsid w:val="006026BD"/>
    <w:rsid w:val="0060411E"/>
    <w:rsid w:val="00604CBD"/>
    <w:rsid w:val="006272CF"/>
    <w:rsid w:val="0063328C"/>
    <w:rsid w:val="00636DE5"/>
    <w:rsid w:val="00640174"/>
    <w:rsid w:val="00642561"/>
    <w:rsid w:val="006548F2"/>
    <w:rsid w:val="006617D5"/>
    <w:rsid w:val="006620F2"/>
    <w:rsid w:val="00677D31"/>
    <w:rsid w:val="00694F13"/>
    <w:rsid w:val="006A0221"/>
    <w:rsid w:val="006A5DE0"/>
    <w:rsid w:val="006B35E3"/>
    <w:rsid w:val="006B7762"/>
    <w:rsid w:val="006C1593"/>
    <w:rsid w:val="006C233A"/>
    <w:rsid w:val="006C48DD"/>
    <w:rsid w:val="006D30F4"/>
    <w:rsid w:val="006E1C5D"/>
    <w:rsid w:val="006E5410"/>
    <w:rsid w:val="006E78EC"/>
    <w:rsid w:val="006F3577"/>
    <w:rsid w:val="006F41AC"/>
    <w:rsid w:val="006F48B7"/>
    <w:rsid w:val="006F5AF3"/>
    <w:rsid w:val="007015A2"/>
    <w:rsid w:val="0070581A"/>
    <w:rsid w:val="00713A00"/>
    <w:rsid w:val="007144DB"/>
    <w:rsid w:val="007216CD"/>
    <w:rsid w:val="00730C6E"/>
    <w:rsid w:val="00733791"/>
    <w:rsid w:val="00734AAA"/>
    <w:rsid w:val="00737887"/>
    <w:rsid w:val="0074385B"/>
    <w:rsid w:val="007460E0"/>
    <w:rsid w:val="00752B9A"/>
    <w:rsid w:val="007536F7"/>
    <w:rsid w:val="00753884"/>
    <w:rsid w:val="00753EC9"/>
    <w:rsid w:val="00756747"/>
    <w:rsid w:val="00757DB9"/>
    <w:rsid w:val="00762FED"/>
    <w:rsid w:val="007630A9"/>
    <w:rsid w:val="00763C06"/>
    <w:rsid w:val="00763DBC"/>
    <w:rsid w:val="00767649"/>
    <w:rsid w:val="00771C4D"/>
    <w:rsid w:val="0078280C"/>
    <w:rsid w:val="00783DB0"/>
    <w:rsid w:val="00786A40"/>
    <w:rsid w:val="0079014B"/>
    <w:rsid w:val="007932F6"/>
    <w:rsid w:val="007A4B0C"/>
    <w:rsid w:val="007A797C"/>
    <w:rsid w:val="007C28EA"/>
    <w:rsid w:val="007D1E62"/>
    <w:rsid w:val="007E0EAC"/>
    <w:rsid w:val="007F00A5"/>
    <w:rsid w:val="007F289F"/>
    <w:rsid w:val="0080380F"/>
    <w:rsid w:val="008051B6"/>
    <w:rsid w:val="008114D8"/>
    <w:rsid w:val="008216D2"/>
    <w:rsid w:val="0083155E"/>
    <w:rsid w:val="0084370D"/>
    <w:rsid w:val="00850D98"/>
    <w:rsid w:val="008533F1"/>
    <w:rsid w:val="00872EB9"/>
    <w:rsid w:val="008765C0"/>
    <w:rsid w:val="00876DA3"/>
    <w:rsid w:val="00877D7B"/>
    <w:rsid w:val="008806F4"/>
    <w:rsid w:val="00880C98"/>
    <w:rsid w:val="00881E11"/>
    <w:rsid w:val="00891D3C"/>
    <w:rsid w:val="008B4128"/>
    <w:rsid w:val="008B5626"/>
    <w:rsid w:val="008D05BE"/>
    <w:rsid w:val="008D5103"/>
    <w:rsid w:val="008D7495"/>
    <w:rsid w:val="008E53EE"/>
    <w:rsid w:val="008E63CC"/>
    <w:rsid w:val="008F1F5D"/>
    <w:rsid w:val="008F4A29"/>
    <w:rsid w:val="008F6D12"/>
    <w:rsid w:val="009155E5"/>
    <w:rsid w:val="00923B1D"/>
    <w:rsid w:val="00925B49"/>
    <w:rsid w:val="00926F11"/>
    <w:rsid w:val="009347B6"/>
    <w:rsid w:val="00935EEF"/>
    <w:rsid w:val="00937FFE"/>
    <w:rsid w:val="009449F8"/>
    <w:rsid w:val="00950231"/>
    <w:rsid w:val="00952848"/>
    <w:rsid w:val="0095529A"/>
    <w:rsid w:val="00963A1B"/>
    <w:rsid w:val="00965F82"/>
    <w:rsid w:val="00966271"/>
    <w:rsid w:val="00975B50"/>
    <w:rsid w:val="009767C4"/>
    <w:rsid w:val="00980F02"/>
    <w:rsid w:val="00982D1C"/>
    <w:rsid w:val="009854A6"/>
    <w:rsid w:val="00991EE3"/>
    <w:rsid w:val="0099242D"/>
    <w:rsid w:val="009A26F2"/>
    <w:rsid w:val="009A3811"/>
    <w:rsid w:val="009A3F46"/>
    <w:rsid w:val="009A787E"/>
    <w:rsid w:val="009B2A82"/>
    <w:rsid w:val="009B4A59"/>
    <w:rsid w:val="009B6E0E"/>
    <w:rsid w:val="009C01D8"/>
    <w:rsid w:val="009C2FFC"/>
    <w:rsid w:val="009D4837"/>
    <w:rsid w:val="009D5B5C"/>
    <w:rsid w:val="009E73FD"/>
    <w:rsid w:val="009F06F2"/>
    <w:rsid w:val="009F1396"/>
    <w:rsid w:val="009F4671"/>
    <w:rsid w:val="009F6DA4"/>
    <w:rsid w:val="009F6E18"/>
    <w:rsid w:val="00A01E8C"/>
    <w:rsid w:val="00A02D29"/>
    <w:rsid w:val="00A05994"/>
    <w:rsid w:val="00A0633E"/>
    <w:rsid w:val="00A07B79"/>
    <w:rsid w:val="00A130C1"/>
    <w:rsid w:val="00A21922"/>
    <w:rsid w:val="00A24723"/>
    <w:rsid w:val="00A26F03"/>
    <w:rsid w:val="00A3118A"/>
    <w:rsid w:val="00A34108"/>
    <w:rsid w:val="00A35349"/>
    <w:rsid w:val="00A46CB1"/>
    <w:rsid w:val="00A53381"/>
    <w:rsid w:val="00A53D52"/>
    <w:rsid w:val="00A712A4"/>
    <w:rsid w:val="00A76FE1"/>
    <w:rsid w:val="00A773E3"/>
    <w:rsid w:val="00A97890"/>
    <w:rsid w:val="00A97C64"/>
    <w:rsid w:val="00AA23E8"/>
    <w:rsid w:val="00AA35E9"/>
    <w:rsid w:val="00AB0EE2"/>
    <w:rsid w:val="00AB1CCC"/>
    <w:rsid w:val="00AB7478"/>
    <w:rsid w:val="00AC6DC3"/>
    <w:rsid w:val="00AE1ACB"/>
    <w:rsid w:val="00AE54E0"/>
    <w:rsid w:val="00AF0AE5"/>
    <w:rsid w:val="00AF123A"/>
    <w:rsid w:val="00AF15C0"/>
    <w:rsid w:val="00AF48A8"/>
    <w:rsid w:val="00AF4B09"/>
    <w:rsid w:val="00B00F94"/>
    <w:rsid w:val="00B00FF4"/>
    <w:rsid w:val="00B02D0E"/>
    <w:rsid w:val="00B03097"/>
    <w:rsid w:val="00B06E19"/>
    <w:rsid w:val="00B1575D"/>
    <w:rsid w:val="00B15DB4"/>
    <w:rsid w:val="00B16DC1"/>
    <w:rsid w:val="00B2181E"/>
    <w:rsid w:val="00B235D6"/>
    <w:rsid w:val="00B26556"/>
    <w:rsid w:val="00B31B70"/>
    <w:rsid w:val="00B339E3"/>
    <w:rsid w:val="00B33ACD"/>
    <w:rsid w:val="00B34247"/>
    <w:rsid w:val="00B37FFC"/>
    <w:rsid w:val="00B40462"/>
    <w:rsid w:val="00B43FB8"/>
    <w:rsid w:val="00B47BC8"/>
    <w:rsid w:val="00B54D10"/>
    <w:rsid w:val="00B60070"/>
    <w:rsid w:val="00B62AA4"/>
    <w:rsid w:val="00B62EBD"/>
    <w:rsid w:val="00B6347E"/>
    <w:rsid w:val="00B64852"/>
    <w:rsid w:val="00B75E25"/>
    <w:rsid w:val="00B81B67"/>
    <w:rsid w:val="00B82BFC"/>
    <w:rsid w:val="00B83248"/>
    <w:rsid w:val="00B84280"/>
    <w:rsid w:val="00B86704"/>
    <w:rsid w:val="00B94C72"/>
    <w:rsid w:val="00B97637"/>
    <w:rsid w:val="00BA1A57"/>
    <w:rsid w:val="00BA2021"/>
    <w:rsid w:val="00BA38E0"/>
    <w:rsid w:val="00BB34D9"/>
    <w:rsid w:val="00BC30F5"/>
    <w:rsid w:val="00BD2057"/>
    <w:rsid w:val="00BD3E90"/>
    <w:rsid w:val="00BE6532"/>
    <w:rsid w:val="00BE6620"/>
    <w:rsid w:val="00BF0F4E"/>
    <w:rsid w:val="00BF22DA"/>
    <w:rsid w:val="00C05F06"/>
    <w:rsid w:val="00C15783"/>
    <w:rsid w:val="00C21691"/>
    <w:rsid w:val="00C223CD"/>
    <w:rsid w:val="00C23127"/>
    <w:rsid w:val="00C26976"/>
    <w:rsid w:val="00C3670C"/>
    <w:rsid w:val="00C40543"/>
    <w:rsid w:val="00C54E9D"/>
    <w:rsid w:val="00C60129"/>
    <w:rsid w:val="00C66548"/>
    <w:rsid w:val="00C725EF"/>
    <w:rsid w:val="00C828A0"/>
    <w:rsid w:val="00C84827"/>
    <w:rsid w:val="00C865D6"/>
    <w:rsid w:val="00C90E50"/>
    <w:rsid w:val="00CA2E1B"/>
    <w:rsid w:val="00CA4E8D"/>
    <w:rsid w:val="00CA76E3"/>
    <w:rsid w:val="00CB4A26"/>
    <w:rsid w:val="00CB7066"/>
    <w:rsid w:val="00CC5E35"/>
    <w:rsid w:val="00CC7BEC"/>
    <w:rsid w:val="00CD05F9"/>
    <w:rsid w:val="00CD0B87"/>
    <w:rsid w:val="00CD29EF"/>
    <w:rsid w:val="00CD4E7B"/>
    <w:rsid w:val="00CD7149"/>
    <w:rsid w:val="00CE6F56"/>
    <w:rsid w:val="00D05C2F"/>
    <w:rsid w:val="00D07D0F"/>
    <w:rsid w:val="00D10B44"/>
    <w:rsid w:val="00D14313"/>
    <w:rsid w:val="00D174C8"/>
    <w:rsid w:val="00D24129"/>
    <w:rsid w:val="00D35606"/>
    <w:rsid w:val="00D430C5"/>
    <w:rsid w:val="00D44FB8"/>
    <w:rsid w:val="00D505E0"/>
    <w:rsid w:val="00D50877"/>
    <w:rsid w:val="00D56256"/>
    <w:rsid w:val="00D56A55"/>
    <w:rsid w:val="00D71AF6"/>
    <w:rsid w:val="00D73F20"/>
    <w:rsid w:val="00D74416"/>
    <w:rsid w:val="00D7474F"/>
    <w:rsid w:val="00D77D18"/>
    <w:rsid w:val="00D82BF9"/>
    <w:rsid w:val="00D856C5"/>
    <w:rsid w:val="00D8605B"/>
    <w:rsid w:val="00D971CD"/>
    <w:rsid w:val="00DA58B7"/>
    <w:rsid w:val="00DA6D90"/>
    <w:rsid w:val="00DB0F78"/>
    <w:rsid w:val="00DB4C1D"/>
    <w:rsid w:val="00DC1400"/>
    <w:rsid w:val="00DE0F9B"/>
    <w:rsid w:val="00DE43CD"/>
    <w:rsid w:val="00DE5965"/>
    <w:rsid w:val="00DE6550"/>
    <w:rsid w:val="00E06DB7"/>
    <w:rsid w:val="00E13A0F"/>
    <w:rsid w:val="00E21ADE"/>
    <w:rsid w:val="00E254CB"/>
    <w:rsid w:val="00E26D16"/>
    <w:rsid w:val="00E33A72"/>
    <w:rsid w:val="00E33FCF"/>
    <w:rsid w:val="00E36069"/>
    <w:rsid w:val="00E37DBB"/>
    <w:rsid w:val="00E43F3F"/>
    <w:rsid w:val="00E5014E"/>
    <w:rsid w:val="00E5125E"/>
    <w:rsid w:val="00E51718"/>
    <w:rsid w:val="00E563AA"/>
    <w:rsid w:val="00E635FF"/>
    <w:rsid w:val="00E65033"/>
    <w:rsid w:val="00E725B3"/>
    <w:rsid w:val="00E877CD"/>
    <w:rsid w:val="00E90981"/>
    <w:rsid w:val="00E90E54"/>
    <w:rsid w:val="00E95799"/>
    <w:rsid w:val="00EA4CF5"/>
    <w:rsid w:val="00EB5A43"/>
    <w:rsid w:val="00EC6E4C"/>
    <w:rsid w:val="00EE2D45"/>
    <w:rsid w:val="00EF2C21"/>
    <w:rsid w:val="00EF42FC"/>
    <w:rsid w:val="00EF4648"/>
    <w:rsid w:val="00EF4B72"/>
    <w:rsid w:val="00F03913"/>
    <w:rsid w:val="00F0489E"/>
    <w:rsid w:val="00F11C1B"/>
    <w:rsid w:val="00F1729D"/>
    <w:rsid w:val="00F24878"/>
    <w:rsid w:val="00F25183"/>
    <w:rsid w:val="00F2723F"/>
    <w:rsid w:val="00F31D1B"/>
    <w:rsid w:val="00F3496E"/>
    <w:rsid w:val="00F40095"/>
    <w:rsid w:val="00F45F74"/>
    <w:rsid w:val="00F46A71"/>
    <w:rsid w:val="00F47680"/>
    <w:rsid w:val="00F512F2"/>
    <w:rsid w:val="00F5499D"/>
    <w:rsid w:val="00F5690C"/>
    <w:rsid w:val="00F6296E"/>
    <w:rsid w:val="00F66545"/>
    <w:rsid w:val="00F70CA7"/>
    <w:rsid w:val="00F71200"/>
    <w:rsid w:val="00F71909"/>
    <w:rsid w:val="00F73B08"/>
    <w:rsid w:val="00FA030A"/>
    <w:rsid w:val="00FC3DA8"/>
    <w:rsid w:val="00FC46CB"/>
    <w:rsid w:val="00FC4D83"/>
    <w:rsid w:val="00FD1342"/>
    <w:rsid w:val="00FD26DB"/>
    <w:rsid w:val="00FD6205"/>
    <w:rsid w:val="00FE788E"/>
    <w:rsid w:val="00FF48A1"/>
    <w:rsid w:val="00FF7B4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03DE8F"/>
  <w15:docId w15:val="{D5E3807A-298E-4679-A50C-807344BD2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he-IL"/>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114D8"/>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paragraph" w:styleId="Heading7">
    <w:name w:val="heading 7"/>
    <w:basedOn w:val="Normal"/>
    <w:next w:val="Normal"/>
    <w:link w:val="Heading7Char"/>
    <w:uiPriority w:val="9"/>
    <w:unhideWhenUsed/>
    <w:qFormat/>
    <w:rsid w:val="00AF123A"/>
    <w:pPr>
      <w:keepNext/>
      <w:keepLines/>
      <w:spacing w:before="40"/>
      <w:outlineLvl w:val="6"/>
    </w:pPr>
    <w:rPr>
      <w:rFonts w:asciiTheme="majorHAnsi" w:eastAsiaTheme="majorEastAsia" w:hAnsiTheme="majorHAnsi" w:cstheme="majorBidi"/>
      <w:i/>
      <w:iCs/>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character" w:customStyle="1" w:styleId="Heading7Char">
    <w:name w:val="Heading 7 Char"/>
    <w:basedOn w:val="DefaultParagraphFont"/>
    <w:link w:val="Heading7"/>
    <w:uiPriority w:val="9"/>
    <w:rsid w:val="00AF123A"/>
    <w:rPr>
      <w:rFonts w:asciiTheme="majorHAnsi" w:eastAsiaTheme="majorEastAsia" w:hAnsiTheme="majorHAnsi" w:cstheme="majorBidi"/>
      <w:i/>
      <w:iCs/>
      <w:color w:val="243F60" w:themeColor="accent1" w:themeShade="7F"/>
    </w:rPr>
  </w:style>
  <w:style w:type="paragraph" w:styleId="ListParagraph">
    <w:name w:val="List Paragraph"/>
    <w:aliases w:val="נוסחאות"/>
    <w:basedOn w:val="Normal"/>
    <w:link w:val="ListParagraphChar"/>
    <w:uiPriority w:val="34"/>
    <w:qFormat/>
    <w:rsid w:val="00AF123A"/>
    <w:pPr>
      <w:bidi/>
      <w:spacing w:line="360" w:lineRule="auto"/>
      <w:ind w:left="720"/>
      <w:contextualSpacing/>
    </w:pPr>
    <w:rPr>
      <w:rFonts w:asciiTheme="minorHAnsi" w:eastAsiaTheme="minorHAnsi" w:hAnsiTheme="minorHAnsi"/>
      <w:sz w:val="24"/>
      <w:lang w:val="en-US"/>
    </w:rPr>
  </w:style>
  <w:style w:type="character" w:customStyle="1" w:styleId="ListParagraphChar">
    <w:name w:val="List Paragraph Char"/>
    <w:aliases w:val="נוסחאות Char"/>
    <w:basedOn w:val="DefaultParagraphFont"/>
    <w:link w:val="ListParagraph"/>
    <w:uiPriority w:val="34"/>
    <w:rsid w:val="00AF123A"/>
    <w:rPr>
      <w:rFonts w:asciiTheme="minorHAnsi" w:eastAsiaTheme="minorHAnsi" w:hAnsiTheme="minorHAnsi"/>
      <w:sz w:val="24"/>
      <w:lang w:val="en-US"/>
    </w:rPr>
  </w:style>
  <w:style w:type="paragraph" w:styleId="BodyText2">
    <w:name w:val="Body Text 2"/>
    <w:basedOn w:val="Normal"/>
    <w:link w:val="BodyText2Char"/>
    <w:rsid w:val="00AF123A"/>
    <w:pPr>
      <w:widowControl w:val="0"/>
      <w:overflowPunct w:val="0"/>
      <w:autoSpaceDE w:val="0"/>
      <w:autoSpaceDN w:val="0"/>
      <w:adjustRightInd w:val="0"/>
      <w:spacing w:line="360" w:lineRule="auto"/>
      <w:ind w:hanging="625"/>
      <w:jc w:val="both"/>
      <w:textAlignment w:val="baseline"/>
    </w:pPr>
    <w:rPr>
      <w:rFonts w:ascii="Tms Rmn" w:eastAsia="Times New Roman" w:hAnsi="Tms Rmn" w:cs="Times New Roman"/>
      <w:sz w:val="24"/>
      <w:szCs w:val="24"/>
      <w:lang w:val="en-US"/>
    </w:rPr>
  </w:style>
  <w:style w:type="character" w:customStyle="1" w:styleId="BodyText2Char">
    <w:name w:val="Body Text 2 Char"/>
    <w:basedOn w:val="DefaultParagraphFont"/>
    <w:link w:val="BodyText2"/>
    <w:rsid w:val="00AF123A"/>
    <w:rPr>
      <w:rFonts w:ascii="Tms Rmn" w:eastAsia="Times New Roman" w:hAnsi="Tms Rmn" w:cs="Times New Roman"/>
      <w:sz w:val="24"/>
      <w:szCs w:val="24"/>
      <w:lang w:val="en-US"/>
    </w:rPr>
  </w:style>
  <w:style w:type="paragraph" w:styleId="FootnoteText">
    <w:name w:val="footnote text"/>
    <w:basedOn w:val="Normal"/>
    <w:link w:val="FootnoteTextChar"/>
    <w:uiPriority w:val="99"/>
    <w:semiHidden/>
    <w:unhideWhenUsed/>
    <w:rsid w:val="00AF123A"/>
    <w:pPr>
      <w:bidi/>
      <w:spacing w:line="240" w:lineRule="auto"/>
    </w:pPr>
    <w:rPr>
      <w:rFonts w:asciiTheme="minorHAnsi" w:eastAsiaTheme="minorHAnsi" w:hAnsiTheme="minorHAnsi"/>
      <w:sz w:val="20"/>
      <w:szCs w:val="20"/>
      <w:lang w:val="en-US"/>
    </w:rPr>
  </w:style>
  <w:style w:type="character" w:customStyle="1" w:styleId="FootnoteTextChar">
    <w:name w:val="Footnote Text Char"/>
    <w:basedOn w:val="DefaultParagraphFont"/>
    <w:link w:val="FootnoteText"/>
    <w:uiPriority w:val="99"/>
    <w:semiHidden/>
    <w:rsid w:val="00AF123A"/>
    <w:rPr>
      <w:rFonts w:asciiTheme="minorHAnsi" w:eastAsiaTheme="minorHAnsi" w:hAnsiTheme="minorHAnsi"/>
      <w:sz w:val="20"/>
      <w:szCs w:val="20"/>
      <w:lang w:val="en-US"/>
    </w:rPr>
  </w:style>
  <w:style w:type="character" w:styleId="FootnoteReference">
    <w:name w:val="footnote reference"/>
    <w:basedOn w:val="DefaultParagraphFont"/>
    <w:uiPriority w:val="99"/>
    <w:semiHidden/>
    <w:unhideWhenUsed/>
    <w:rsid w:val="00AF123A"/>
    <w:rPr>
      <w:vertAlign w:val="superscript"/>
    </w:rPr>
  </w:style>
  <w:style w:type="paragraph" w:styleId="Header">
    <w:name w:val="header"/>
    <w:basedOn w:val="Normal"/>
    <w:link w:val="HeaderChar"/>
    <w:unhideWhenUsed/>
    <w:rsid w:val="00AF123A"/>
    <w:pPr>
      <w:tabs>
        <w:tab w:val="center" w:pos="4513"/>
        <w:tab w:val="right" w:pos="9026"/>
      </w:tabs>
      <w:spacing w:line="240" w:lineRule="auto"/>
    </w:pPr>
  </w:style>
  <w:style w:type="character" w:customStyle="1" w:styleId="HeaderChar">
    <w:name w:val="Header Char"/>
    <w:basedOn w:val="DefaultParagraphFont"/>
    <w:link w:val="Header"/>
    <w:rsid w:val="00AF123A"/>
  </w:style>
  <w:style w:type="paragraph" w:styleId="Footer">
    <w:name w:val="footer"/>
    <w:basedOn w:val="Normal"/>
    <w:link w:val="FooterChar"/>
    <w:uiPriority w:val="99"/>
    <w:unhideWhenUsed/>
    <w:rsid w:val="00AF123A"/>
    <w:pPr>
      <w:tabs>
        <w:tab w:val="center" w:pos="4513"/>
        <w:tab w:val="right" w:pos="9026"/>
      </w:tabs>
      <w:spacing w:line="240" w:lineRule="auto"/>
    </w:pPr>
  </w:style>
  <w:style w:type="character" w:customStyle="1" w:styleId="FooterChar">
    <w:name w:val="Footer Char"/>
    <w:basedOn w:val="DefaultParagraphFont"/>
    <w:link w:val="Footer"/>
    <w:uiPriority w:val="99"/>
    <w:rsid w:val="00AF123A"/>
  </w:style>
  <w:style w:type="paragraph" w:styleId="BodyTextIndent">
    <w:name w:val="Body Text Indent"/>
    <w:basedOn w:val="Normal"/>
    <w:link w:val="BodyTextIndentChar"/>
    <w:uiPriority w:val="99"/>
    <w:semiHidden/>
    <w:unhideWhenUsed/>
    <w:rsid w:val="00D10B44"/>
    <w:pPr>
      <w:spacing w:after="120"/>
      <w:ind w:left="283"/>
    </w:pPr>
  </w:style>
  <w:style w:type="character" w:customStyle="1" w:styleId="BodyTextIndentChar">
    <w:name w:val="Body Text Indent Char"/>
    <w:basedOn w:val="DefaultParagraphFont"/>
    <w:link w:val="BodyTextIndent"/>
    <w:uiPriority w:val="99"/>
    <w:semiHidden/>
    <w:rsid w:val="00D10B44"/>
  </w:style>
  <w:style w:type="paragraph" w:styleId="BalloonText">
    <w:name w:val="Balloon Text"/>
    <w:basedOn w:val="Normal"/>
    <w:link w:val="BalloonTextChar"/>
    <w:uiPriority w:val="99"/>
    <w:semiHidden/>
    <w:unhideWhenUsed/>
    <w:rsid w:val="002E38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E38A5"/>
    <w:rPr>
      <w:rFonts w:ascii="Segoe UI" w:hAnsi="Segoe UI" w:cs="Segoe UI"/>
      <w:sz w:val="18"/>
      <w:szCs w:val="18"/>
    </w:rPr>
  </w:style>
  <w:style w:type="character" w:styleId="CommentReference">
    <w:name w:val="annotation reference"/>
    <w:basedOn w:val="DefaultParagraphFont"/>
    <w:uiPriority w:val="99"/>
    <w:semiHidden/>
    <w:unhideWhenUsed/>
    <w:rsid w:val="004C4B3B"/>
    <w:rPr>
      <w:sz w:val="16"/>
      <w:szCs w:val="16"/>
    </w:rPr>
  </w:style>
  <w:style w:type="paragraph" w:styleId="CommentText">
    <w:name w:val="annotation text"/>
    <w:basedOn w:val="Normal"/>
    <w:link w:val="CommentTextChar"/>
    <w:uiPriority w:val="99"/>
    <w:unhideWhenUsed/>
    <w:rsid w:val="004C4B3B"/>
    <w:pPr>
      <w:spacing w:line="240" w:lineRule="auto"/>
    </w:pPr>
    <w:rPr>
      <w:sz w:val="20"/>
      <w:szCs w:val="20"/>
    </w:rPr>
  </w:style>
  <w:style w:type="character" w:customStyle="1" w:styleId="CommentTextChar">
    <w:name w:val="Comment Text Char"/>
    <w:basedOn w:val="DefaultParagraphFont"/>
    <w:link w:val="CommentText"/>
    <w:uiPriority w:val="99"/>
    <w:rsid w:val="004C4B3B"/>
    <w:rPr>
      <w:sz w:val="20"/>
      <w:szCs w:val="20"/>
    </w:rPr>
  </w:style>
  <w:style w:type="paragraph" w:customStyle="1" w:styleId="P00">
    <w:name w:val="P00"/>
    <w:rsid w:val="0079014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line="240" w:lineRule="auto"/>
      <w:ind w:left="2835"/>
      <w:jc w:val="both"/>
    </w:pPr>
    <w:rPr>
      <w:rFonts w:ascii="Times New Roman" w:eastAsia="Times New Roman" w:hAnsi="Times New Roman" w:cs="FrankRuehl"/>
      <w:noProof/>
      <w:sz w:val="20"/>
      <w:szCs w:val="26"/>
      <w:lang w:val="en-US" w:eastAsia="he-IL"/>
    </w:rPr>
  </w:style>
  <w:style w:type="character" w:customStyle="1" w:styleId="default">
    <w:name w:val="default"/>
    <w:basedOn w:val="DefaultParagraphFont"/>
    <w:rsid w:val="0079014B"/>
    <w:rPr>
      <w:rFonts w:ascii="Times New Roman" w:hAnsi="Times New Roman" w:cs="Times New Roman"/>
      <w:sz w:val="26"/>
      <w:szCs w:val="26"/>
    </w:rPr>
  </w:style>
  <w:style w:type="paragraph" w:styleId="CommentSubject">
    <w:name w:val="annotation subject"/>
    <w:basedOn w:val="CommentText"/>
    <w:next w:val="CommentText"/>
    <w:link w:val="CommentSubjectChar"/>
    <w:uiPriority w:val="99"/>
    <w:semiHidden/>
    <w:unhideWhenUsed/>
    <w:rsid w:val="00923B1D"/>
    <w:rPr>
      <w:b/>
      <w:bCs/>
    </w:rPr>
  </w:style>
  <w:style w:type="character" w:customStyle="1" w:styleId="CommentSubjectChar">
    <w:name w:val="Comment Subject Char"/>
    <w:basedOn w:val="CommentTextChar"/>
    <w:link w:val="CommentSubject"/>
    <w:uiPriority w:val="99"/>
    <w:semiHidden/>
    <w:rsid w:val="00923B1D"/>
    <w:rPr>
      <w:b/>
      <w:bCs/>
      <w:sz w:val="20"/>
      <w:szCs w:val="20"/>
    </w:rPr>
  </w:style>
  <w:style w:type="character" w:styleId="Hyperlink">
    <w:name w:val="Hyperlink"/>
    <w:basedOn w:val="DefaultParagraphFont"/>
    <w:uiPriority w:val="99"/>
    <w:unhideWhenUsed/>
    <w:rsid w:val="009F6E18"/>
    <w:rPr>
      <w:color w:val="0000FF" w:themeColor="hyperlink"/>
      <w:u w:val="single"/>
    </w:rPr>
  </w:style>
  <w:style w:type="table" w:styleId="TableGrid">
    <w:name w:val="Table Grid"/>
    <w:basedOn w:val="TableNormal"/>
    <w:uiPriority w:val="39"/>
    <w:rsid w:val="003970B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10C79"/>
    <w:pPr>
      <w:spacing w:line="240" w:lineRule="auto"/>
    </w:pPr>
  </w:style>
  <w:style w:type="character" w:styleId="UnresolvedMention">
    <w:name w:val="Unresolved Mention"/>
    <w:basedOn w:val="DefaultParagraphFont"/>
    <w:uiPriority w:val="99"/>
    <w:semiHidden/>
    <w:unhideWhenUsed/>
    <w:rsid w:val="00325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69720">
      <w:bodyDiv w:val="1"/>
      <w:marLeft w:val="0"/>
      <w:marRight w:val="0"/>
      <w:marTop w:val="0"/>
      <w:marBottom w:val="0"/>
      <w:divBdr>
        <w:top w:val="none" w:sz="0" w:space="0" w:color="auto"/>
        <w:left w:val="none" w:sz="0" w:space="0" w:color="auto"/>
        <w:bottom w:val="none" w:sz="0" w:space="0" w:color="auto"/>
        <w:right w:val="none" w:sz="0" w:space="0" w:color="auto"/>
      </w:divBdr>
    </w:div>
    <w:div w:id="56166801">
      <w:bodyDiv w:val="1"/>
      <w:marLeft w:val="0"/>
      <w:marRight w:val="0"/>
      <w:marTop w:val="0"/>
      <w:marBottom w:val="0"/>
      <w:divBdr>
        <w:top w:val="none" w:sz="0" w:space="0" w:color="auto"/>
        <w:left w:val="none" w:sz="0" w:space="0" w:color="auto"/>
        <w:bottom w:val="none" w:sz="0" w:space="0" w:color="auto"/>
        <w:right w:val="none" w:sz="0" w:space="0" w:color="auto"/>
      </w:divBdr>
    </w:div>
    <w:div w:id="125392321">
      <w:bodyDiv w:val="1"/>
      <w:marLeft w:val="0"/>
      <w:marRight w:val="0"/>
      <w:marTop w:val="0"/>
      <w:marBottom w:val="0"/>
      <w:divBdr>
        <w:top w:val="none" w:sz="0" w:space="0" w:color="auto"/>
        <w:left w:val="none" w:sz="0" w:space="0" w:color="auto"/>
        <w:bottom w:val="none" w:sz="0" w:space="0" w:color="auto"/>
        <w:right w:val="none" w:sz="0" w:space="0" w:color="auto"/>
      </w:divBdr>
    </w:div>
    <w:div w:id="171117037">
      <w:bodyDiv w:val="1"/>
      <w:marLeft w:val="0"/>
      <w:marRight w:val="0"/>
      <w:marTop w:val="0"/>
      <w:marBottom w:val="0"/>
      <w:divBdr>
        <w:top w:val="none" w:sz="0" w:space="0" w:color="auto"/>
        <w:left w:val="none" w:sz="0" w:space="0" w:color="auto"/>
        <w:bottom w:val="none" w:sz="0" w:space="0" w:color="auto"/>
        <w:right w:val="none" w:sz="0" w:space="0" w:color="auto"/>
      </w:divBdr>
      <w:divsChild>
        <w:div w:id="918053137">
          <w:marLeft w:val="0"/>
          <w:marRight w:val="0"/>
          <w:marTop w:val="180"/>
          <w:marBottom w:val="180"/>
          <w:divBdr>
            <w:top w:val="none" w:sz="0" w:space="0" w:color="auto"/>
            <w:left w:val="single" w:sz="6" w:space="14" w:color="999999"/>
            <w:bottom w:val="none" w:sz="0" w:space="0" w:color="auto"/>
            <w:right w:val="none" w:sz="0" w:space="0" w:color="auto"/>
          </w:divBdr>
        </w:div>
        <w:div w:id="2032564129">
          <w:marLeft w:val="0"/>
          <w:marRight w:val="0"/>
          <w:marTop w:val="180"/>
          <w:marBottom w:val="180"/>
          <w:divBdr>
            <w:top w:val="none" w:sz="0" w:space="0" w:color="auto"/>
            <w:left w:val="single" w:sz="6" w:space="14" w:color="999999"/>
            <w:bottom w:val="none" w:sz="0" w:space="0" w:color="auto"/>
            <w:right w:val="none" w:sz="0" w:space="0" w:color="auto"/>
          </w:divBdr>
        </w:div>
      </w:divsChild>
    </w:div>
    <w:div w:id="222758262">
      <w:bodyDiv w:val="1"/>
      <w:marLeft w:val="0"/>
      <w:marRight w:val="0"/>
      <w:marTop w:val="0"/>
      <w:marBottom w:val="0"/>
      <w:divBdr>
        <w:top w:val="none" w:sz="0" w:space="0" w:color="auto"/>
        <w:left w:val="none" w:sz="0" w:space="0" w:color="auto"/>
        <w:bottom w:val="none" w:sz="0" w:space="0" w:color="auto"/>
        <w:right w:val="none" w:sz="0" w:space="0" w:color="auto"/>
      </w:divBdr>
    </w:div>
    <w:div w:id="283771250">
      <w:bodyDiv w:val="1"/>
      <w:marLeft w:val="0"/>
      <w:marRight w:val="0"/>
      <w:marTop w:val="0"/>
      <w:marBottom w:val="0"/>
      <w:divBdr>
        <w:top w:val="none" w:sz="0" w:space="0" w:color="auto"/>
        <w:left w:val="none" w:sz="0" w:space="0" w:color="auto"/>
        <w:bottom w:val="none" w:sz="0" w:space="0" w:color="auto"/>
        <w:right w:val="none" w:sz="0" w:space="0" w:color="auto"/>
      </w:divBdr>
    </w:div>
    <w:div w:id="394933755">
      <w:bodyDiv w:val="1"/>
      <w:marLeft w:val="0"/>
      <w:marRight w:val="0"/>
      <w:marTop w:val="0"/>
      <w:marBottom w:val="0"/>
      <w:divBdr>
        <w:top w:val="none" w:sz="0" w:space="0" w:color="auto"/>
        <w:left w:val="none" w:sz="0" w:space="0" w:color="auto"/>
        <w:bottom w:val="none" w:sz="0" w:space="0" w:color="auto"/>
        <w:right w:val="none" w:sz="0" w:space="0" w:color="auto"/>
      </w:divBdr>
    </w:div>
    <w:div w:id="504243567">
      <w:bodyDiv w:val="1"/>
      <w:marLeft w:val="0"/>
      <w:marRight w:val="0"/>
      <w:marTop w:val="0"/>
      <w:marBottom w:val="0"/>
      <w:divBdr>
        <w:top w:val="none" w:sz="0" w:space="0" w:color="auto"/>
        <w:left w:val="none" w:sz="0" w:space="0" w:color="auto"/>
        <w:bottom w:val="none" w:sz="0" w:space="0" w:color="auto"/>
        <w:right w:val="none" w:sz="0" w:space="0" w:color="auto"/>
      </w:divBdr>
      <w:divsChild>
        <w:div w:id="770470619">
          <w:marLeft w:val="0"/>
          <w:marRight w:val="720"/>
          <w:marTop w:val="96"/>
          <w:marBottom w:val="0"/>
          <w:divBdr>
            <w:top w:val="none" w:sz="0" w:space="0" w:color="auto"/>
            <w:left w:val="none" w:sz="0" w:space="0" w:color="auto"/>
            <w:bottom w:val="none" w:sz="0" w:space="0" w:color="auto"/>
            <w:right w:val="none" w:sz="0" w:space="0" w:color="auto"/>
          </w:divBdr>
        </w:div>
        <w:div w:id="62991616">
          <w:marLeft w:val="0"/>
          <w:marRight w:val="720"/>
          <w:marTop w:val="96"/>
          <w:marBottom w:val="0"/>
          <w:divBdr>
            <w:top w:val="none" w:sz="0" w:space="0" w:color="auto"/>
            <w:left w:val="none" w:sz="0" w:space="0" w:color="auto"/>
            <w:bottom w:val="none" w:sz="0" w:space="0" w:color="auto"/>
            <w:right w:val="none" w:sz="0" w:space="0" w:color="auto"/>
          </w:divBdr>
        </w:div>
        <w:div w:id="968051497">
          <w:marLeft w:val="0"/>
          <w:marRight w:val="720"/>
          <w:marTop w:val="96"/>
          <w:marBottom w:val="0"/>
          <w:divBdr>
            <w:top w:val="none" w:sz="0" w:space="0" w:color="auto"/>
            <w:left w:val="none" w:sz="0" w:space="0" w:color="auto"/>
            <w:bottom w:val="none" w:sz="0" w:space="0" w:color="auto"/>
            <w:right w:val="none" w:sz="0" w:space="0" w:color="auto"/>
          </w:divBdr>
        </w:div>
        <w:div w:id="88504976">
          <w:marLeft w:val="0"/>
          <w:marRight w:val="720"/>
          <w:marTop w:val="96"/>
          <w:marBottom w:val="0"/>
          <w:divBdr>
            <w:top w:val="none" w:sz="0" w:space="0" w:color="auto"/>
            <w:left w:val="none" w:sz="0" w:space="0" w:color="auto"/>
            <w:bottom w:val="none" w:sz="0" w:space="0" w:color="auto"/>
            <w:right w:val="none" w:sz="0" w:space="0" w:color="auto"/>
          </w:divBdr>
        </w:div>
      </w:divsChild>
    </w:div>
    <w:div w:id="545722917">
      <w:bodyDiv w:val="1"/>
      <w:marLeft w:val="0"/>
      <w:marRight w:val="0"/>
      <w:marTop w:val="0"/>
      <w:marBottom w:val="0"/>
      <w:divBdr>
        <w:top w:val="none" w:sz="0" w:space="0" w:color="auto"/>
        <w:left w:val="none" w:sz="0" w:space="0" w:color="auto"/>
        <w:bottom w:val="none" w:sz="0" w:space="0" w:color="auto"/>
        <w:right w:val="none" w:sz="0" w:space="0" w:color="auto"/>
      </w:divBdr>
    </w:div>
    <w:div w:id="644089797">
      <w:bodyDiv w:val="1"/>
      <w:marLeft w:val="0"/>
      <w:marRight w:val="0"/>
      <w:marTop w:val="0"/>
      <w:marBottom w:val="0"/>
      <w:divBdr>
        <w:top w:val="none" w:sz="0" w:space="0" w:color="auto"/>
        <w:left w:val="none" w:sz="0" w:space="0" w:color="auto"/>
        <w:bottom w:val="none" w:sz="0" w:space="0" w:color="auto"/>
        <w:right w:val="none" w:sz="0" w:space="0" w:color="auto"/>
      </w:divBdr>
    </w:div>
    <w:div w:id="644360587">
      <w:bodyDiv w:val="1"/>
      <w:marLeft w:val="0"/>
      <w:marRight w:val="0"/>
      <w:marTop w:val="0"/>
      <w:marBottom w:val="0"/>
      <w:divBdr>
        <w:top w:val="none" w:sz="0" w:space="0" w:color="auto"/>
        <w:left w:val="none" w:sz="0" w:space="0" w:color="auto"/>
        <w:bottom w:val="none" w:sz="0" w:space="0" w:color="auto"/>
        <w:right w:val="none" w:sz="0" w:space="0" w:color="auto"/>
      </w:divBdr>
    </w:div>
    <w:div w:id="1337876611">
      <w:bodyDiv w:val="1"/>
      <w:marLeft w:val="0"/>
      <w:marRight w:val="0"/>
      <w:marTop w:val="0"/>
      <w:marBottom w:val="0"/>
      <w:divBdr>
        <w:top w:val="none" w:sz="0" w:space="0" w:color="auto"/>
        <w:left w:val="none" w:sz="0" w:space="0" w:color="auto"/>
        <w:bottom w:val="none" w:sz="0" w:space="0" w:color="auto"/>
        <w:right w:val="none" w:sz="0" w:space="0" w:color="auto"/>
      </w:divBdr>
    </w:div>
    <w:div w:id="1345397613">
      <w:bodyDiv w:val="1"/>
      <w:marLeft w:val="0"/>
      <w:marRight w:val="0"/>
      <w:marTop w:val="0"/>
      <w:marBottom w:val="0"/>
      <w:divBdr>
        <w:top w:val="none" w:sz="0" w:space="0" w:color="auto"/>
        <w:left w:val="none" w:sz="0" w:space="0" w:color="auto"/>
        <w:bottom w:val="none" w:sz="0" w:space="0" w:color="auto"/>
        <w:right w:val="none" w:sz="0" w:space="0" w:color="auto"/>
      </w:divBdr>
    </w:div>
    <w:div w:id="1415129938">
      <w:bodyDiv w:val="1"/>
      <w:marLeft w:val="0"/>
      <w:marRight w:val="0"/>
      <w:marTop w:val="0"/>
      <w:marBottom w:val="0"/>
      <w:divBdr>
        <w:top w:val="none" w:sz="0" w:space="0" w:color="auto"/>
        <w:left w:val="none" w:sz="0" w:space="0" w:color="auto"/>
        <w:bottom w:val="none" w:sz="0" w:space="0" w:color="auto"/>
        <w:right w:val="none" w:sz="0" w:space="0" w:color="auto"/>
      </w:divBdr>
    </w:div>
    <w:div w:id="1457524519">
      <w:bodyDiv w:val="1"/>
      <w:marLeft w:val="0"/>
      <w:marRight w:val="0"/>
      <w:marTop w:val="0"/>
      <w:marBottom w:val="0"/>
      <w:divBdr>
        <w:top w:val="none" w:sz="0" w:space="0" w:color="auto"/>
        <w:left w:val="none" w:sz="0" w:space="0" w:color="auto"/>
        <w:bottom w:val="none" w:sz="0" w:space="0" w:color="auto"/>
        <w:right w:val="none" w:sz="0" w:space="0" w:color="auto"/>
      </w:divBdr>
    </w:div>
    <w:div w:id="1480076871">
      <w:bodyDiv w:val="1"/>
      <w:marLeft w:val="0"/>
      <w:marRight w:val="0"/>
      <w:marTop w:val="0"/>
      <w:marBottom w:val="0"/>
      <w:divBdr>
        <w:top w:val="none" w:sz="0" w:space="0" w:color="auto"/>
        <w:left w:val="none" w:sz="0" w:space="0" w:color="auto"/>
        <w:bottom w:val="none" w:sz="0" w:space="0" w:color="auto"/>
        <w:right w:val="none" w:sz="0" w:space="0" w:color="auto"/>
      </w:divBdr>
    </w:div>
    <w:div w:id="1481145256">
      <w:bodyDiv w:val="1"/>
      <w:marLeft w:val="0"/>
      <w:marRight w:val="0"/>
      <w:marTop w:val="0"/>
      <w:marBottom w:val="0"/>
      <w:divBdr>
        <w:top w:val="none" w:sz="0" w:space="0" w:color="auto"/>
        <w:left w:val="none" w:sz="0" w:space="0" w:color="auto"/>
        <w:bottom w:val="none" w:sz="0" w:space="0" w:color="auto"/>
        <w:right w:val="none" w:sz="0" w:space="0" w:color="auto"/>
      </w:divBdr>
    </w:div>
    <w:div w:id="1670715271">
      <w:bodyDiv w:val="1"/>
      <w:marLeft w:val="0"/>
      <w:marRight w:val="0"/>
      <w:marTop w:val="0"/>
      <w:marBottom w:val="0"/>
      <w:divBdr>
        <w:top w:val="none" w:sz="0" w:space="0" w:color="auto"/>
        <w:left w:val="none" w:sz="0" w:space="0" w:color="auto"/>
        <w:bottom w:val="none" w:sz="0" w:space="0" w:color="auto"/>
        <w:right w:val="none" w:sz="0" w:space="0" w:color="auto"/>
      </w:divBdr>
    </w:div>
    <w:div w:id="1698695772">
      <w:bodyDiv w:val="1"/>
      <w:marLeft w:val="0"/>
      <w:marRight w:val="0"/>
      <w:marTop w:val="0"/>
      <w:marBottom w:val="0"/>
      <w:divBdr>
        <w:top w:val="none" w:sz="0" w:space="0" w:color="auto"/>
        <w:left w:val="none" w:sz="0" w:space="0" w:color="auto"/>
        <w:bottom w:val="none" w:sz="0" w:space="0" w:color="auto"/>
        <w:right w:val="none" w:sz="0" w:space="0" w:color="auto"/>
      </w:divBdr>
      <w:divsChild>
        <w:div w:id="6450179">
          <w:marLeft w:val="0"/>
          <w:marRight w:val="547"/>
          <w:marTop w:val="0"/>
          <w:marBottom w:val="0"/>
          <w:divBdr>
            <w:top w:val="none" w:sz="0" w:space="0" w:color="auto"/>
            <w:left w:val="none" w:sz="0" w:space="0" w:color="auto"/>
            <w:bottom w:val="none" w:sz="0" w:space="0" w:color="auto"/>
            <w:right w:val="none" w:sz="0" w:space="0" w:color="auto"/>
          </w:divBdr>
        </w:div>
      </w:divsChild>
    </w:div>
    <w:div w:id="1979452745">
      <w:bodyDiv w:val="1"/>
      <w:marLeft w:val="0"/>
      <w:marRight w:val="0"/>
      <w:marTop w:val="0"/>
      <w:marBottom w:val="0"/>
      <w:divBdr>
        <w:top w:val="none" w:sz="0" w:space="0" w:color="auto"/>
        <w:left w:val="none" w:sz="0" w:space="0" w:color="auto"/>
        <w:bottom w:val="none" w:sz="0" w:space="0" w:color="auto"/>
        <w:right w:val="none" w:sz="0" w:space="0" w:color="auto"/>
      </w:divBdr>
    </w:div>
    <w:div w:id="2039310013">
      <w:bodyDiv w:val="1"/>
      <w:marLeft w:val="0"/>
      <w:marRight w:val="0"/>
      <w:marTop w:val="0"/>
      <w:marBottom w:val="0"/>
      <w:divBdr>
        <w:top w:val="none" w:sz="0" w:space="0" w:color="auto"/>
        <w:left w:val="none" w:sz="0" w:space="0" w:color="auto"/>
        <w:bottom w:val="none" w:sz="0" w:space="0" w:color="auto"/>
        <w:right w:val="none" w:sz="0" w:space="0" w:color="auto"/>
      </w:divBdr>
      <w:divsChild>
        <w:div w:id="1913546038">
          <w:marLeft w:val="0"/>
          <w:marRight w:val="547"/>
          <w:marTop w:val="0"/>
          <w:marBottom w:val="0"/>
          <w:divBdr>
            <w:top w:val="none" w:sz="0" w:space="0" w:color="auto"/>
            <w:left w:val="none" w:sz="0" w:space="0" w:color="auto"/>
            <w:bottom w:val="none" w:sz="0" w:space="0" w:color="auto"/>
            <w:right w:val="none" w:sz="0" w:space="0" w:color="auto"/>
          </w:divBdr>
        </w:div>
      </w:divsChild>
    </w:div>
    <w:div w:id="2142574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nevo.co.il/law_html/law01/501_065.ht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gov.il/he/pages/hazard-prevention"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AED4DA-4241-40A6-95FE-17FFC3CA8E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728</Words>
  <Characters>3606</Characters>
  <Application>Microsoft Office Word</Application>
  <DocSecurity>0</DocSecurity>
  <Lines>75</Lines>
  <Paragraphs>40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MOE</Company>
  <LinksUpToDate>false</LinksUpToDate>
  <CharactersWithSpaces>4294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דרישות המשרד להגנת הסביבה לעבודות ומבנים הפטורים מהיתר במגרשים לתעשייה</dc:title>
  <dc:creator>פנינה (פרל) קפלן   Pnina (pearl) Kaplan</dc:creator>
  <cp:lastModifiedBy>אסתר טל  Esther Tal</cp:lastModifiedBy>
  <cp:revision>2</cp:revision>
  <cp:lastPrinted>2024-01-03T06:46:00Z</cp:lastPrinted>
  <dcterms:created xsi:type="dcterms:W3CDTF">2026-02-22T13:32:00Z</dcterms:created>
  <dcterms:modified xsi:type="dcterms:W3CDTF">2026-02-22T13:32:00Z</dcterms:modified>
</cp:coreProperties>
</file>