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‏ו' אלול תש"פ</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‏26 אוגוסט 2020</w:t>
      </w:r>
    </w:p>
    <w:p w:rsidR="00C14C83" w:rsidRPr="005237F1" w:rsidRDefault="00C14C83" w:rsidP="005237F1">
      <w:pPr>
        <w:spacing w:line="360" w:lineRule="auto"/>
        <w:rPr>
          <w:rFonts w:asciiTheme="minorBidi" w:hAnsiTheme="minorBidi" w:cstheme="minorBidi"/>
          <w:b/>
          <w:bCs/>
          <w:rtl/>
        </w:rPr>
      </w:pPr>
      <w:r w:rsidRPr="005237F1">
        <w:rPr>
          <w:rFonts w:asciiTheme="minorBidi" w:hAnsiTheme="minorBidi" w:cstheme="minorBidi"/>
          <w:b/>
          <w:bCs/>
          <w:rtl/>
        </w:rPr>
        <w:t>לכבוד,</w:t>
      </w:r>
    </w:p>
    <w:p w:rsidR="00C14C83" w:rsidRPr="005237F1" w:rsidRDefault="00C14C83" w:rsidP="005237F1">
      <w:pPr>
        <w:spacing w:line="360" w:lineRule="auto"/>
        <w:rPr>
          <w:rFonts w:asciiTheme="minorBidi" w:hAnsiTheme="minorBidi" w:cstheme="minorBidi"/>
          <w:b/>
          <w:bCs/>
          <w:rtl/>
        </w:rPr>
      </w:pPr>
      <w:r w:rsidRPr="005237F1">
        <w:rPr>
          <w:rFonts w:asciiTheme="minorBidi" w:hAnsiTheme="minorBidi" w:cstheme="minorBidi"/>
          <w:b/>
          <w:bCs/>
          <w:rtl/>
        </w:rPr>
        <w:t>עו"ד אלי דניאל</w:t>
      </w:r>
    </w:p>
    <w:p w:rsidR="00C14C83" w:rsidRPr="005237F1" w:rsidRDefault="00C14C83" w:rsidP="005237F1">
      <w:pPr>
        <w:spacing w:line="360" w:lineRule="auto"/>
        <w:rPr>
          <w:rFonts w:asciiTheme="minorBidi" w:hAnsiTheme="minorBidi" w:cstheme="minorBidi"/>
          <w:b/>
          <w:bCs/>
          <w:rtl/>
        </w:rPr>
      </w:pPr>
      <w:r w:rsidRPr="005237F1">
        <w:rPr>
          <w:rFonts w:asciiTheme="minorBidi" w:hAnsiTheme="minorBidi" w:cstheme="minorBidi"/>
          <w:b/>
          <w:bCs/>
          <w:rtl/>
        </w:rPr>
        <w:t>עו"ד גליה לוי</w:t>
      </w:r>
    </w:p>
    <w:p w:rsidR="00C14C83" w:rsidRPr="005237F1" w:rsidRDefault="00C14C83" w:rsidP="005237F1">
      <w:pPr>
        <w:spacing w:line="360" w:lineRule="auto"/>
        <w:rPr>
          <w:rFonts w:asciiTheme="minorBidi" w:hAnsiTheme="minorBidi" w:cstheme="minorBidi"/>
          <w:b/>
          <w:bCs/>
          <w:rtl/>
        </w:rPr>
      </w:pPr>
      <w:r w:rsidRPr="005237F1">
        <w:rPr>
          <w:rFonts w:asciiTheme="minorBidi" w:hAnsiTheme="minorBidi" w:cstheme="minorBidi"/>
          <w:b/>
          <w:bCs/>
          <w:rtl/>
        </w:rPr>
        <w:t xml:space="preserve">רו"ח רעות </w:t>
      </w:r>
      <w:proofErr w:type="spellStart"/>
      <w:r w:rsidRPr="005237F1">
        <w:rPr>
          <w:rFonts w:asciiTheme="minorBidi" w:hAnsiTheme="minorBidi" w:cstheme="minorBidi"/>
          <w:b/>
          <w:bCs/>
          <w:rtl/>
        </w:rPr>
        <w:t>קסלר</w:t>
      </w:r>
      <w:proofErr w:type="spellEnd"/>
    </w:p>
    <w:p w:rsidR="00C14C83" w:rsidRPr="005237F1" w:rsidRDefault="00C14C83" w:rsidP="005237F1">
      <w:pPr>
        <w:spacing w:line="360" w:lineRule="auto"/>
        <w:rPr>
          <w:rFonts w:asciiTheme="minorBidi" w:hAnsiTheme="minorBidi" w:cstheme="minorBidi"/>
          <w:b/>
          <w:bCs/>
          <w:u w:val="single"/>
          <w:rtl/>
        </w:rPr>
      </w:pPr>
      <w:r w:rsidRPr="005237F1">
        <w:rPr>
          <w:rFonts w:asciiTheme="minorBidi" w:hAnsiTheme="minorBidi" w:cstheme="minorBidi"/>
          <w:b/>
          <w:bCs/>
          <w:u w:val="single"/>
          <w:rtl/>
        </w:rPr>
        <w:t>הרשות לניירות ערך</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 xml:space="preserve">בדוא"ל: </w:t>
      </w:r>
      <w:hyperlink r:id="rId8" w:history="1">
        <w:r w:rsidRPr="005237F1">
          <w:rPr>
            <w:rStyle w:val="Hyperlink"/>
            <w:rFonts w:asciiTheme="minorBidi" w:hAnsiTheme="minorBidi" w:cstheme="minorBidi"/>
            <w:shd w:val="clear" w:color="auto" w:fill="FFFFFF"/>
          </w:rPr>
          <w:t>ESGPROJECT@isa.gov.il</w:t>
        </w:r>
      </w:hyperlink>
      <w:r w:rsidRPr="005237F1">
        <w:rPr>
          <w:rFonts w:asciiTheme="minorBidi" w:hAnsiTheme="minorBidi" w:cstheme="minorBidi"/>
          <w:sz w:val="34"/>
          <w:szCs w:val="34"/>
          <w:shd w:val="clear" w:color="auto" w:fill="FFFFFF"/>
          <w:rtl/>
        </w:rPr>
        <w:t xml:space="preserve"> </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שלום רב,</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pStyle w:val="1"/>
        <w:rPr>
          <w:rFonts w:asciiTheme="minorBidi" w:hAnsiTheme="minorBidi" w:cstheme="minorBidi"/>
          <w:b/>
          <w:bCs/>
          <w:color w:val="auto"/>
          <w:sz w:val="24"/>
          <w:szCs w:val="24"/>
          <w:u w:val="single"/>
          <w:rtl/>
        </w:rPr>
      </w:pPr>
      <w:r w:rsidRPr="005237F1">
        <w:rPr>
          <w:rFonts w:asciiTheme="minorBidi" w:hAnsiTheme="minorBidi" w:cstheme="minorBidi"/>
          <w:b/>
          <w:bCs/>
          <w:color w:val="auto"/>
          <w:sz w:val="24"/>
          <w:szCs w:val="24"/>
          <w:rtl/>
        </w:rPr>
        <w:t>הנדון:</w:t>
      </w:r>
      <w:r w:rsidR="006E09AA" w:rsidRPr="005237F1">
        <w:rPr>
          <w:rFonts w:asciiTheme="minorBidi" w:hAnsiTheme="minorBidi" w:cstheme="minorBidi"/>
          <w:b/>
          <w:bCs/>
          <w:color w:val="auto"/>
          <w:sz w:val="24"/>
          <w:szCs w:val="24"/>
          <w:rtl/>
        </w:rPr>
        <w:t xml:space="preserve"> </w:t>
      </w:r>
      <w:r w:rsidRPr="005237F1">
        <w:rPr>
          <w:rFonts w:asciiTheme="minorBidi" w:hAnsiTheme="minorBidi" w:cstheme="minorBidi"/>
          <w:b/>
          <w:bCs/>
          <w:color w:val="auto"/>
          <w:sz w:val="24"/>
          <w:szCs w:val="24"/>
          <w:u w:val="single"/>
          <w:rtl/>
        </w:rPr>
        <w:t xml:space="preserve">התייחסות המשרד להגנת הסביבה לקול הקורא בנושא גילוי </w:t>
      </w:r>
      <w:r w:rsidRPr="005237F1">
        <w:rPr>
          <w:rFonts w:asciiTheme="minorBidi" w:hAnsiTheme="minorBidi" w:cstheme="minorBidi"/>
          <w:b/>
          <w:bCs/>
          <w:color w:val="auto"/>
          <w:sz w:val="24"/>
          <w:szCs w:val="24"/>
          <w:u w:val="single"/>
        </w:rPr>
        <w:t>ESG</w:t>
      </w:r>
    </w:p>
    <w:p w:rsidR="00C14C83" w:rsidRPr="005237F1" w:rsidRDefault="00C14C83" w:rsidP="005237F1">
      <w:pPr>
        <w:spacing w:line="360" w:lineRule="auto"/>
        <w:rPr>
          <w:rFonts w:asciiTheme="minorBidi" w:hAnsiTheme="minorBidi" w:cstheme="minorBidi"/>
          <w:b/>
          <w:bCs/>
          <w:u w:val="single"/>
          <w:rtl/>
        </w:rPr>
      </w:pP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ראשית, ברצוננו לברך את הרשות לניירות ערך ואת נציגיה על עיסוקם בנושא חשוב זה, ועל הסקירה הרחבה ופרסום הקול הקורא. נביא להלן את תפיסתנו לגבי ההסדרים הרצויים לגילוי והטמעה של סיכוני סביבה בהתייחס לפעילות של חברות ציבוריות ושל הגופים הפיננסיים עצמם.</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בתמצית, אנו סבורים שיש לצעוד בארבעת אפיקי הפעולה הבאים: א) קביעת חובות גילוי על חברות ציבוריות בנוגע להשפעה מהותית שהן יוצרות על הסביבה (גישת המהותיות הכפולה שתתואר בהמשך); ב) החלת חובות אינטגרציה וגילוי של היבטי סביבה על הגופים הפיננסיים, ובתחום סמכות הרשות לניירות ערך – קרנות הנאמנות; ג) קביעת סטנדרטים לגילוי; ד) הקמת צוות גיבוש מדיניות משותף לגורמים הרלבנטיים.</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 xml:space="preserve">נדגיש שמסמך זה מפרט את עמדותינו הראשוניות במיקוד על תחומי אחריותה של הרשות לניירות ערך. לתפיסתנו, הדברים המובאים במסמך הם בגדר כיווני חשיבה לאורן של </w:t>
      </w:r>
      <w:proofErr w:type="spellStart"/>
      <w:r w:rsidRPr="005237F1">
        <w:rPr>
          <w:rFonts w:asciiTheme="minorBidi" w:hAnsiTheme="minorBidi" w:cstheme="minorBidi"/>
          <w:rtl/>
        </w:rPr>
        <w:t>הפרקטיקות</w:t>
      </w:r>
      <w:proofErr w:type="spellEnd"/>
      <w:r w:rsidRPr="005237F1">
        <w:rPr>
          <w:rFonts w:asciiTheme="minorBidi" w:hAnsiTheme="minorBidi" w:cstheme="minorBidi"/>
          <w:rtl/>
        </w:rPr>
        <w:t xml:space="preserve"> המיטביות הקיימות ומתפתחות במדינות המובילות ב-</w:t>
      </w:r>
      <w:r w:rsidRPr="005237F1">
        <w:rPr>
          <w:rFonts w:asciiTheme="minorBidi" w:hAnsiTheme="minorBidi" w:cstheme="minorBidi"/>
        </w:rPr>
        <w:t>OECD</w:t>
      </w:r>
      <w:r w:rsidRPr="005237F1">
        <w:rPr>
          <w:rFonts w:asciiTheme="minorBidi" w:hAnsiTheme="minorBidi" w:cstheme="minorBidi"/>
          <w:rtl/>
        </w:rPr>
        <w:t xml:space="preserve"> ובאיחוד האירופאי בפרט. לנוכח מורכבות הנושא, ולאור החשיבות ביצירת סטנדרטים דומים לכלל הסקטור הפיננסי, אנו סבורים שיש להקים צוות משותף לשלושת הרגולטורים הפיננסיים בליווי של </w:t>
      </w:r>
      <w:r w:rsidRPr="005237F1">
        <w:rPr>
          <w:rFonts w:asciiTheme="minorBidi" w:hAnsiTheme="minorBidi" w:cstheme="minorBidi"/>
          <w:rtl/>
        </w:rPr>
        <w:lastRenderedPageBreak/>
        <w:t xml:space="preserve">הגורמים המקצועיים בממשלה, ותוך התייעצות עם בעלי העניין הרלבנטיים, שתפקידו יהיה ללמוד את הנושא ולגבש מדיניות כוללת. ישנן דוגמאות מוצלחות בעולם לפורומים וצוותי מומחים כאמור הפועלים לפיתוח מדיניות הן בהיבטי </w:t>
      </w:r>
      <w:r w:rsidRPr="005237F1">
        <w:rPr>
          <w:rFonts w:asciiTheme="minorBidi" w:hAnsiTheme="minorBidi" w:cstheme="minorBidi"/>
        </w:rPr>
        <w:t>ESG</w:t>
      </w:r>
      <w:r w:rsidRPr="005237F1">
        <w:rPr>
          <w:rFonts w:asciiTheme="minorBidi" w:hAnsiTheme="minorBidi" w:cstheme="minorBidi"/>
          <w:rtl/>
        </w:rPr>
        <w:t>, והן בהיבטים של סיכוני סביבה ספציפיים.</w:t>
      </w:r>
      <w:r w:rsidRPr="005237F1">
        <w:rPr>
          <w:rStyle w:val="ab"/>
          <w:rFonts w:asciiTheme="minorBidi" w:hAnsiTheme="minorBidi" w:cstheme="minorBidi"/>
          <w:rtl/>
        </w:rPr>
        <w:footnoteReference w:id="1"/>
      </w:r>
      <w:r w:rsidRPr="005237F1">
        <w:rPr>
          <w:rFonts w:asciiTheme="minorBidi" w:hAnsiTheme="minorBidi" w:cstheme="minorBidi"/>
          <w:rtl/>
        </w:rPr>
        <w:t xml:space="preserve"> </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pStyle w:val="2"/>
        <w:spacing w:line="360" w:lineRule="auto"/>
        <w:rPr>
          <w:rtl/>
        </w:rPr>
      </w:pPr>
      <w:r w:rsidRPr="005237F1">
        <w:rPr>
          <w:rtl/>
        </w:rPr>
        <w:t>רקע על סיכונים סביבתיים פיננסיים</w:t>
      </w:r>
    </w:p>
    <w:p w:rsidR="00C14C83" w:rsidRPr="005237F1" w:rsidRDefault="00C14C83" w:rsidP="005237F1">
      <w:pPr>
        <w:pStyle w:val="ac"/>
        <w:numPr>
          <w:ilvl w:val="0"/>
          <w:numId w:val="5"/>
        </w:numPr>
        <w:spacing w:after="120" w:line="360" w:lineRule="auto"/>
        <w:rPr>
          <w:rFonts w:asciiTheme="minorBidi" w:hAnsiTheme="minorBidi" w:cstheme="minorBidi"/>
          <w:sz w:val="24"/>
          <w:szCs w:val="24"/>
        </w:rPr>
      </w:pPr>
      <w:r w:rsidRPr="005237F1">
        <w:rPr>
          <w:rFonts w:asciiTheme="minorBidi" w:hAnsiTheme="minorBidi" w:cstheme="minorBidi"/>
          <w:sz w:val="24"/>
          <w:szCs w:val="24"/>
          <w:rtl/>
        </w:rPr>
        <w:t>באופן מסורתי, סיכונים סביבתיים פיננסיים הם סיכונים הנובעים מעולם הגנת הסביבה שהתממשותם יכולה להביא לפגיעה בערך של נכסים ריאליים או פיננסיים מסוימים כדוגמת קרקעות, מניות ובטוחות, או לפגיעה ביכולת של עסק להחזיר חובות. חשוב להוסיף שהנציבות בוחנת בתקופה זו אימוץ גישה של "מהותיות כפולה"</w:t>
      </w:r>
      <w:r w:rsidRPr="005237F1">
        <w:rPr>
          <w:rStyle w:val="ab"/>
          <w:rFonts w:asciiTheme="minorBidi" w:hAnsiTheme="minorBidi" w:cstheme="minorBidi"/>
          <w:sz w:val="24"/>
          <w:szCs w:val="24"/>
          <w:rtl/>
        </w:rPr>
        <w:footnoteReference w:id="2"/>
      </w:r>
      <w:r w:rsidRPr="005237F1">
        <w:rPr>
          <w:rFonts w:asciiTheme="minorBidi" w:hAnsiTheme="minorBidi" w:cstheme="minorBidi"/>
          <w:sz w:val="24"/>
          <w:szCs w:val="24"/>
          <w:rtl/>
        </w:rPr>
        <w:t xml:space="preserve"> שלפיה סיכונים סביבתיים פיננסיים (מהותיים) מורכבים משני נדבכים: סיכונים שהתממשותם יכולה להסב נזק פיננסי לנהנה מהפעילות הכלכלית שיצרה את הסיכון, והסיכון שהפעילות הכלכלית יוצרת לסביבה עצמה. בהקשר של גילוי, גישת המהותיות הכפולה מאפשרת בין היתר למשקיע לבחור מדעת כיצד לפעול לפי תפיסת עולמו, לצד הגנה על הונו. </w:t>
      </w:r>
    </w:p>
    <w:p w:rsidR="00C14C83" w:rsidRPr="005237F1" w:rsidRDefault="00C14C83" w:rsidP="005237F1">
      <w:pPr>
        <w:pStyle w:val="ac"/>
        <w:numPr>
          <w:ilvl w:val="0"/>
          <w:numId w:val="5"/>
        </w:numPr>
        <w:spacing w:after="120" w:line="360" w:lineRule="auto"/>
        <w:rPr>
          <w:rFonts w:asciiTheme="minorBidi" w:hAnsiTheme="minorBidi" w:cstheme="minorBidi"/>
          <w:sz w:val="24"/>
          <w:szCs w:val="24"/>
        </w:rPr>
      </w:pPr>
      <w:r w:rsidRPr="005237F1">
        <w:rPr>
          <w:rFonts w:asciiTheme="minorBidi" w:hAnsiTheme="minorBidi" w:cstheme="minorBidi"/>
          <w:sz w:val="24"/>
          <w:szCs w:val="24"/>
          <w:rtl/>
        </w:rPr>
        <w:t xml:space="preserve">בעשרות האחרונים ישנה מגמה בעולם ישראל של הגברת ההפנמה של הסיכונים והנזקים הסביבתיים. מגמה זו באה לידי ביטוי במישורים שונים כגון הרחבת היקף הרגולציה הסביבתית ושכלולה. הפנמה זו משפיעה גם על גורמים הנהנים מהפעילות הכלכלית של יוצרי הסיכונים והנזקים, ובכללם בעלי קרקעות הנהנים מדמי שכירות מצד הגורם המזהם, לקוחות הנהנים </w:t>
      </w:r>
      <w:proofErr w:type="spellStart"/>
      <w:r w:rsidRPr="005237F1">
        <w:rPr>
          <w:rFonts w:asciiTheme="minorBidi" w:hAnsiTheme="minorBidi" w:cstheme="minorBidi"/>
          <w:sz w:val="24"/>
          <w:szCs w:val="24"/>
          <w:rtl/>
        </w:rPr>
        <w:t>מתזרים</w:t>
      </w:r>
      <w:proofErr w:type="spellEnd"/>
      <w:r w:rsidRPr="005237F1">
        <w:rPr>
          <w:rFonts w:asciiTheme="minorBidi" w:hAnsiTheme="minorBidi" w:cstheme="minorBidi"/>
          <w:sz w:val="24"/>
          <w:szCs w:val="24"/>
          <w:rtl/>
        </w:rPr>
        <w:t xml:space="preserve"> של מוצרים וחומרי גלם, והגופים הפיננסיים הנהנים מתשלומי ריבית, פרמיות ביטוח ושינויים בערכי המניות. הפנמה זו באה לידי ביטוי בין היתר בתמחור העלויות החיצוניות</w:t>
      </w:r>
      <w:r w:rsidRPr="005237F1">
        <w:rPr>
          <w:rStyle w:val="ab"/>
          <w:rFonts w:asciiTheme="minorBidi" w:hAnsiTheme="minorBidi" w:cstheme="minorBidi"/>
          <w:sz w:val="24"/>
          <w:szCs w:val="24"/>
          <w:rtl/>
        </w:rPr>
        <w:footnoteReference w:id="3"/>
      </w:r>
      <w:r w:rsidRPr="005237F1">
        <w:rPr>
          <w:rFonts w:asciiTheme="minorBidi" w:hAnsiTheme="minorBidi" w:cstheme="minorBidi"/>
          <w:sz w:val="24"/>
          <w:szCs w:val="24"/>
          <w:rtl/>
        </w:rPr>
        <w:t xml:space="preserve"> וגילומם במדיניות כלכלית לרבות מיסוי, היטלים ורגולציה. ישנן מגמות משמעותיות נוספות בתחום הסביבה אשר יש להן משמעויות פיננסיות כגון התקרבות אזורי מגורים לאזורי תעשייה, שינויי האקלים ופגיעה במערכות האקולוגיות ובשירותיהן לאדם.</w:t>
      </w:r>
      <w:r w:rsidRPr="005237F1">
        <w:rPr>
          <w:rStyle w:val="ab"/>
          <w:rFonts w:asciiTheme="minorBidi" w:hAnsiTheme="minorBidi" w:cstheme="minorBidi"/>
          <w:sz w:val="24"/>
          <w:szCs w:val="24"/>
          <w:rtl/>
        </w:rPr>
        <w:footnoteReference w:id="4"/>
      </w:r>
      <w:r w:rsidRPr="005237F1">
        <w:rPr>
          <w:rFonts w:asciiTheme="minorBidi" w:hAnsiTheme="minorBidi" w:cstheme="minorBidi"/>
          <w:sz w:val="24"/>
          <w:szCs w:val="24"/>
          <w:rtl/>
        </w:rPr>
        <w:t xml:space="preserve"> לצד העיסוק בסיכונים הפיננסיים, מגמות אלו </w:t>
      </w:r>
      <w:r w:rsidRPr="005237F1">
        <w:rPr>
          <w:rFonts w:asciiTheme="minorBidi" w:hAnsiTheme="minorBidi" w:cstheme="minorBidi"/>
          <w:sz w:val="24"/>
          <w:szCs w:val="24"/>
          <w:rtl/>
        </w:rPr>
        <w:lastRenderedPageBreak/>
        <w:t xml:space="preserve">יכולות לייצר גם הזדמנויות פיננסיות כגון השקעה בחברות המתמחות בטכנולוגיות סביבה ובשיקום של הון טבעי . </w:t>
      </w:r>
    </w:p>
    <w:p w:rsidR="00C14C83" w:rsidRPr="005237F1" w:rsidRDefault="00C14C83" w:rsidP="005237F1">
      <w:pPr>
        <w:pStyle w:val="ac"/>
        <w:numPr>
          <w:ilvl w:val="0"/>
          <w:numId w:val="5"/>
        </w:numPr>
        <w:spacing w:after="120" w:line="360" w:lineRule="auto"/>
        <w:rPr>
          <w:rFonts w:asciiTheme="minorBidi" w:hAnsiTheme="minorBidi" w:cstheme="minorBidi"/>
          <w:sz w:val="24"/>
          <w:szCs w:val="24"/>
        </w:rPr>
      </w:pPr>
      <w:r w:rsidRPr="005237F1">
        <w:rPr>
          <w:rFonts w:asciiTheme="minorBidi" w:hAnsiTheme="minorBidi" w:cstheme="minorBidi"/>
          <w:sz w:val="24"/>
          <w:szCs w:val="24"/>
          <w:rtl/>
        </w:rPr>
        <w:t xml:space="preserve">ניתן לחלק את הסיכונים הסביבתיים הפיננסיים לארבעה סוגים עיקריים: </w:t>
      </w:r>
      <w:r w:rsidRPr="005237F1">
        <w:rPr>
          <w:rFonts w:asciiTheme="minorBidi" w:hAnsiTheme="minorBidi" w:cstheme="minorBidi"/>
          <w:sz w:val="24"/>
          <w:szCs w:val="24"/>
          <w:u w:val="single"/>
          <w:rtl/>
        </w:rPr>
        <w:t>סיכון משפטי</w:t>
      </w:r>
      <w:r w:rsidRPr="005237F1">
        <w:rPr>
          <w:rFonts w:asciiTheme="minorBidi" w:hAnsiTheme="minorBidi" w:cstheme="minorBidi"/>
          <w:sz w:val="24"/>
          <w:szCs w:val="24"/>
          <w:rtl/>
        </w:rPr>
        <w:t xml:space="preserve"> – נקיטת הליכים משפטיים נגד עסק או אדם מסוים בעקבות הפרה של הדין הסביבתי; </w:t>
      </w:r>
      <w:r w:rsidRPr="005237F1">
        <w:rPr>
          <w:rFonts w:asciiTheme="minorBidi" w:hAnsiTheme="minorBidi" w:cstheme="minorBidi"/>
          <w:sz w:val="24"/>
          <w:szCs w:val="24"/>
          <w:u w:val="single"/>
          <w:rtl/>
        </w:rPr>
        <w:t>סיכון רגולטורי</w:t>
      </w:r>
      <w:r w:rsidRPr="005237F1">
        <w:rPr>
          <w:rFonts w:asciiTheme="minorBidi" w:hAnsiTheme="minorBidi" w:cstheme="minorBidi"/>
          <w:sz w:val="24"/>
          <w:szCs w:val="24"/>
          <w:rtl/>
        </w:rPr>
        <w:t xml:space="preserve"> – החמרה של תקני סביבה מקומיים או בינלאומיים והחיוב של חברות לעמוד בתקנים אלו; </w:t>
      </w:r>
      <w:r w:rsidRPr="005237F1">
        <w:rPr>
          <w:rFonts w:asciiTheme="minorBidi" w:hAnsiTheme="minorBidi" w:cstheme="minorBidi"/>
          <w:sz w:val="24"/>
          <w:szCs w:val="24"/>
          <w:u w:val="single"/>
          <w:rtl/>
        </w:rPr>
        <w:t>סיכוני אקלים</w:t>
      </w:r>
      <w:r w:rsidRPr="005237F1">
        <w:rPr>
          <w:rFonts w:asciiTheme="minorBidi" w:hAnsiTheme="minorBidi" w:cstheme="minorBidi"/>
          <w:b/>
          <w:bCs/>
          <w:sz w:val="24"/>
          <w:szCs w:val="24"/>
          <w:rtl/>
        </w:rPr>
        <w:t xml:space="preserve"> </w:t>
      </w:r>
      <w:r w:rsidRPr="005237F1">
        <w:rPr>
          <w:rFonts w:asciiTheme="minorBidi" w:hAnsiTheme="minorBidi" w:cstheme="minorBidi"/>
          <w:sz w:val="24"/>
          <w:szCs w:val="24"/>
          <w:rtl/>
        </w:rPr>
        <w:t>– נהוג לחלק סיכונים אלו לסיכונים פיזיים וסיכוני מעבר: א) סיכונים פיזיים הם סיכונים לפגיעה בערך נכסים בעקבות נזקי אירועי קיצון כגון הצפות ושריפות. ב) סיכוני מעבר הם סיכונים לפגיעה בפעילות כלכלית או ערכי נכסים עקב מעבר יחסית מהיר לכלכלה דלת פליטות גזי חממה; ו</w:t>
      </w:r>
      <w:r w:rsidRPr="005237F1">
        <w:rPr>
          <w:rFonts w:asciiTheme="minorBidi" w:hAnsiTheme="minorBidi" w:cstheme="minorBidi"/>
          <w:sz w:val="24"/>
          <w:szCs w:val="24"/>
          <w:u w:val="single"/>
          <w:rtl/>
        </w:rPr>
        <w:t>סיכון תדמיתי</w:t>
      </w:r>
      <w:r w:rsidRPr="005237F1">
        <w:rPr>
          <w:rFonts w:asciiTheme="minorBidi" w:hAnsiTheme="minorBidi" w:cstheme="minorBidi"/>
          <w:sz w:val="24"/>
          <w:szCs w:val="24"/>
          <w:rtl/>
        </w:rPr>
        <w:t xml:space="preserve"> – פגיעה ביכולת של החברה לנצל הזדמנויות עסקיות ולאתר מקורות מימון עקב פגיעה בתדמיתה. </w:t>
      </w:r>
    </w:p>
    <w:p w:rsidR="00C14C83" w:rsidRPr="005237F1" w:rsidRDefault="00C14C83" w:rsidP="005237F1">
      <w:pPr>
        <w:pStyle w:val="ac"/>
        <w:numPr>
          <w:ilvl w:val="0"/>
          <w:numId w:val="5"/>
        </w:numPr>
        <w:spacing w:after="120" w:line="360" w:lineRule="auto"/>
        <w:rPr>
          <w:rFonts w:asciiTheme="minorBidi" w:hAnsiTheme="minorBidi" w:cstheme="minorBidi"/>
          <w:sz w:val="24"/>
          <w:szCs w:val="24"/>
          <w:rtl/>
        </w:rPr>
      </w:pPr>
      <w:r w:rsidRPr="005237F1">
        <w:rPr>
          <w:rFonts w:asciiTheme="minorBidi" w:hAnsiTheme="minorBidi" w:cstheme="minorBidi"/>
          <w:sz w:val="24"/>
          <w:szCs w:val="24"/>
          <w:rtl/>
        </w:rPr>
        <w:t xml:space="preserve">לצד הדוגמה החשובה של פרשת </w:t>
      </w:r>
      <w:proofErr w:type="spellStart"/>
      <w:r w:rsidRPr="005237F1">
        <w:rPr>
          <w:rFonts w:asciiTheme="minorBidi" w:hAnsiTheme="minorBidi" w:cstheme="minorBidi"/>
          <w:sz w:val="24"/>
          <w:szCs w:val="24"/>
          <w:rtl/>
        </w:rPr>
        <w:t>דיזלגייט</w:t>
      </w:r>
      <w:proofErr w:type="spellEnd"/>
      <w:r w:rsidRPr="005237F1">
        <w:rPr>
          <w:rFonts w:asciiTheme="minorBidi" w:hAnsiTheme="minorBidi" w:cstheme="minorBidi"/>
          <w:sz w:val="24"/>
          <w:szCs w:val="24"/>
          <w:rtl/>
        </w:rPr>
        <w:t xml:space="preserve"> שהובאה בקול הקורא, ושבמסגרתה הוגשה לאחרונה תביעה אזרחית לפיצוי של מעל ל-500 מיליון ₪ על ידי פרקליטות המדינה,</w:t>
      </w:r>
      <w:r w:rsidRPr="005237F1">
        <w:rPr>
          <w:rStyle w:val="ab"/>
          <w:rFonts w:asciiTheme="minorBidi" w:hAnsiTheme="minorBidi" w:cstheme="minorBidi"/>
          <w:sz w:val="24"/>
          <w:szCs w:val="24"/>
          <w:rtl/>
        </w:rPr>
        <w:footnoteReference w:id="5"/>
      </w:r>
      <w:r w:rsidRPr="005237F1">
        <w:rPr>
          <w:rFonts w:asciiTheme="minorBidi" w:hAnsiTheme="minorBidi" w:cstheme="minorBidi"/>
          <w:sz w:val="24"/>
          <w:szCs w:val="24"/>
          <w:rtl/>
        </w:rPr>
        <w:t xml:space="preserve"> ניתן לציין דוגמאות נוספות כגון דליפת צינור הנפט של </w:t>
      </w:r>
      <w:proofErr w:type="spellStart"/>
      <w:r w:rsidRPr="005237F1">
        <w:rPr>
          <w:rFonts w:asciiTheme="minorBidi" w:hAnsiTheme="minorBidi" w:cstheme="minorBidi"/>
          <w:sz w:val="24"/>
          <w:szCs w:val="24"/>
          <w:rtl/>
        </w:rPr>
        <w:t>קצא"א</w:t>
      </w:r>
      <w:proofErr w:type="spellEnd"/>
      <w:r w:rsidRPr="005237F1">
        <w:rPr>
          <w:rFonts w:asciiTheme="minorBidi" w:hAnsiTheme="minorBidi" w:cstheme="minorBidi"/>
          <w:sz w:val="24"/>
          <w:szCs w:val="24"/>
          <w:rtl/>
        </w:rPr>
        <w:t xml:space="preserve"> שבגינה נדרשו בין היתר מבטחי החברה להשתתף בעלות הפיצוי שעמדה על כ-100 מיליון ₪,</w:t>
      </w:r>
      <w:r w:rsidRPr="005237F1">
        <w:rPr>
          <w:rStyle w:val="ab"/>
          <w:rFonts w:asciiTheme="minorBidi" w:hAnsiTheme="minorBidi" w:cstheme="minorBidi"/>
          <w:sz w:val="24"/>
          <w:szCs w:val="24"/>
          <w:rtl/>
        </w:rPr>
        <w:footnoteReference w:id="6"/>
      </w:r>
      <w:r w:rsidRPr="005237F1">
        <w:rPr>
          <w:rFonts w:asciiTheme="minorBidi" w:hAnsiTheme="minorBidi" w:cstheme="minorBidi"/>
          <w:sz w:val="24"/>
          <w:szCs w:val="24"/>
          <w:rtl/>
        </w:rPr>
        <w:t xml:space="preserve"> פרשת תעשיות אלקטרוכימיות שבמסגרתה השתתפו הבנקים המלווים של המפעל במימון השיקום בגין שעבודים על נכסים מזהמים,</w:t>
      </w:r>
      <w:r w:rsidRPr="005237F1">
        <w:rPr>
          <w:rStyle w:val="ab"/>
          <w:rFonts w:asciiTheme="minorBidi" w:hAnsiTheme="minorBidi" w:cstheme="minorBidi"/>
          <w:sz w:val="24"/>
          <w:szCs w:val="24"/>
          <w:rtl/>
        </w:rPr>
        <w:footnoteReference w:id="7"/>
      </w:r>
      <w:r w:rsidRPr="005237F1">
        <w:rPr>
          <w:rFonts w:asciiTheme="minorBidi" w:hAnsiTheme="minorBidi" w:cstheme="minorBidi"/>
          <w:sz w:val="24"/>
          <w:szCs w:val="24"/>
          <w:rtl/>
        </w:rPr>
        <w:t xml:space="preserve"> ואת ההליך המשפטי כנגד חברת רותם </w:t>
      </w:r>
      <w:proofErr w:type="spellStart"/>
      <w:r w:rsidRPr="005237F1">
        <w:rPr>
          <w:rFonts w:asciiTheme="minorBidi" w:hAnsiTheme="minorBidi" w:cstheme="minorBidi"/>
          <w:sz w:val="24"/>
          <w:szCs w:val="24"/>
          <w:rtl/>
        </w:rPr>
        <w:t>אמפרט</w:t>
      </w:r>
      <w:proofErr w:type="spellEnd"/>
      <w:r w:rsidRPr="005237F1">
        <w:rPr>
          <w:rFonts w:asciiTheme="minorBidi" w:hAnsiTheme="minorBidi" w:cstheme="minorBidi"/>
          <w:sz w:val="24"/>
          <w:szCs w:val="24"/>
          <w:rtl/>
        </w:rPr>
        <w:t xml:space="preserve"> בשל פריצת המאגר וזיהום נחל אשלים בשנת 2017. </w:t>
      </w:r>
    </w:p>
    <w:p w:rsidR="00C14C83" w:rsidRPr="005237F1" w:rsidRDefault="00C14C83" w:rsidP="005237F1">
      <w:pPr>
        <w:spacing w:line="360" w:lineRule="auto"/>
        <w:rPr>
          <w:rFonts w:asciiTheme="minorBidi" w:hAnsiTheme="minorBidi" w:cstheme="minorBidi"/>
          <w:b/>
          <w:bCs/>
          <w:u w:val="single"/>
          <w:rtl/>
        </w:rPr>
      </w:pPr>
    </w:p>
    <w:p w:rsidR="006E09AA" w:rsidRPr="005237F1" w:rsidRDefault="00C14C83" w:rsidP="005237F1">
      <w:pPr>
        <w:pStyle w:val="2"/>
        <w:spacing w:line="360" w:lineRule="auto"/>
        <w:rPr>
          <w:rtl/>
        </w:rPr>
      </w:pPr>
      <w:r w:rsidRPr="005237F1">
        <w:rPr>
          <w:rFonts w:hint="cs"/>
          <w:rtl/>
        </w:rPr>
        <w:t>התייחסותנו לסוגיות לבחינה בקול הקורא</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הצורך בגילוי</w:t>
      </w:r>
      <w:r w:rsidRPr="005237F1">
        <w:rPr>
          <w:rFonts w:asciiTheme="minorBidi" w:hAnsiTheme="minorBidi" w:cstheme="minorBidi"/>
          <w:sz w:val="24"/>
          <w:szCs w:val="24"/>
          <w:rtl/>
        </w:rPr>
        <w:t xml:space="preserve"> – התכליות של הסדרי הגילוי הן לצמצם או למנוע מצבים של אסימטריה במידע, ולאפשר לצדדים להסכם לפעול בהתאם לטעמיהם ולתפיסותיהם. בהקשר להיבטי סביבה, גילוי צפוי לסייע הן למשקיעים והן ללקוחות הגופים הפיננסים בבחירות מושכלת יותר. כך למשל, גורם מסוים יכול לסבור, לפי תפיסותיו והבנתו, שהשקעה בפעילויות הנמצאות על שרשרת הערך של </w:t>
      </w:r>
      <w:proofErr w:type="spellStart"/>
      <w:r w:rsidRPr="005237F1">
        <w:rPr>
          <w:rFonts w:asciiTheme="minorBidi" w:hAnsiTheme="minorBidi" w:cstheme="minorBidi"/>
          <w:sz w:val="24"/>
          <w:szCs w:val="24"/>
          <w:rtl/>
        </w:rPr>
        <w:t>הדלקים</w:t>
      </w:r>
      <w:proofErr w:type="spellEnd"/>
      <w:r w:rsidRPr="005237F1">
        <w:rPr>
          <w:rFonts w:asciiTheme="minorBidi" w:hAnsiTheme="minorBidi" w:cstheme="minorBidi"/>
          <w:sz w:val="24"/>
          <w:szCs w:val="24"/>
          <w:rtl/>
        </w:rPr>
        <w:t xml:space="preserve"> </w:t>
      </w:r>
      <w:proofErr w:type="spellStart"/>
      <w:r w:rsidRPr="005237F1">
        <w:rPr>
          <w:rFonts w:asciiTheme="minorBidi" w:hAnsiTheme="minorBidi" w:cstheme="minorBidi"/>
          <w:sz w:val="24"/>
          <w:szCs w:val="24"/>
          <w:rtl/>
        </w:rPr>
        <w:t>הפוסיליים</w:t>
      </w:r>
      <w:proofErr w:type="spellEnd"/>
      <w:r w:rsidRPr="005237F1">
        <w:rPr>
          <w:rFonts w:asciiTheme="minorBidi" w:hAnsiTheme="minorBidi" w:cstheme="minorBidi"/>
          <w:sz w:val="24"/>
          <w:szCs w:val="24"/>
          <w:rtl/>
        </w:rPr>
        <w:t xml:space="preserve"> צפויה להניב פחות </w:t>
      </w:r>
      <w:r w:rsidRPr="005237F1">
        <w:rPr>
          <w:rFonts w:asciiTheme="minorBidi" w:hAnsiTheme="minorBidi" w:cstheme="minorBidi"/>
          <w:sz w:val="24"/>
          <w:szCs w:val="24"/>
          <w:rtl/>
        </w:rPr>
        <w:lastRenderedPageBreak/>
        <w:t>תשואה בטווח הארוך. לצד זאת, גורם מסוים יכול לסבור כי ניהול קפדני של סיכוני סביבה צפוי להפחית את התנודתיות של ערכי הנכסים ולבחור או לא לבחור באופן ניהול זה לפי טעמיו וצרכיו.</w:t>
      </w:r>
      <w:r w:rsidRPr="005237F1">
        <w:rPr>
          <w:rStyle w:val="ab"/>
          <w:rFonts w:asciiTheme="minorBidi" w:hAnsiTheme="minorBidi" w:cstheme="minorBidi"/>
          <w:sz w:val="24"/>
          <w:szCs w:val="24"/>
          <w:rtl/>
        </w:rPr>
        <w:footnoteReference w:id="8"/>
      </w:r>
      <w:r w:rsidRPr="005237F1">
        <w:rPr>
          <w:rFonts w:asciiTheme="minorBidi" w:hAnsiTheme="minorBidi" w:cstheme="minorBidi"/>
          <w:sz w:val="24"/>
          <w:szCs w:val="24"/>
          <w:rtl/>
        </w:rPr>
        <w:t xml:space="preserve"> לצד הצורך לשקף ללקוח, עמית או משקיע מה החשיפות להונו, גילוי נאות צפוי לשמש צרכני מידע שונים בביצוע ניתוחי מגמות והשוואות כגון סוכנויות דירוג, חוקרים מהאקדמיה וארגוני סביבה. משום כך, קביעת חובות גילוי תאפשר יצירת מסדי מידע שיאפשרו פיתוח סטנדרטים אחידים הצפויים להקל על הגורמים בשוק המעוניינים בביצוע השוואות ומייחסים חשיבות להיבטים אלו כסמנים המצביעים על "בריאות" ואיתנות העסק. </w:t>
      </w:r>
    </w:p>
    <w:p w:rsidR="00C14C83" w:rsidRPr="005237F1" w:rsidRDefault="00C14C83" w:rsidP="005237F1">
      <w:pPr>
        <w:pStyle w:val="ac"/>
        <w:numPr>
          <w:ilvl w:val="0"/>
          <w:numId w:val="5"/>
        </w:numPr>
        <w:spacing w:after="0" w:line="360" w:lineRule="auto"/>
        <w:rPr>
          <w:rFonts w:asciiTheme="minorBidi" w:hAnsiTheme="minorBidi" w:cstheme="minorBidi"/>
          <w:sz w:val="24"/>
          <w:szCs w:val="24"/>
          <w:rtl/>
        </w:rPr>
      </w:pPr>
      <w:r w:rsidRPr="005237F1">
        <w:rPr>
          <w:rFonts w:asciiTheme="minorBidi" w:hAnsiTheme="minorBidi" w:cstheme="minorBidi"/>
          <w:b/>
          <w:bCs/>
          <w:sz w:val="24"/>
          <w:szCs w:val="24"/>
          <w:rtl/>
        </w:rPr>
        <w:t xml:space="preserve">מתכונת הגילוי </w:t>
      </w:r>
      <w:r w:rsidRPr="005237F1">
        <w:rPr>
          <w:rFonts w:asciiTheme="minorBidi" w:hAnsiTheme="minorBidi" w:cstheme="minorBidi"/>
          <w:sz w:val="24"/>
          <w:szCs w:val="24"/>
          <w:rtl/>
        </w:rPr>
        <w:t>– אשר לגופים הפיננסיים,</w:t>
      </w:r>
      <w:r w:rsidRPr="005237F1">
        <w:rPr>
          <w:rStyle w:val="ab"/>
          <w:rFonts w:asciiTheme="minorBidi" w:hAnsiTheme="minorBidi" w:cstheme="minorBidi"/>
          <w:sz w:val="24"/>
          <w:szCs w:val="24"/>
          <w:rtl/>
        </w:rPr>
        <w:footnoteReference w:id="9"/>
      </w:r>
      <w:r w:rsidRPr="005237F1">
        <w:rPr>
          <w:rFonts w:asciiTheme="minorBidi" w:hAnsiTheme="minorBidi" w:cstheme="minorBidi"/>
          <w:sz w:val="24"/>
          <w:szCs w:val="24"/>
          <w:rtl/>
        </w:rPr>
        <w:t xml:space="preserve"> על מנת לשקף למשקיעים ולקוחות של המגזר הפיננסי את המידע הרלבנטי שיסייע להם בתכנון פעולותיהם, ולאור חקיקת הפרלמנט האירופאי</w:t>
      </w:r>
      <w:r w:rsidRPr="005237F1">
        <w:rPr>
          <w:rStyle w:val="ab"/>
          <w:rFonts w:asciiTheme="minorBidi" w:hAnsiTheme="minorBidi" w:cstheme="minorBidi"/>
          <w:sz w:val="24"/>
          <w:szCs w:val="24"/>
          <w:rtl/>
        </w:rPr>
        <w:footnoteReference w:id="10"/>
      </w:r>
      <w:r w:rsidRPr="005237F1">
        <w:rPr>
          <w:rFonts w:asciiTheme="minorBidi" w:hAnsiTheme="minorBidi" w:cstheme="minorBidi"/>
          <w:sz w:val="24"/>
          <w:szCs w:val="24"/>
          <w:rtl/>
        </w:rPr>
        <w:t xml:space="preserve"> ולדירקטיבה בדבר גילוי מידע לא פיננסי,</w:t>
      </w:r>
      <w:r w:rsidRPr="005237F1">
        <w:rPr>
          <w:rStyle w:val="ab"/>
          <w:rFonts w:asciiTheme="minorBidi" w:hAnsiTheme="minorBidi" w:cstheme="minorBidi"/>
          <w:sz w:val="24"/>
          <w:szCs w:val="24"/>
          <w:rtl/>
        </w:rPr>
        <w:footnoteReference w:id="11"/>
      </w:r>
      <w:r w:rsidRPr="005237F1">
        <w:rPr>
          <w:rFonts w:asciiTheme="minorBidi" w:hAnsiTheme="minorBidi" w:cstheme="minorBidi"/>
          <w:sz w:val="24"/>
          <w:szCs w:val="24"/>
          <w:rtl/>
        </w:rPr>
        <w:t xml:space="preserve"> אני סבורים שיש לקבוע חובות גילוי לגבי הקריטריונים הבאים:</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u w:val="single"/>
          <w:rtl/>
        </w:rPr>
        <w:t>מדיניות ההטמעה של סיכוני סביבה</w:t>
      </w:r>
      <w:r w:rsidRPr="005237F1">
        <w:rPr>
          <w:rFonts w:asciiTheme="minorBidi" w:hAnsiTheme="minorBidi" w:cstheme="minorBidi"/>
          <w:sz w:val="24"/>
          <w:szCs w:val="24"/>
          <w:rtl/>
        </w:rPr>
        <w:t xml:space="preserve"> – אנו סבורים שעל הגוף הפיננסי לגלות והאם יש מדיניות ומה היא המדיניות. בכלל זה על הגוף הפיננסי לגלות האם הוא שוקל סיכונים אלו בתהליכי קבלת ההחלטות, האם המדיניות היא לבחון רק סיכונים בעלי השפעות פיננסיות פוטנציאליות או גם השפעות משמעותיות של הפעילות הכלכלית המוטבת על הסביבה ("מהותיות כפולה"), והאם הוא נוקט צעדים על מנת לצמצם את הסיכונים הסביבתיים, לרבות מנגנוני היערכות לסיכונים ארוכי טווח.</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u w:val="single"/>
          <w:rtl/>
        </w:rPr>
        <w:t>מנגנוני ניהול ובקרה</w:t>
      </w:r>
      <w:r w:rsidRPr="005237F1">
        <w:rPr>
          <w:rFonts w:asciiTheme="minorBidi" w:hAnsiTheme="minorBidi" w:cstheme="minorBidi"/>
          <w:sz w:val="24"/>
          <w:szCs w:val="24"/>
          <w:rtl/>
        </w:rPr>
        <w:t xml:space="preserve"> – אנו סבורים שעל הגוף הפיננסי לגלות כיצד הוא מטמיע את המדיניות שלו. בכלל זה על הגוף הפיננסי לגלות באופן כיצד הוא מגדיר סיכונים סביבתיים, כיצד הוא מזהה אותם וכיצד הם מקבלים ביטוי בתהליכי קבלת ההחלטות. כמו כן, אנו סבורים שעל הגוף הפיננסי לגלות את מיהות הגורמים הפנים ארגוניים האמונים על הטמעת המדיניות. גילוי מנגנונים אלו צפוי לסייע בביצוע השוואות.</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u w:val="single"/>
        </w:rPr>
      </w:pPr>
      <w:r w:rsidRPr="005237F1">
        <w:rPr>
          <w:rFonts w:asciiTheme="minorBidi" w:hAnsiTheme="minorBidi" w:cstheme="minorBidi"/>
          <w:sz w:val="24"/>
          <w:szCs w:val="24"/>
          <w:u w:val="single"/>
          <w:rtl/>
        </w:rPr>
        <w:lastRenderedPageBreak/>
        <w:t>היקפי חשיפות</w:t>
      </w:r>
      <w:r w:rsidRPr="005237F1">
        <w:rPr>
          <w:rFonts w:asciiTheme="minorBidi" w:hAnsiTheme="minorBidi" w:cstheme="minorBidi"/>
          <w:sz w:val="24"/>
          <w:szCs w:val="24"/>
          <w:rtl/>
        </w:rPr>
        <w:t xml:space="preserve"> – אנו סבורים שעל הגוף הפיננסי לגלות את הפרטים הבאים: סך היקף הנכסים שהוגדרו כמסוכנים מסך כל תיק הנכסים שלו, חלוקת החשיפות לפי סוגי הסיכונים, חלוקת החשיפות לפי חלוקה ענפית, וההיבטים האחרים הרלבנטיים לביצוע ההערכה והשוואות. גילוי זה יאפשר בין היתר בקרה אזרחית על היקפי החשיפות המשקיות לתרחישי סביבה שונים.</w:t>
      </w:r>
      <w:r w:rsidRPr="005237F1">
        <w:rPr>
          <w:rFonts w:asciiTheme="minorBidi" w:hAnsiTheme="minorBidi" w:cstheme="minorBidi"/>
          <w:sz w:val="24"/>
          <w:szCs w:val="24"/>
          <w:u w:val="single"/>
          <w:rtl/>
        </w:rPr>
        <w:t xml:space="preserve"> אנו כמובן נשמח לקיים שיח ממוקד על סוגיה זו</w:t>
      </w:r>
      <w:r w:rsidRPr="005237F1">
        <w:rPr>
          <w:rFonts w:asciiTheme="minorBidi" w:hAnsiTheme="minorBidi" w:cstheme="minorBidi"/>
          <w:sz w:val="24"/>
          <w:szCs w:val="24"/>
          <w:rtl/>
        </w:rPr>
        <w:t xml:space="preserve">. </w:t>
      </w:r>
      <w:r w:rsidRPr="005237F1">
        <w:rPr>
          <w:rFonts w:asciiTheme="minorBidi" w:hAnsiTheme="minorBidi" w:cstheme="minorBidi"/>
          <w:sz w:val="24"/>
          <w:szCs w:val="24"/>
          <w:u w:val="single"/>
          <w:rtl/>
        </w:rPr>
        <w:t xml:space="preserve"> </w:t>
      </w:r>
    </w:p>
    <w:p w:rsidR="00C14C83" w:rsidRPr="005237F1" w:rsidRDefault="00C14C83" w:rsidP="005237F1">
      <w:pPr>
        <w:pStyle w:val="ac"/>
        <w:spacing w:after="0" w:line="360" w:lineRule="auto"/>
        <w:rPr>
          <w:rFonts w:asciiTheme="minorBidi" w:hAnsiTheme="minorBidi" w:cstheme="minorBidi"/>
          <w:sz w:val="24"/>
          <w:szCs w:val="24"/>
          <w:rtl/>
        </w:rPr>
      </w:pPr>
      <w:r w:rsidRPr="005237F1">
        <w:rPr>
          <w:rFonts w:asciiTheme="minorBidi" w:hAnsiTheme="minorBidi" w:cstheme="minorBidi"/>
          <w:sz w:val="24"/>
          <w:szCs w:val="24"/>
          <w:rtl/>
        </w:rPr>
        <w:t>אשר למתכונת הגילוי של החברות הציבוריות, כפי שפירטנו לעיל אנו סבורים שרצוי להחיל את גישת המהותיות הכפולה שלפיה על החברה לגלות כיצד פעילותה משפיעה באופן מהותי על הסביבה. לגבי המרכיבים שאותם יש לגלות, אנו סבורים שרצוי לעשות שימוש בחלק ממרכיבי המתודולוגיה של מדד ההשפעה הסביבתית:</w:t>
      </w:r>
      <w:r w:rsidRPr="005237F1">
        <w:rPr>
          <w:rStyle w:val="ab"/>
          <w:rFonts w:asciiTheme="minorBidi" w:hAnsiTheme="minorBidi" w:cstheme="minorBidi"/>
          <w:sz w:val="24"/>
          <w:szCs w:val="24"/>
          <w:rtl/>
        </w:rPr>
        <w:footnoteReference w:id="12"/>
      </w:r>
      <w:r w:rsidRPr="005237F1">
        <w:rPr>
          <w:rFonts w:asciiTheme="minorBidi" w:hAnsiTheme="minorBidi" w:cstheme="minorBidi"/>
          <w:sz w:val="24"/>
          <w:szCs w:val="24"/>
          <w:rtl/>
        </w:rPr>
        <w:t xml:space="preserve"> אירועי זיהומי סביבה ומערכות לניהול סיכוני הסביבה לרבות הסמכות ככל שישנן. כמו כן, רצוי להוסיף גילויים בדבר הוצאות הוניות ותפעוליות לשמירה על הסביבה לפי סיווג הפחתה במקור והפחתה בקצה.</w:t>
      </w:r>
      <w:r w:rsidRPr="005237F1">
        <w:rPr>
          <w:rStyle w:val="ab"/>
          <w:rFonts w:asciiTheme="minorBidi" w:hAnsiTheme="minorBidi" w:cstheme="minorBidi"/>
          <w:sz w:val="24"/>
          <w:szCs w:val="24"/>
          <w:rtl/>
        </w:rPr>
        <w:footnoteReference w:id="13"/>
      </w:r>
      <w:r w:rsidRPr="005237F1">
        <w:rPr>
          <w:rFonts w:asciiTheme="minorBidi" w:hAnsiTheme="minorBidi" w:cstheme="minorBidi"/>
          <w:sz w:val="24"/>
          <w:szCs w:val="24"/>
          <w:rtl/>
        </w:rPr>
        <w:t xml:space="preserve"> לגבי סוגי הפעילויות, לדידנו החברות שנכון להחיל עליהן חובות גילוי הן החברות המחויבות בדיווח לפי חוק הגנת הסביבה (פליטות והעברות לסביבה – חובות דיווח ומרשם), התשע"ב-2012, וחברות מענפי התשתיות והבנייה. גילויים אלו יאפשרו בין היתר השוואות ענפיות על ידי המשקיעים בין חברות דומות בארץ ובחו"ל בנוגע לניהול של היבטים סביבתיים.</w:t>
      </w:r>
    </w:p>
    <w:p w:rsidR="00C14C83" w:rsidRPr="005237F1" w:rsidRDefault="00C14C83" w:rsidP="005237F1">
      <w:pPr>
        <w:pStyle w:val="ac"/>
        <w:spacing w:after="0" w:line="360" w:lineRule="auto"/>
        <w:rPr>
          <w:rFonts w:asciiTheme="minorBidi" w:hAnsiTheme="minorBidi" w:cstheme="minorBidi"/>
          <w:sz w:val="24"/>
          <w:szCs w:val="24"/>
          <w:u w:val="single"/>
        </w:rPr>
      </w:pPr>
      <w:r w:rsidRPr="005237F1">
        <w:rPr>
          <w:rFonts w:asciiTheme="minorBidi" w:hAnsiTheme="minorBidi" w:cstheme="minorBidi"/>
          <w:sz w:val="24"/>
          <w:szCs w:val="24"/>
          <w:u w:val="single"/>
          <w:rtl/>
        </w:rPr>
        <w:t>אנו כמובן נשמח לקיים תהליך של חשיבה משותפת על תכולת הגילוי וסוגי הפעילויות בהקשרים הסביבתיים</w:t>
      </w:r>
      <w:r w:rsidRPr="005237F1">
        <w:rPr>
          <w:rFonts w:asciiTheme="minorBidi" w:hAnsiTheme="minorBidi" w:cstheme="minorBidi"/>
          <w:sz w:val="24"/>
          <w:szCs w:val="24"/>
          <w:rtl/>
        </w:rPr>
        <w:t>.</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מיקום הגילוי</w:t>
      </w:r>
      <w:r w:rsidRPr="005237F1">
        <w:rPr>
          <w:rFonts w:asciiTheme="minorBidi" w:hAnsiTheme="minorBidi" w:cstheme="minorBidi"/>
          <w:sz w:val="24"/>
          <w:szCs w:val="24"/>
          <w:rtl/>
        </w:rPr>
        <w:t xml:space="preserve"> – אשר לגופים הפיננסיים, בהתאם לחקיקת הפרלמנט האירופאי אנו סבורים שנכון יהיה לגלות את המידע באתר הגוף הפיננסי במיקום נגיש, מאחר שהגילוי משרת גם את הלקוחות וגם את המשקיעים. אנו סבורים שיש לקבוע חובת עדכון לכל הפחות אחת לשנה. אשר לחברות הציבוריות, אנו סבורים שאתר </w:t>
      </w:r>
      <w:proofErr w:type="spellStart"/>
      <w:r w:rsidRPr="005237F1">
        <w:rPr>
          <w:rFonts w:asciiTheme="minorBidi" w:hAnsiTheme="minorBidi" w:cstheme="minorBidi"/>
          <w:sz w:val="24"/>
          <w:szCs w:val="24"/>
          <w:rtl/>
        </w:rPr>
        <w:t>המגנ"א</w:t>
      </w:r>
      <w:proofErr w:type="spellEnd"/>
      <w:r w:rsidRPr="005237F1">
        <w:rPr>
          <w:rFonts w:asciiTheme="minorBidi" w:hAnsiTheme="minorBidi" w:cstheme="minorBidi"/>
          <w:sz w:val="24"/>
          <w:szCs w:val="24"/>
          <w:rtl/>
        </w:rPr>
        <w:t xml:space="preserve"> של הרשות לניירות ערך ואתר המאיה של הבורסה, מהווים תשתית טובה לגילוי מאחר שלמיטב ידיעתנו הם משמשים משקיעים, חוקרים ויועצים. לאור מגמת ההתפתחות של מוצרי </w:t>
      </w:r>
      <w:r w:rsidRPr="005237F1">
        <w:rPr>
          <w:rFonts w:asciiTheme="minorBidi" w:hAnsiTheme="minorBidi" w:cstheme="minorBidi"/>
        </w:rPr>
        <w:t>ESG</w:t>
      </w:r>
      <w:r w:rsidRPr="005237F1">
        <w:rPr>
          <w:rFonts w:asciiTheme="minorBidi" w:hAnsiTheme="minorBidi" w:cstheme="minorBidi"/>
          <w:sz w:val="24"/>
          <w:szCs w:val="24"/>
          <w:rtl/>
        </w:rPr>
        <w:t xml:space="preserve"> ודירוגי </w:t>
      </w:r>
      <w:r w:rsidRPr="005237F1">
        <w:rPr>
          <w:rFonts w:asciiTheme="minorBidi" w:hAnsiTheme="minorBidi" w:cstheme="minorBidi"/>
        </w:rPr>
        <w:t>ESG</w:t>
      </w:r>
      <w:r w:rsidRPr="005237F1">
        <w:rPr>
          <w:rFonts w:asciiTheme="minorBidi" w:hAnsiTheme="minorBidi" w:cstheme="minorBidi"/>
          <w:sz w:val="24"/>
          <w:szCs w:val="24"/>
          <w:rtl/>
        </w:rPr>
        <w:t xml:space="preserve">, לצד הרחבה בדוחות השנתיים והתשקיפים אנו סבורים שיהיה נכון </w:t>
      </w:r>
      <w:r w:rsidRPr="005237F1">
        <w:rPr>
          <w:rFonts w:asciiTheme="minorBidi" w:hAnsiTheme="minorBidi" w:cstheme="minorBidi"/>
          <w:sz w:val="24"/>
          <w:szCs w:val="24"/>
          <w:rtl/>
        </w:rPr>
        <w:lastRenderedPageBreak/>
        <w:t>לקבוע שהדיווחים המיידים בנושאי סביבה יתויגו ויהיה אפשר לבצע חיפוש לפי דיווחים אלו.</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חובת הגילוי</w:t>
      </w:r>
      <w:r w:rsidRPr="005237F1">
        <w:rPr>
          <w:rFonts w:asciiTheme="minorBidi" w:hAnsiTheme="minorBidi" w:cstheme="minorBidi"/>
          <w:sz w:val="24"/>
          <w:szCs w:val="24"/>
          <w:rtl/>
        </w:rPr>
        <w:t xml:space="preserve"> – ראשית נציין שאנחנו סבורים שנכון יהיה לקבוע הסדרי גילוי מנדטוריים. </w:t>
      </w:r>
      <w:proofErr w:type="spellStart"/>
      <w:r w:rsidRPr="005237F1">
        <w:rPr>
          <w:rFonts w:asciiTheme="minorBidi" w:hAnsiTheme="minorBidi" w:cstheme="minorBidi"/>
          <w:sz w:val="24"/>
          <w:szCs w:val="24"/>
          <w:rtl/>
        </w:rPr>
        <w:t>אסדרת</w:t>
      </w:r>
      <w:proofErr w:type="spellEnd"/>
      <w:r w:rsidRPr="005237F1">
        <w:rPr>
          <w:rFonts w:asciiTheme="minorBidi" w:hAnsiTheme="minorBidi" w:cstheme="minorBidi"/>
          <w:sz w:val="24"/>
          <w:szCs w:val="24"/>
          <w:rtl/>
        </w:rPr>
        <w:t xml:space="preserve"> חובות הגילוי כיום בישראל היא חלקית ולא אחידה:</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rtl/>
        </w:rPr>
        <w:t xml:space="preserve">אשר לגופים הפיננסיים, על המשקיעים המוסדיים שאינם קרנות נאמנות חלות חובות גילוי </w:t>
      </w:r>
      <w:r w:rsidRPr="005237F1">
        <w:rPr>
          <w:rFonts w:asciiTheme="minorBidi" w:hAnsiTheme="minorBidi" w:cstheme="minorBidi"/>
        </w:rPr>
        <w:t>ESG</w:t>
      </w:r>
      <w:r w:rsidRPr="005237F1">
        <w:rPr>
          <w:rFonts w:asciiTheme="minorBidi" w:hAnsiTheme="minorBidi" w:cstheme="minorBidi"/>
          <w:sz w:val="24"/>
          <w:szCs w:val="24"/>
          <w:rtl/>
        </w:rPr>
        <w:t xml:space="preserve"> מסוימות לפי גישת "אמץ או גלה";</w:t>
      </w:r>
      <w:r w:rsidRPr="005237F1">
        <w:rPr>
          <w:rStyle w:val="ab"/>
          <w:rFonts w:asciiTheme="minorBidi" w:hAnsiTheme="minorBidi" w:cstheme="minorBidi"/>
          <w:sz w:val="24"/>
          <w:szCs w:val="24"/>
          <w:rtl/>
        </w:rPr>
        <w:footnoteReference w:id="14"/>
      </w:r>
      <w:r w:rsidRPr="005237F1">
        <w:rPr>
          <w:rFonts w:asciiTheme="minorBidi" w:hAnsiTheme="minorBidi" w:cstheme="minorBidi"/>
          <w:sz w:val="24"/>
          <w:szCs w:val="24"/>
          <w:rtl/>
        </w:rPr>
        <w:t xml:space="preserve"> על הבנקים מוחלות חובות גילוי כלליות של הסיכונים לפי נדבך 3 לאמנת באזל אשר להבנתנו אינו מפרט כיצד יש להתייחס להיבטי סביבה (או לכלל ה-</w:t>
      </w:r>
      <w:r w:rsidRPr="005237F1">
        <w:rPr>
          <w:rFonts w:asciiTheme="minorBidi" w:hAnsiTheme="minorBidi" w:cstheme="minorBidi"/>
        </w:rPr>
        <w:t>ESG</w:t>
      </w:r>
      <w:r w:rsidRPr="005237F1">
        <w:rPr>
          <w:rFonts w:asciiTheme="minorBidi" w:hAnsiTheme="minorBidi" w:cstheme="minorBidi"/>
          <w:sz w:val="24"/>
          <w:szCs w:val="24"/>
          <w:rtl/>
        </w:rPr>
        <w:t>).</w:t>
      </w:r>
      <w:r w:rsidRPr="005237F1">
        <w:rPr>
          <w:rStyle w:val="ab"/>
          <w:rFonts w:asciiTheme="minorBidi" w:hAnsiTheme="minorBidi" w:cstheme="minorBidi"/>
          <w:sz w:val="24"/>
          <w:szCs w:val="24"/>
          <w:rtl/>
        </w:rPr>
        <w:footnoteReference w:id="15"/>
      </w:r>
      <w:r w:rsidRPr="005237F1">
        <w:rPr>
          <w:rFonts w:asciiTheme="minorBidi" w:hAnsiTheme="minorBidi" w:cstheme="minorBidi"/>
          <w:sz w:val="24"/>
          <w:szCs w:val="24"/>
          <w:rtl/>
        </w:rPr>
        <w:t xml:space="preserve"> משום כך, אופן ההתייחסות להיבטי הסביבה בדיווחי הגופים המוסדיים  ובדוחות על הסיכונים שהבנקים מפרסמים אינו אחיד ונראה שיוצר קשיים בביצוע ניתוחים והשוואות. למיטב ידיעתנו </w:t>
      </w:r>
      <w:r w:rsidRPr="005237F1">
        <w:rPr>
          <w:rFonts w:asciiTheme="minorBidi" w:hAnsiTheme="minorBidi" w:cstheme="minorBidi"/>
          <w:sz w:val="24"/>
          <w:szCs w:val="24"/>
          <w:u w:val="single"/>
          <w:rtl/>
        </w:rPr>
        <w:t>על קרנות הנאמנות לא חלות חובות גילוי בהקשרים אלו</w:t>
      </w:r>
      <w:r w:rsidRPr="005237F1">
        <w:rPr>
          <w:rFonts w:asciiTheme="minorBidi" w:hAnsiTheme="minorBidi" w:cstheme="minorBidi"/>
          <w:sz w:val="24"/>
          <w:szCs w:val="24"/>
          <w:rtl/>
        </w:rPr>
        <w:t>.</w:t>
      </w:r>
      <w:r w:rsidRPr="005237F1">
        <w:rPr>
          <w:rStyle w:val="ab"/>
          <w:rFonts w:asciiTheme="minorBidi" w:hAnsiTheme="minorBidi" w:cstheme="minorBidi"/>
          <w:sz w:val="24"/>
          <w:szCs w:val="24"/>
        </w:rPr>
        <w:footnoteReference w:id="16"/>
      </w:r>
      <w:r w:rsidRPr="005237F1">
        <w:rPr>
          <w:rFonts w:asciiTheme="minorBidi" w:hAnsiTheme="minorBidi" w:cstheme="minorBidi"/>
          <w:sz w:val="24"/>
          <w:szCs w:val="24"/>
          <w:rtl/>
        </w:rPr>
        <w:t xml:space="preserve"> להבנתנו, יחסי הכוחות בין הגופים הפיננסיים לציבור לקוחותיהם אינם שווים. ציבור הלקוחות אינו מאוגד ומיוצג באופן המאפשר לו להציב דרישות גילוי במסגרת הסכמי ההתקשרות.</w:t>
      </w:r>
    </w:p>
    <w:p w:rsidR="00C14C83" w:rsidRPr="005237F1" w:rsidRDefault="00C14C83" w:rsidP="005237F1">
      <w:pPr>
        <w:pStyle w:val="ac"/>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rtl/>
        </w:rPr>
        <w:t>לפיכך אנו סבורים שיש להחיל כללי גילוי דומים על כלל הגורמים בסקטור הפיננסי, ובתחום הרשות לניירות ערך – על קרנות הנאמנות.</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rtl/>
        </w:rPr>
        <w:t>אשר לחברות הציבוריות, ההסדר המפורט בפרט 28 לתקנות ניירות ערך (פרטי התשקיף וטיוטת תשקיף – מבנה וצורה), תשכ"ט-1969 מתבסס על גישת המהותיות המסורתית. לאור העניין הגובר בתחומי הקיימות במסגרת השקעות, מגמת העלייה בשוק מוצרי ה-</w:t>
      </w:r>
      <w:r w:rsidRPr="005237F1">
        <w:rPr>
          <w:rFonts w:asciiTheme="minorBidi" w:hAnsiTheme="minorBidi" w:cstheme="minorBidi"/>
        </w:rPr>
        <w:t>ESG</w:t>
      </w:r>
      <w:r w:rsidRPr="005237F1">
        <w:rPr>
          <w:rFonts w:asciiTheme="minorBidi" w:hAnsiTheme="minorBidi" w:cstheme="minorBidi"/>
          <w:sz w:val="24"/>
          <w:szCs w:val="24"/>
          <w:rtl/>
        </w:rPr>
        <w:t>,</w:t>
      </w:r>
      <w:r w:rsidRPr="005237F1">
        <w:rPr>
          <w:rStyle w:val="ab"/>
          <w:rFonts w:asciiTheme="minorBidi" w:hAnsiTheme="minorBidi" w:cstheme="minorBidi"/>
          <w:sz w:val="24"/>
          <w:szCs w:val="24"/>
          <w:rtl/>
        </w:rPr>
        <w:footnoteReference w:id="17"/>
      </w:r>
      <w:r w:rsidRPr="005237F1">
        <w:rPr>
          <w:rFonts w:asciiTheme="minorBidi" w:hAnsiTheme="minorBidi" w:cstheme="minorBidi"/>
          <w:sz w:val="24"/>
          <w:szCs w:val="24"/>
          <w:rtl/>
        </w:rPr>
        <w:t xml:space="preserve"> ובשל הצורך להעניק אוטונומיה למשקיעים לתכנן את צעדיהם בהתאם לתפיסות עולמם, אנו סבורים שיש להחיל את גישת המהותיות הכפולה במישור זה. לצד זאת, להבנתנו ההסדר הקבוע בפרט 28 חל על תשקיפים לפני הנפקות ועל דיווחים שנתיים. אנו סבורים שיש להבהיר באיזה מקרים על החברה לדווח באופן מידי לבורסה על אירועי סביבה.</w:t>
      </w:r>
    </w:p>
    <w:p w:rsidR="00C14C83" w:rsidRPr="005237F1" w:rsidRDefault="00C14C83" w:rsidP="005237F1">
      <w:pPr>
        <w:pStyle w:val="ac"/>
        <w:numPr>
          <w:ilvl w:val="1"/>
          <w:numId w:val="5"/>
        </w:numPr>
        <w:spacing w:after="0" w:line="360" w:lineRule="auto"/>
        <w:ind w:left="1146"/>
        <w:rPr>
          <w:rFonts w:asciiTheme="minorBidi" w:hAnsiTheme="minorBidi" w:cstheme="minorBidi"/>
          <w:sz w:val="24"/>
          <w:szCs w:val="24"/>
        </w:rPr>
      </w:pPr>
      <w:r w:rsidRPr="005237F1">
        <w:rPr>
          <w:rFonts w:asciiTheme="minorBidi" w:hAnsiTheme="minorBidi" w:cstheme="minorBidi"/>
          <w:sz w:val="24"/>
          <w:szCs w:val="24"/>
          <w:rtl/>
        </w:rPr>
        <w:lastRenderedPageBreak/>
        <w:t xml:space="preserve">אשר לחברות שאינן ציבוריות, אנו סבורים שיש להחיל חובות גילוי גם על ישויות משפטיות בעלות היקפי השפעה משמעותיים על הסביבה כגון חלק מחברות הבנייה. </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השפעת הגילוי על הפעילות העסקית ועל כלכלת ישראל</w:t>
      </w:r>
      <w:r w:rsidRPr="005237F1">
        <w:rPr>
          <w:rFonts w:asciiTheme="minorBidi" w:hAnsiTheme="minorBidi" w:cstheme="minorBidi"/>
          <w:sz w:val="24"/>
          <w:szCs w:val="24"/>
          <w:rtl/>
        </w:rPr>
        <w:t xml:space="preserve"> – ככלל, צמצום מצבים של אסימטריה במידע צפוי לשכלל את השוק בין היתר בכך שיאפשר ביצוע השוואות של אפיקי השקעה המבוססות מסדי נתונים מקיפים יותר. על כן, אנו סבורים שלגילוי צפויה להיות השפעה חיובית. יתר על כן, הגילוי צפוי לתרום ליציבות המשק והמערכת הפיננסית – בפרט בפני מצבי קיצון סביבתיים – שכן הוא יאפשר ביצוע הערכות של היקפי חשיפות וביצוע מעקבים אחר מגמות, הן של הרגולטורים הפיננסיים והן של האקדמיה והחברה האזרחית. חשוב להדגיש שאיכות הסביבה היא חלק אינהרנטי מהכלכלה, שכן היא משפיעה באופן ישיר על איכות ותוחלת החיים. לפיכך, התרומה לסביבה של גילוי ההשפעה של המערכת הפיננסית על מצב הסביבה צפויה להיות מתורגמת לתרומה לכלכלה, בין היתר בהפחתת </w:t>
      </w:r>
      <w:proofErr w:type="spellStart"/>
      <w:r w:rsidRPr="005237F1">
        <w:rPr>
          <w:rFonts w:asciiTheme="minorBidi" w:hAnsiTheme="minorBidi" w:cstheme="minorBidi"/>
          <w:sz w:val="24"/>
          <w:szCs w:val="24"/>
          <w:rtl/>
        </w:rPr>
        <w:t>הנטלים</w:t>
      </w:r>
      <w:proofErr w:type="spellEnd"/>
      <w:r w:rsidRPr="005237F1">
        <w:rPr>
          <w:rFonts w:asciiTheme="minorBidi" w:hAnsiTheme="minorBidi" w:cstheme="minorBidi"/>
          <w:sz w:val="24"/>
          <w:szCs w:val="24"/>
          <w:rtl/>
        </w:rPr>
        <w:t xml:space="preserve"> שהכלכלה סופגת בעקבות מפגעים סביבתיים. מבחינת עלות מול תועלת, אנו מעריכים שעלות הגילוי היא זניחה לעומת העלויות של כשלי השוק שצוינו לעיל, בפרט לנוכח אירועים של התממשות סיכונים סביבתיים שאירעו בעשורים האחרונים. כמו כן, ייתכן שעלויות הגילוי יפחתו עם הזמן ככל שטכניקות הגילוי ישתכללו ויהיה יותר מידע זמין.</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התייחסות למשבר הקורונה</w:t>
      </w:r>
      <w:r w:rsidRPr="005237F1">
        <w:rPr>
          <w:rFonts w:asciiTheme="minorBidi" w:hAnsiTheme="minorBidi" w:cstheme="minorBidi"/>
          <w:sz w:val="24"/>
          <w:szCs w:val="24"/>
          <w:rtl/>
        </w:rPr>
        <w:t xml:space="preserve"> – משבר הקורונה ממחיש את הצורך בעיצוב מערכת כלכלית ופיננסית עמידה ועצמאית. בדומה למשבר הקורונה, בתחומי הסביבה ישנם תרחישים גלובליים, בכללם – התממשות סיכוני אקלים וסיכוני פגיעה במערכות אקולוגיות ושירותיהן.</w:t>
      </w:r>
      <w:r w:rsidRPr="005237F1">
        <w:rPr>
          <w:rStyle w:val="ab"/>
          <w:rFonts w:asciiTheme="minorBidi" w:hAnsiTheme="minorBidi" w:cstheme="minorBidi"/>
          <w:sz w:val="24"/>
          <w:szCs w:val="24"/>
          <w:rtl/>
        </w:rPr>
        <w:footnoteReference w:id="18"/>
      </w:r>
      <w:r w:rsidRPr="005237F1">
        <w:rPr>
          <w:rFonts w:asciiTheme="minorBidi" w:hAnsiTheme="minorBidi" w:cstheme="minorBidi"/>
          <w:sz w:val="24"/>
          <w:szCs w:val="24"/>
          <w:rtl/>
        </w:rPr>
        <w:t xml:space="preserve"> בדומה לקורונה, שינויי אקלים ופגיעה במערכות אקולוגיות עלולים לפגוע בענפי משק שונים. מעבר לכך, שינויי אקלים עלולים לפגוע בתשתיות ונתיבי סחר, להביא להתייקרות במוצרים שונים בשל הצורך בביצוע השקעות "אדפטציה", ועליית פרמיות של ביטוחים.</w:t>
      </w:r>
      <w:r w:rsidRPr="005237F1">
        <w:rPr>
          <w:rStyle w:val="ab"/>
          <w:rFonts w:asciiTheme="minorBidi" w:hAnsiTheme="minorBidi" w:cstheme="minorBidi"/>
          <w:sz w:val="24"/>
          <w:szCs w:val="24"/>
          <w:rtl/>
        </w:rPr>
        <w:footnoteReference w:id="19"/>
      </w:r>
      <w:r w:rsidRPr="005237F1">
        <w:rPr>
          <w:rFonts w:asciiTheme="minorBidi" w:hAnsiTheme="minorBidi" w:cstheme="minorBidi"/>
          <w:sz w:val="24"/>
          <w:szCs w:val="24"/>
          <w:rtl/>
        </w:rPr>
        <w:t xml:space="preserve"> לצד זאת, ההיסטוריה הכלכלית מלמדת שלאחר משברים כלכליים ישנה צמיחה מהירה. לפיכך, המשבר הנוכחי מהווה הזדמנות לצמיחה חכמה יותר המשקללת סיכוני ושיקולי </w:t>
      </w:r>
      <w:r w:rsidRPr="005237F1">
        <w:rPr>
          <w:rFonts w:asciiTheme="minorBidi" w:hAnsiTheme="minorBidi" w:cstheme="minorBidi"/>
        </w:rPr>
        <w:t>ESG</w:t>
      </w:r>
      <w:r w:rsidRPr="005237F1">
        <w:rPr>
          <w:rFonts w:asciiTheme="minorBidi" w:hAnsiTheme="minorBidi" w:cstheme="minorBidi"/>
          <w:sz w:val="24"/>
          <w:szCs w:val="24"/>
          <w:rtl/>
        </w:rPr>
        <w:t xml:space="preserve">. כמו כן, אנו סבורים שהמשבר </w:t>
      </w:r>
      <w:r w:rsidRPr="005237F1">
        <w:rPr>
          <w:rFonts w:asciiTheme="minorBidi" w:hAnsiTheme="minorBidi" w:cstheme="minorBidi"/>
          <w:sz w:val="24"/>
          <w:szCs w:val="24"/>
          <w:rtl/>
        </w:rPr>
        <w:lastRenderedPageBreak/>
        <w:t>ממחיש את החשיבות בהתייחסות לסיכונים שאינם בליבת הפעילות העסקית או הפיננסית, בפרט כאשר מדובר על סיכונים חזויים כגון סיכוני אקלים. נוסיף שישנן עדויות בספרות על כך שעלייה בשכיחות של מגפות קשורה בפגיעה במערכות אקולוגיות.</w:t>
      </w:r>
      <w:r w:rsidRPr="005237F1">
        <w:rPr>
          <w:rStyle w:val="ab"/>
          <w:rFonts w:asciiTheme="minorBidi" w:hAnsiTheme="minorBidi" w:cstheme="minorBidi"/>
          <w:sz w:val="24"/>
          <w:szCs w:val="24"/>
          <w:rtl/>
        </w:rPr>
        <w:footnoteReference w:id="20"/>
      </w:r>
      <w:r w:rsidRPr="005237F1">
        <w:rPr>
          <w:rFonts w:asciiTheme="minorBidi" w:hAnsiTheme="minorBidi" w:cstheme="minorBidi"/>
          <w:sz w:val="24"/>
          <w:szCs w:val="24"/>
          <w:rtl/>
        </w:rPr>
        <w:t xml:space="preserve"> התכלית של בחינה וגילוי סיכוני </w:t>
      </w:r>
      <w:r w:rsidRPr="005237F1">
        <w:rPr>
          <w:rFonts w:asciiTheme="minorBidi" w:hAnsiTheme="minorBidi" w:cstheme="minorBidi"/>
        </w:rPr>
        <w:t>ESG</w:t>
      </w:r>
      <w:r w:rsidRPr="005237F1">
        <w:rPr>
          <w:rFonts w:asciiTheme="minorBidi" w:hAnsiTheme="minorBidi" w:cstheme="minorBidi"/>
          <w:sz w:val="24"/>
          <w:szCs w:val="24"/>
          <w:rtl/>
        </w:rPr>
        <w:t xml:space="preserve"> בכלל, וסיכוני סביבה בפרט, היא לבחון חשיפות ותרחישים לסיכונים שאינם נבחנים במסגרת ליבת הביצועים העסקיים של פעילות מסוימת, אך יכולים להשפיע באופן משמעותי על אותה הפעילות. לנוכח כל האמור, אנו סבורים שזה הוא עיתוי נכון לגיבוש מדיניות בתחום.  </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מתן תמריצים לגילוי</w:t>
      </w:r>
      <w:r w:rsidRPr="005237F1">
        <w:rPr>
          <w:rFonts w:asciiTheme="minorBidi" w:hAnsiTheme="minorBidi" w:cstheme="minorBidi"/>
          <w:sz w:val="24"/>
          <w:szCs w:val="24"/>
          <w:rtl/>
        </w:rPr>
        <w:t xml:space="preserve"> – לגילוי צפויות להיות תועלות כפי שתואר לעיל כך שייתכן שיש מקום לבחון מתן תמריצים. יחד עם זאת, אנו מאמינים שראוי שהגילוי יהיה חלק אינטגרלי מהפעילות ולא ככורח יוצא למתן תמריץ כספי או אחר. ככל </w:t>
      </w:r>
      <w:proofErr w:type="spellStart"/>
      <w:r w:rsidRPr="005237F1">
        <w:rPr>
          <w:rFonts w:asciiTheme="minorBidi" w:hAnsiTheme="minorBidi" w:cstheme="minorBidi"/>
          <w:sz w:val="24"/>
          <w:szCs w:val="24"/>
          <w:rtl/>
        </w:rPr>
        <w:t>שהנטלים</w:t>
      </w:r>
      <w:proofErr w:type="spellEnd"/>
      <w:r w:rsidRPr="005237F1">
        <w:rPr>
          <w:rFonts w:asciiTheme="minorBidi" w:hAnsiTheme="minorBidi" w:cstheme="minorBidi"/>
          <w:sz w:val="24"/>
          <w:szCs w:val="24"/>
          <w:rtl/>
        </w:rPr>
        <w:t xml:space="preserve"> בהכנת הדוחות לא גדולים ומתפתחים תמריצי שוק בעקבות מגמת ההתרחבות של מוצרי </w:t>
      </w:r>
      <w:r w:rsidRPr="005237F1">
        <w:rPr>
          <w:rFonts w:asciiTheme="minorBidi" w:hAnsiTheme="minorBidi" w:cstheme="minorBidi"/>
        </w:rPr>
        <w:t>ESG</w:t>
      </w:r>
      <w:r w:rsidRPr="005237F1">
        <w:rPr>
          <w:rFonts w:asciiTheme="minorBidi" w:hAnsiTheme="minorBidi" w:cstheme="minorBidi"/>
          <w:sz w:val="24"/>
          <w:szCs w:val="24"/>
          <w:rtl/>
        </w:rPr>
        <w:t>, ייתכן שניתן להסתפק באפיקי הדרכה כגון הכנת מדריך וביצוע הדרכות. תועלות יכולות לצמוח גם מפעילות של קרנות ירוקות המחויבות למשל להשקעה מסוימת באמצעי הפחתה של זיהומים ונראה שרצוי לשקול לסבסד פעילות זו.</w:t>
      </w:r>
      <w:r w:rsidRPr="005237F1">
        <w:rPr>
          <w:rStyle w:val="ab"/>
          <w:rFonts w:asciiTheme="minorBidi" w:hAnsiTheme="minorBidi" w:cstheme="minorBidi"/>
          <w:sz w:val="24"/>
          <w:szCs w:val="24"/>
          <w:rtl/>
        </w:rPr>
        <w:footnoteReference w:id="21"/>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b/>
          <w:bCs/>
          <w:sz w:val="24"/>
          <w:szCs w:val="24"/>
          <w:rtl/>
        </w:rPr>
        <w:t xml:space="preserve">השפעת הגילוי על היחסים הכלכליים עם גורמים פיננסיים מחוץ לארץ </w:t>
      </w:r>
      <w:r w:rsidRPr="005237F1">
        <w:rPr>
          <w:rFonts w:asciiTheme="minorBidi" w:hAnsiTheme="minorBidi" w:cstheme="minorBidi"/>
          <w:sz w:val="24"/>
          <w:szCs w:val="24"/>
          <w:rtl/>
        </w:rPr>
        <w:t>– ברצוננו להתייחס גם לנושא זה, בין היתר בהקשר של עידוד השקעות בטכנולוגיות סביבה בישראל: כאמור, אנו עדים לעניין גובר ב תחומי ה-</w:t>
      </w:r>
      <w:r w:rsidRPr="005237F1">
        <w:rPr>
          <w:rFonts w:asciiTheme="minorBidi" w:hAnsiTheme="minorBidi" w:cstheme="minorBidi"/>
        </w:rPr>
        <w:t>ESG</w:t>
      </w:r>
      <w:r w:rsidRPr="005237F1">
        <w:rPr>
          <w:rFonts w:asciiTheme="minorBidi" w:hAnsiTheme="minorBidi" w:cstheme="minorBidi"/>
          <w:sz w:val="24"/>
          <w:szCs w:val="24"/>
          <w:rtl/>
        </w:rPr>
        <w:t xml:space="preserve"> בפרט, ותחומי הסביבה לרבות האקלים בפרט, באירופה ובמדינות רבות החברות ב-</w:t>
      </w:r>
      <w:r w:rsidRPr="005237F1">
        <w:rPr>
          <w:rFonts w:asciiTheme="minorBidi" w:hAnsiTheme="minorBidi" w:cstheme="minorBidi"/>
        </w:rPr>
        <w:t>OECD</w:t>
      </w:r>
      <w:r w:rsidRPr="005237F1">
        <w:rPr>
          <w:rFonts w:asciiTheme="minorBidi" w:hAnsiTheme="minorBidi" w:cstheme="minorBidi"/>
          <w:sz w:val="24"/>
          <w:szCs w:val="24"/>
          <w:rtl/>
        </w:rPr>
        <w:t>. בהקשר זה ניתן לציין תכנית הפעולה של נציבות האיחוד האירופי משנת 2018 העוסקת בקיימות ופיננסיים</w:t>
      </w:r>
      <w:r w:rsidRPr="005237F1">
        <w:rPr>
          <w:rStyle w:val="ab"/>
          <w:rFonts w:asciiTheme="minorBidi" w:hAnsiTheme="minorBidi" w:cstheme="minorBidi"/>
          <w:sz w:val="24"/>
          <w:szCs w:val="24"/>
          <w:rtl/>
        </w:rPr>
        <w:footnoteReference w:id="22"/>
      </w:r>
      <w:r w:rsidRPr="005237F1">
        <w:rPr>
          <w:rFonts w:asciiTheme="minorBidi" w:hAnsiTheme="minorBidi" w:cstheme="minorBidi"/>
          <w:sz w:val="24"/>
          <w:szCs w:val="24"/>
          <w:rtl/>
        </w:rPr>
        <w:t xml:space="preserve"> ועוברת עדכון בתקופה זו.</w:t>
      </w:r>
      <w:r w:rsidRPr="005237F1">
        <w:rPr>
          <w:rStyle w:val="ab"/>
          <w:rFonts w:asciiTheme="minorBidi" w:hAnsiTheme="minorBidi" w:cstheme="minorBidi"/>
          <w:sz w:val="24"/>
          <w:szCs w:val="24"/>
          <w:rtl/>
        </w:rPr>
        <w:footnoteReference w:id="23"/>
      </w:r>
      <w:r w:rsidRPr="005237F1">
        <w:rPr>
          <w:rFonts w:asciiTheme="minorBidi" w:hAnsiTheme="minorBidi" w:cstheme="minorBidi"/>
          <w:sz w:val="24"/>
          <w:szCs w:val="24"/>
          <w:rtl/>
        </w:rPr>
        <w:t xml:space="preserve"> במסגרת התכנית נקבעו מספר מישורי פעולה וביניהם: החלת חובות גילוי החלות על גופים פיננסיים, החלת חובות טכניות על אופני ניהול הסיכונים,</w:t>
      </w:r>
      <w:r w:rsidRPr="005237F1">
        <w:rPr>
          <w:rStyle w:val="ab"/>
          <w:rFonts w:asciiTheme="minorBidi" w:hAnsiTheme="minorBidi" w:cstheme="minorBidi"/>
          <w:sz w:val="24"/>
          <w:szCs w:val="24"/>
          <w:rtl/>
        </w:rPr>
        <w:footnoteReference w:id="24"/>
      </w:r>
      <w:r w:rsidRPr="005237F1">
        <w:rPr>
          <w:rFonts w:asciiTheme="minorBidi" w:hAnsiTheme="minorBidi" w:cstheme="minorBidi"/>
          <w:sz w:val="24"/>
          <w:szCs w:val="24"/>
          <w:rtl/>
        </w:rPr>
        <w:t xml:space="preserve"> קביעת סטנדרטים לקרנות "ירוקות", וסיווג פעילויות כלכליות "ירוקות".</w:t>
      </w:r>
      <w:r w:rsidRPr="005237F1">
        <w:rPr>
          <w:rStyle w:val="ab"/>
          <w:rFonts w:asciiTheme="minorBidi" w:hAnsiTheme="minorBidi" w:cstheme="minorBidi"/>
          <w:sz w:val="24"/>
          <w:szCs w:val="24"/>
          <w:rtl/>
        </w:rPr>
        <w:footnoteReference w:id="25"/>
      </w:r>
      <w:r w:rsidRPr="005237F1">
        <w:rPr>
          <w:rFonts w:asciiTheme="minorBidi" w:hAnsiTheme="minorBidi" w:cstheme="minorBidi"/>
          <w:sz w:val="24"/>
          <w:szCs w:val="24"/>
          <w:rtl/>
        </w:rPr>
        <w:t xml:space="preserve"> לצד אלו, בשנת 2016 הקים ה-</w:t>
      </w:r>
      <w:r w:rsidRPr="005237F1">
        <w:rPr>
          <w:rFonts w:asciiTheme="minorBidi" w:hAnsiTheme="minorBidi" w:cstheme="minorBidi"/>
        </w:rPr>
        <w:t>OECD</w:t>
      </w:r>
      <w:r w:rsidRPr="005237F1">
        <w:rPr>
          <w:rFonts w:asciiTheme="minorBidi" w:hAnsiTheme="minorBidi" w:cstheme="minorBidi"/>
          <w:sz w:val="24"/>
          <w:szCs w:val="24"/>
          <w:rtl/>
        </w:rPr>
        <w:t xml:space="preserve"> את ה-</w:t>
      </w:r>
      <w:hyperlink r:id="rId9" w:history="1">
        <w:r w:rsidRPr="005237F1">
          <w:rPr>
            <w:rStyle w:val="Hyperlink"/>
            <w:rFonts w:asciiTheme="minorBidi" w:hAnsiTheme="minorBidi" w:cstheme="minorBidi"/>
          </w:rPr>
          <w:t xml:space="preserve">Centre on Green Finance and </w:t>
        </w:r>
        <w:r w:rsidRPr="005237F1">
          <w:rPr>
            <w:rStyle w:val="Hyperlink"/>
            <w:rFonts w:asciiTheme="minorBidi" w:hAnsiTheme="minorBidi" w:cstheme="minorBidi"/>
          </w:rPr>
          <w:lastRenderedPageBreak/>
          <w:t>Investment</w:t>
        </w:r>
      </w:hyperlink>
      <w:r w:rsidRPr="005237F1">
        <w:rPr>
          <w:rFonts w:asciiTheme="minorBidi" w:hAnsiTheme="minorBidi" w:cstheme="minorBidi"/>
          <w:rtl/>
        </w:rPr>
        <w:t xml:space="preserve"> </w:t>
      </w:r>
      <w:r w:rsidRPr="005237F1">
        <w:rPr>
          <w:rFonts w:asciiTheme="minorBidi" w:hAnsiTheme="minorBidi" w:cstheme="minorBidi"/>
          <w:sz w:val="24"/>
          <w:szCs w:val="24"/>
          <w:rtl/>
        </w:rPr>
        <w:t>שמטרתו לסייע למדינות בפיתוח כלי מדיניות בתחום. אנו סבורים שיצירת סטנדרטים התואמים ככל הניתן את המצב הרגולטורי באירופה, ואת המהלכים שמוביל ה-</w:t>
      </w:r>
      <w:r w:rsidRPr="005237F1">
        <w:rPr>
          <w:rFonts w:asciiTheme="minorBidi" w:hAnsiTheme="minorBidi" w:cstheme="minorBidi"/>
          <w:sz w:val="24"/>
          <w:szCs w:val="24"/>
        </w:rPr>
        <w:t>OECD</w:t>
      </w:r>
      <w:r w:rsidRPr="005237F1">
        <w:rPr>
          <w:rFonts w:asciiTheme="minorBidi" w:hAnsiTheme="minorBidi" w:cstheme="minorBidi"/>
          <w:sz w:val="24"/>
          <w:szCs w:val="24"/>
          <w:rtl/>
        </w:rPr>
        <w:t>, צפויה להיטיב ביחסים בין כלכלת ישראל לעולם, ואף לשפר את השקעות זרות בטכנולוגיות סביבה היכולות לשמש כמנועי צמיחה.</w:t>
      </w:r>
      <w:r w:rsidRPr="005237F1">
        <w:rPr>
          <w:rStyle w:val="ab"/>
          <w:rFonts w:asciiTheme="minorBidi" w:hAnsiTheme="minorBidi" w:cstheme="minorBidi"/>
          <w:sz w:val="24"/>
          <w:szCs w:val="24"/>
          <w:rtl/>
        </w:rPr>
        <w:footnoteReference w:id="26"/>
      </w:r>
      <w:r w:rsidRPr="005237F1">
        <w:rPr>
          <w:rFonts w:asciiTheme="minorBidi" w:hAnsiTheme="minorBidi" w:cstheme="minorBidi"/>
          <w:sz w:val="24"/>
          <w:szCs w:val="24"/>
          <w:rtl/>
        </w:rPr>
        <w:t xml:space="preserve"> </w:t>
      </w:r>
    </w:p>
    <w:p w:rsidR="00C14C83" w:rsidRPr="005237F1" w:rsidRDefault="00C14C83" w:rsidP="005237F1">
      <w:pPr>
        <w:spacing w:line="360" w:lineRule="auto"/>
        <w:rPr>
          <w:rFonts w:asciiTheme="minorBidi" w:hAnsiTheme="minorBidi" w:cstheme="minorBidi"/>
          <w:rtl/>
        </w:rPr>
      </w:pPr>
    </w:p>
    <w:p w:rsidR="00C14C83" w:rsidRPr="005237F1" w:rsidRDefault="00C14C83" w:rsidP="005237F1">
      <w:pPr>
        <w:pStyle w:val="2"/>
        <w:spacing w:line="360" w:lineRule="auto"/>
        <w:rPr>
          <w:rtl/>
        </w:rPr>
      </w:pPr>
      <w:r w:rsidRPr="005237F1">
        <w:rPr>
          <w:rtl/>
        </w:rPr>
        <w:t>הנחיות והדרכה להטמעה של הסיכונים במסגרת תהליכי קבלת החלטות</w:t>
      </w:r>
      <w:bookmarkStart w:id="0" w:name="_GoBack"/>
      <w:bookmarkEnd w:id="0"/>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sz w:val="24"/>
          <w:szCs w:val="24"/>
          <w:rtl/>
        </w:rPr>
        <w:t>הנחיות והדרכה לביצוע האינטגרציה של סיכונים קיימות באירופה, הן בהקשר השקעות והן בהקשרי אשראי.</w:t>
      </w:r>
      <w:r w:rsidRPr="005237F1">
        <w:rPr>
          <w:rStyle w:val="ab"/>
          <w:rFonts w:asciiTheme="minorBidi" w:hAnsiTheme="minorBidi" w:cstheme="minorBidi"/>
          <w:sz w:val="24"/>
          <w:szCs w:val="24"/>
          <w:rtl/>
        </w:rPr>
        <w:footnoteReference w:id="27"/>
      </w:r>
      <w:r w:rsidRPr="005237F1">
        <w:rPr>
          <w:rFonts w:asciiTheme="minorBidi" w:hAnsiTheme="minorBidi" w:cstheme="minorBidi"/>
          <w:sz w:val="24"/>
          <w:szCs w:val="24"/>
          <w:rtl/>
        </w:rPr>
        <w:t xml:space="preserve"> ברם, הנחיות האינטגרציה בישראל מצומצמות ולא אחידות: חוזר המפקח משנת</w:t>
      </w:r>
      <w:r w:rsidRPr="005237F1">
        <w:rPr>
          <w:rStyle w:val="ab"/>
          <w:rFonts w:asciiTheme="minorBidi" w:hAnsiTheme="minorBidi" w:cstheme="minorBidi"/>
          <w:sz w:val="24"/>
          <w:szCs w:val="24"/>
          <w:rtl/>
        </w:rPr>
        <w:footnoteReference w:id="28"/>
      </w:r>
      <w:r w:rsidRPr="005237F1">
        <w:rPr>
          <w:rFonts w:asciiTheme="minorBidi" w:hAnsiTheme="minorBidi" w:cstheme="minorBidi"/>
          <w:sz w:val="24"/>
          <w:szCs w:val="24"/>
          <w:rtl/>
        </w:rPr>
        <w:t xml:space="preserve"> 2009 החיל חובה כללית, שאין בצידה הדרכה לאופני ביצוע האינטגרציות לרבות המנגנונים הפנימיים הנדרשים. בחוזר אגף שוק ההון (דאז) משנת 2007</w:t>
      </w:r>
      <w:r w:rsidRPr="005237F1">
        <w:rPr>
          <w:rStyle w:val="ab"/>
          <w:rFonts w:asciiTheme="minorBidi" w:hAnsiTheme="minorBidi" w:cstheme="minorBidi"/>
          <w:sz w:val="24"/>
          <w:szCs w:val="24"/>
          <w:rtl/>
        </w:rPr>
        <w:footnoteReference w:id="29"/>
      </w:r>
      <w:r w:rsidRPr="005237F1">
        <w:rPr>
          <w:rFonts w:asciiTheme="minorBidi" w:hAnsiTheme="minorBidi" w:cstheme="minorBidi"/>
          <w:sz w:val="24"/>
          <w:szCs w:val="24"/>
          <w:rtl/>
        </w:rPr>
        <w:t xml:space="preserve"> נקבע שעל הגופים המוסדיים להתייחס לסיכונים סביבתיים </w:t>
      </w:r>
      <w:r w:rsidRPr="005237F1">
        <w:rPr>
          <w:rFonts w:asciiTheme="minorBidi" w:hAnsiTheme="minorBidi" w:cstheme="minorBidi"/>
          <w:sz w:val="24"/>
          <w:szCs w:val="24"/>
          <w:u w:val="single"/>
          <w:rtl/>
        </w:rPr>
        <w:t>משפטיים</w:t>
      </w:r>
      <w:r w:rsidRPr="005237F1">
        <w:rPr>
          <w:rFonts w:asciiTheme="minorBidi" w:hAnsiTheme="minorBidi" w:cstheme="minorBidi"/>
          <w:sz w:val="24"/>
          <w:szCs w:val="24"/>
          <w:rtl/>
        </w:rPr>
        <w:t xml:space="preserve"> (בלבד). למיטב ידיעותינו, לא נקבעה הנחייה דומה עבור קרנות הנאמנות. חשוב לציין שלהבדיל מהמגמה במדינות מובילות, סיכוני אקלים לא מקבלים ביטוי ספציפי בהנחיות האמורות. </w:t>
      </w:r>
    </w:p>
    <w:p w:rsidR="00C14C83" w:rsidRPr="005237F1" w:rsidRDefault="00C14C83" w:rsidP="005237F1">
      <w:pPr>
        <w:pStyle w:val="ac"/>
        <w:numPr>
          <w:ilvl w:val="0"/>
          <w:numId w:val="5"/>
        </w:numPr>
        <w:spacing w:after="0" w:line="360" w:lineRule="auto"/>
        <w:rPr>
          <w:rFonts w:asciiTheme="minorBidi" w:hAnsiTheme="minorBidi" w:cstheme="minorBidi"/>
          <w:sz w:val="24"/>
          <w:szCs w:val="24"/>
        </w:rPr>
      </w:pPr>
      <w:r w:rsidRPr="005237F1">
        <w:rPr>
          <w:rFonts w:asciiTheme="minorBidi" w:hAnsiTheme="minorBidi" w:cstheme="minorBidi"/>
          <w:sz w:val="24"/>
          <w:szCs w:val="24"/>
          <w:rtl/>
        </w:rPr>
        <w:t xml:space="preserve">לכן, לצד חובות גילוי, אנו סבורים שנכון יהיה לקבוע חובות לבחינת הסיכונים הסביבתיים במסגרת תהליכי קבלת ההחלטות בדבר ביצוע ההשקעות של קרנות הנאמנות. בהקשר זה ניתן להסתייע בין היתר במסמך ההמלצות שגיבשו הסוכנויות </w:t>
      </w:r>
      <w:r w:rsidRPr="005237F1">
        <w:rPr>
          <w:rFonts w:asciiTheme="minorBidi" w:hAnsiTheme="minorBidi" w:cstheme="minorBidi"/>
        </w:rPr>
        <w:t>ESMA</w:t>
      </w:r>
      <w:r w:rsidRPr="005237F1">
        <w:rPr>
          <w:rFonts w:asciiTheme="minorBidi" w:hAnsiTheme="minorBidi" w:cstheme="minorBidi"/>
          <w:rtl/>
        </w:rPr>
        <w:t xml:space="preserve"> </w:t>
      </w:r>
      <w:r w:rsidRPr="005237F1">
        <w:rPr>
          <w:rFonts w:asciiTheme="minorBidi" w:hAnsiTheme="minorBidi" w:cstheme="minorBidi"/>
          <w:sz w:val="24"/>
          <w:szCs w:val="24"/>
          <w:rtl/>
        </w:rPr>
        <w:t>ו-</w:t>
      </w:r>
      <w:r w:rsidRPr="005237F1">
        <w:rPr>
          <w:rFonts w:asciiTheme="minorBidi" w:hAnsiTheme="minorBidi" w:cstheme="minorBidi"/>
        </w:rPr>
        <w:t>EIOPA</w:t>
      </w:r>
      <w:r w:rsidRPr="005237F1">
        <w:rPr>
          <w:rFonts w:asciiTheme="minorBidi" w:hAnsiTheme="minorBidi" w:cstheme="minorBidi"/>
          <w:sz w:val="24"/>
          <w:szCs w:val="24"/>
          <w:rtl/>
        </w:rPr>
        <w:t xml:space="preserve"> עבור הנציבות האירופאית.</w:t>
      </w:r>
      <w:r w:rsidRPr="005237F1">
        <w:rPr>
          <w:rStyle w:val="ab"/>
          <w:rFonts w:asciiTheme="minorBidi" w:hAnsiTheme="minorBidi" w:cstheme="minorBidi"/>
          <w:sz w:val="24"/>
          <w:szCs w:val="24"/>
          <w:rtl/>
        </w:rPr>
        <w:footnoteReference w:id="30"/>
      </w:r>
      <w:r w:rsidRPr="005237F1">
        <w:rPr>
          <w:rFonts w:asciiTheme="minorBidi" w:hAnsiTheme="minorBidi" w:cstheme="minorBidi"/>
          <w:sz w:val="24"/>
          <w:szCs w:val="24"/>
          <w:rtl/>
        </w:rPr>
        <w:t xml:space="preserve"> </w:t>
      </w:r>
    </w:p>
    <w:p w:rsidR="00C14C83" w:rsidRPr="005237F1" w:rsidRDefault="00C14C83" w:rsidP="005237F1">
      <w:pPr>
        <w:spacing w:line="360" w:lineRule="auto"/>
        <w:rPr>
          <w:rFonts w:asciiTheme="minorBidi" w:hAnsiTheme="minorBidi" w:cstheme="minorBidi"/>
          <w:rtl/>
        </w:rPr>
      </w:pPr>
    </w:p>
    <w:p w:rsidR="006E09AA" w:rsidRPr="005237F1" w:rsidRDefault="00C14C83" w:rsidP="005237F1">
      <w:pPr>
        <w:spacing w:line="360" w:lineRule="auto"/>
        <w:rPr>
          <w:rFonts w:asciiTheme="minorBidi" w:hAnsiTheme="minorBidi" w:cstheme="minorBidi"/>
          <w:b/>
          <w:bCs/>
          <w:rtl/>
        </w:rPr>
      </w:pPr>
      <w:r w:rsidRPr="005237F1">
        <w:rPr>
          <w:rFonts w:asciiTheme="minorBidi" w:hAnsiTheme="minorBidi" w:cstheme="minorBidi"/>
          <w:b/>
          <w:bCs/>
          <w:rtl/>
        </w:rPr>
        <w:t xml:space="preserve">אנו זמינים ועומדים לרשותכם בכל עת, ונשמח להעמיק את השיח בהיבטים הסביבתיים של </w:t>
      </w:r>
      <w:r w:rsidRPr="005237F1">
        <w:rPr>
          <w:rFonts w:asciiTheme="minorBidi" w:hAnsiTheme="minorBidi" w:cstheme="minorBidi"/>
          <w:b/>
          <w:bCs/>
        </w:rPr>
        <w:t>ESG</w:t>
      </w:r>
      <w:r w:rsidRPr="005237F1">
        <w:rPr>
          <w:rFonts w:asciiTheme="minorBidi" w:hAnsiTheme="minorBidi" w:cstheme="minorBidi"/>
          <w:b/>
          <w:bCs/>
          <w:rtl/>
        </w:rPr>
        <w:t xml:space="preserve"> גם במסגרת שיח משותף עם שאר הרגולטורים הפיננסיים. אנו סבורים שיצירת שיח משותף של הגורמים המדינתיים הרלבנטיים בפרט לנושאי </w:t>
      </w:r>
      <w:r w:rsidRPr="005237F1">
        <w:rPr>
          <w:rFonts w:asciiTheme="minorBidi" w:hAnsiTheme="minorBidi" w:cstheme="minorBidi"/>
          <w:b/>
          <w:bCs/>
        </w:rPr>
        <w:t>E</w:t>
      </w:r>
      <w:r w:rsidRPr="005237F1">
        <w:rPr>
          <w:rFonts w:asciiTheme="minorBidi" w:hAnsiTheme="minorBidi" w:cstheme="minorBidi"/>
          <w:b/>
          <w:bCs/>
          <w:rtl/>
        </w:rPr>
        <w:t xml:space="preserve"> ו-</w:t>
      </w:r>
      <w:r w:rsidRPr="005237F1">
        <w:rPr>
          <w:rFonts w:asciiTheme="minorBidi" w:hAnsiTheme="minorBidi" w:cstheme="minorBidi"/>
          <w:b/>
          <w:bCs/>
        </w:rPr>
        <w:t>S</w:t>
      </w:r>
      <w:r w:rsidRPr="005237F1">
        <w:rPr>
          <w:rFonts w:asciiTheme="minorBidi" w:hAnsiTheme="minorBidi" w:cstheme="minorBidi"/>
          <w:b/>
          <w:bCs/>
          <w:rtl/>
        </w:rPr>
        <w:t xml:space="preserve"> שפיתוחם בישראל נמצא בראשיתו יסייע בגיבוש מדיניות קוהרנטיות ומיטבית.</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lastRenderedPageBreak/>
        <w:t xml:space="preserve"> </w:t>
      </w:r>
    </w:p>
    <w:p w:rsidR="00C14C83" w:rsidRPr="005237F1" w:rsidRDefault="00C14C83" w:rsidP="005237F1">
      <w:pPr>
        <w:spacing w:line="360" w:lineRule="auto"/>
        <w:ind w:left="3600" w:firstLine="720"/>
        <w:rPr>
          <w:rFonts w:asciiTheme="minorBidi" w:hAnsiTheme="minorBidi" w:cstheme="minorBidi"/>
          <w:b/>
          <w:bCs/>
          <w:rtl/>
        </w:rPr>
      </w:pPr>
      <w:r w:rsidRPr="005237F1">
        <w:rPr>
          <w:rFonts w:asciiTheme="minorBidi" w:hAnsiTheme="minorBidi" w:cstheme="minorBidi"/>
          <w:noProof/>
        </w:rPr>
        <w:drawing>
          <wp:anchor distT="0" distB="0" distL="114300" distR="114300" simplePos="0" relativeHeight="251657728" behindDoc="1" locked="0" layoutInCell="1" allowOverlap="1">
            <wp:simplePos x="0" y="0"/>
            <wp:positionH relativeFrom="column">
              <wp:posOffset>1804998</wp:posOffset>
            </wp:positionH>
            <wp:positionV relativeFrom="paragraph">
              <wp:posOffset>105609</wp:posOffset>
            </wp:positionV>
            <wp:extent cx="1009650" cy="487045"/>
            <wp:effectExtent l="0" t="0" r="0" b="8255"/>
            <wp:wrapNone/>
            <wp:docPr id="9" name="תמונה 4" descr="Image2013031109510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0130311095106-001"/>
                    <pic:cNvPicPr>
                      <a:picLocks noChangeAspect="1" noChangeArrowheads="1"/>
                    </pic:cNvPicPr>
                  </pic:nvPicPr>
                  <pic:blipFill>
                    <a:blip r:embed="rId10" cstate="print">
                      <a:lum bright="20000"/>
                      <a:extLst>
                        <a:ext uri="{28A0092B-C50C-407E-A947-70E740481C1C}">
                          <a14:useLocalDpi xmlns:a14="http://schemas.microsoft.com/office/drawing/2010/main" val="0"/>
                        </a:ext>
                      </a:extLst>
                    </a:blip>
                    <a:srcRect/>
                    <a:stretch>
                      <a:fillRect/>
                    </a:stretch>
                  </pic:blipFill>
                  <pic:spPr bwMode="auto">
                    <a:xfrm>
                      <a:off x="0" y="0"/>
                      <a:ext cx="100965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37F1">
        <w:rPr>
          <w:rFonts w:asciiTheme="minorBidi" w:hAnsiTheme="minorBidi" w:cstheme="minorBidi"/>
          <w:b/>
          <w:bCs/>
          <w:rtl/>
        </w:rPr>
        <w:t>בכבוד רב,</w:t>
      </w:r>
    </w:p>
    <w:p w:rsidR="00C14C83" w:rsidRPr="005237F1" w:rsidRDefault="00C14C83" w:rsidP="005237F1">
      <w:pPr>
        <w:spacing w:line="360" w:lineRule="auto"/>
        <w:ind w:left="3600" w:firstLine="720"/>
        <w:rPr>
          <w:rFonts w:asciiTheme="minorBidi" w:hAnsiTheme="minorBidi" w:cstheme="minorBidi"/>
          <w:b/>
          <w:bCs/>
          <w:rtl/>
        </w:rPr>
      </w:pPr>
    </w:p>
    <w:p w:rsidR="00C14C83" w:rsidRPr="005237F1" w:rsidRDefault="00C14C83" w:rsidP="005237F1">
      <w:pPr>
        <w:spacing w:line="360" w:lineRule="auto"/>
        <w:ind w:left="3600" w:firstLine="720"/>
        <w:rPr>
          <w:rFonts w:asciiTheme="minorBidi" w:hAnsiTheme="minorBidi" w:cstheme="minorBidi"/>
          <w:b/>
          <w:bCs/>
          <w:rtl/>
        </w:rPr>
      </w:pPr>
    </w:p>
    <w:p w:rsidR="00C14C83" w:rsidRPr="005237F1" w:rsidRDefault="00C14C83" w:rsidP="005237F1">
      <w:pPr>
        <w:spacing w:line="360" w:lineRule="auto"/>
        <w:ind w:left="3600" w:firstLine="720"/>
        <w:rPr>
          <w:rFonts w:asciiTheme="minorBidi" w:hAnsiTheme="minorBidi" w:cstheme="minorBidi"/>
          <w:rtl/>
        </w:rPr>
      </w:pPr>
      <w:r w:rsidRPr="005237F1">
        <w:rPr>
          <w:rFonts w:asciiTheme="minorBidi" w:hAnsiTheme="minorBidi" w:cstheme="minorBidi"/>
          <w:rtl/>
        </w:rPr>
        <w:t>גלית כהן,</w:t>
      </w:r>
    </w:p>
    <w:p w:rsidR="00C14C83" w:rsidRPr="005237F1" w:rsidRDefault="00C14C83" w:rsidP="005237F1">
      <w:pPr>
        <w:spacing w:line="360" w:lineRule="auto"/>
        <w:ind w:left="3600" w:firstLine="720"/>
        <w:rPr>
          <w:rFonts w:asciiTheme="minorBidi" w:hAnsiTheme="minorBidi" w:cstheme="minorBidi"/>
          <w:rtl/>
        </w:rPr>
      </w:pPr>
      <w:r w:rsidRPr="005237F1">
        <w:rPr>
          <w:rFonts w:asciiTheme="minorBidi" w:hAnsiTheme="minorBidi" w:cstheme="minorBidi"/>
          <w:rtl/>
        </w:rPr>
        <w:t>סמנכ"לית תכנון,</w:t>
      </w:r>
    </w:p>
    <w:p w:rsidR="006E09AA" w:rsidRPr="005237F1" w:rsidRDefault="00C14C83" w:rsidP="005237F1">
      <w:pPr>
        <w:spacing w:line="360" w:lineRule="auto"/>
        <w:ind w:left="3600" w:firstLine="720"/>
        <w:rPr>
          <w:rFonts w:asciiTheme="minorBidi" w:hAnsiTheme="minorBidi" w:cstheme="minorBidi"/>
          <w:rtl/>
        </w:rPr>
      </w:pPr>
      <w:r w:rsidRPr="005237F1">
        <w:rPr>
          <w:rFonts w:asciiTheme="minorBidi" w:hAnsiTheme="minorBidi" w:cstheme="minorBidi"/>
          <w:rtl/>
        </w:rPr>
        <w:t>מדיניות ואסטרטגיה.</w:t>
      </w:r>
    </w:p>
    <w:p w:rsidR="00C14C83" w:rsidRPr="005237F1" w:rsidRDefault="006E09AA" w:rsidP="005237F1">
      <w:pPr>
        <w:spacing w:line="360" w:lineRule="auto"/>
        <w:ind w:left="3600" w:firstLine="720"/>
        <w:rPr>
          <w:rFonts w:asciiTheme="minorBidi" w:hAnsiTheme="minorBidi" w:cstheme="minorBidi"/>
          <w:u w:val="single"/>
          <w:rtl/>
        </w:rPr>
      </w:pPr>
      <w:r w:rsidRPr="005237F1">
        <w:rPr>
          <w:rFonts w:asciiTheme="minorBidi" w:hAnsiTheme="minorBidi" w:cstheme="minorBidi"/>
          <w:u w:val="single"/>
          <w:rtl/>
        </w:rPr>
        <w:t xml:space="preserve"> </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u w:val="single"/>
          <w:rtl/>
        </w:rPr>
        <w:t>העתקים</w:t>
      </w:r>
      <w:r w:rsidRPr="005237F1">
        <w:rPr>
          <w:rFonts w:asciiTheme="minorBidi" w:hAnsiTheme="minorBidi" w:cstheme="minorBidi"/>
          <w:rtl/>
        </w:rPr>
        <w:t>:</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מר דוד יהלומי – מנכ"ל המשרד להגנת הסביבה;</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גב' ענת גואטה – יו"ר הרשות לניירות ערך;</w:t>
      </w:r>
    </w:p>
    <w:p w:rsidR="00C14C83"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מר יאיר אבידן – המפקח על הבנקים;</w:t>
      </w:r>
    </w:p>
    <w:p w:rsidR="00304014" w:rsidRPr="005237F1" w:rsidRDefault="00C14C83" w:rsidP="005237F1">
      <w:pPr>
        <w:spacing w:line="360" w:lineRule="auto"/>
        <w:rPr>
          <w:rFonts w:asciiTheme="minorBidi" w:hAnsiTheme="minorBidi" w:cstheme="minorBidi"/>
          <w:rtl/>
        </w:rPr>
      </w:pPr>
      <w:r w:rsidRPr="005237F1">
        <w:rPr>
          <w:rFonts w:asciiTheme="minorBidi" w:hAnsiTheme="minorBidi" w:cstheme="minorBidi"/>
          <w:rtl/>
        </w:rPr>
        <w:t>ד"ר משה ברקת – הממונה על שוק ההון, ביטוח וחסכון.</w:t>
      </w:r>
      <w:r w:rsidR="006E09AA" w:rsidRPr="005237F1">
        <w:rPr>
          <w:rFonts w:asciiTheme="minorBidi" w:hAnsiTheme="minorBidi" w:cstheme="minorBidi"/>
          <w:rtl/>
        </w:rPr>
        <w:t xml:space="preserve"> </w:t>
      </w:r>
    </w:p>
    <w:p w:rsidR="00304014" w:rsidRPr="005237F1" w:rsidRDefault="00304014" w:rsidP="005237F1">
      <w:pPr>
        <w:spacing w:line="360" w:lineRule="auto"/>
        <w:rPr>
          <w:rFonts w:asciiTheme="minorBidi" w:hAnsiTheme="minorBidi" w:cstheme="minorBidi"/>
          <w:rtl/>
        </w:rPr>
      </w:pPr>
    </w:p>
    <w:sectPr w:rsidR="00304014" w:rsidRPr="005237F1" w:rsidSect="0065073B">
      <w:headerReference w:type="even" r:id="rId1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7B" w:rsidRDefault="00AB087B" w:rsidP="00AA5EC6">
      <w:r>
        <w:separator/>
      </w:r>
    </w:p>
    <w:p w:rsidR="00AB087B" w:rsidRDefault="00AB087B"/>
  </w:endnote>
  <w:endnote w:type="continuationSeparator" w:id="0">
    <w:p w:rsidR="00AB087B" w:rsidRDefault="00AB087B" w:rsidP="00AA5EC6">
      <w:r>
        <w:continuationSeparator/>
      </w:r>
    </w:p>
    <w:p w:rsidR="00AB087B" w:rsidRDefault="00AB0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2B" w:rsidRPr="00635E65" w:rsidRDefault="00C14C83" w:rsidP="00635E65">
    <w:pPr>
      <w:pStyle w:val="a5"/>
      <w:tabs>
        <w:tab w:val="left" w:pos="2091"/>
        <w:tab w:val="left" w:pos="5004"/>
        <w:tab w:val="left" w:pos="6314"/>
        <w:tab w:val="left" w:pos="6974"/>
      </w:tabs>
      <w:bidi/>
      <w:jc w:val="center"/>
      <w:rPr>
        <w:b/>
        <w:bCs/>
      </w:rPr>
    </w:pPr>
    <w:r>
      <w:rPr>
        <w:noProof/>
      </w:rPr>
      <mc:AlternateContent>
        <mc:Choice Requires="wps">
          <w:drawing>
            <wp:anchor distT="0" distB="0" distL="114300" distR="114300" simplePos="0" relativeHeight="251655168" behindDoc="1" locked="0" layoutInCell="1" allowOverlap="1">
              <wp:simplePos x="0" y="0"/>
              <wp:positionH relativeFrom="margin">
                <wp:align>right</wp:align>
              </wp:positionH>
              <wp:positionV relativeFrom="paragraph">
                <wp:posOffset>-192974</wp:posOffset>
              </wp:positionV>
              <wp:extent cx="5364480" cy="330200"/>
              <wp:effectExtent l="0" t="0" r="7620"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92B" w:rsidRPr="0001208F" w:rsidRDefault="00C14C83" w:rsidP="00C14C83">
                          <w:pPr>
                            <w:ind w:right="181"/>
                            <w:rPr>
                              <w:rFonts w:ascii="Arial" w:hAnsi="Arial" w:cs="Arial"/>
                              <w:color w:val="003300"/>
                              <w:sz w:val="20"/>
                              <w:szCs w:val="20"/>
                            </w:rPr>
                          </w:pPr>
                          <w:r>
                            <w:rPr>
                              <w:rFonts w:ascii="Arial" w:hAnsi="Arial" w:cs="Arial" w:hint="cs"/>
                              <w:color w:val="003300"/>
                              <w:sz w:val="20"/>
                              <w:szCs w:val="20"/>
                              <w:rtl/>
                            </w:rPr>
                            <w:t>בנק ישראל 7,</w:t>
                          </w:r>
                          <w:r w:rsidR="0008392B" w:rsidRPr="0001208F">
                            <w:rPr>
                              <w:rFonts w:ascii="Arial" w:hAnsi="Arial" w:cs="Arial"/>
                              <w:color w:val="003300"/>
                              <w:sz w:val="20"/>
                              <w:szCs w:val="20"/>
                              <w:rtl/>
                            </w:rPr>
                            <w:t xml:space="preserve"> ת.ד.34033 ירושלים | טל': 02-6553918 | פקס: 02-6553853 | </w:t>
                          </w:r>
                          <w:r w:rsidR="0008392B" w:rsidRPr="0001208F">
                            <w:rPr>
                              <w:rFonts w:ascii="Arial" w:hAnsi="Arial" w:cs="Arial"/>
                              <w:color w:val="003300"/>
                              <w:sz w:val="20"/>
                              <w:szCs w:val="20"/>
                            </w:rPr>
                            <w:t>www.sviva.gov.il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71.2pt;margin-top:-15.2pt;width:422.4pt;height: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WwrwIAALA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" filled="f" stroked="f">
              <v:textbox inset="0,0,0,0">
                <w:txbxContent>
                  <w:p w:rsidR="0008392B" w:rsidRPr="0001208F" w:rsidRDefault="00C14C83" w:rsidP="00C14C83">
                    <w:pPr>
                      <w:ind w:right="181"/>
                      <w:rPr>
                        <w:rFonts w:ascii="Arial" w:hAnsi="Arial" w:cs="Arial"/>
                        <w:color w:val="003300"/>
                        <w:sz w:val="20"/>
                        <w:szCs w:val="20"/>
                      </w:rPr>
                    </w:pPr>
                    <w:r>
                      <w:rPr>
                        <w:rFonts w:ascii="Arial" w:hAnsi="Arial" w:cs="Arial" w:hint="cs"/>
                        <w:color w:val="003300"/>
                        <w:sz w:val="20"/>
                        <w:szCs w:val="20"/>
                        <w:rtl/>
                      </w:rPr>
                      <w:t>בנק ישראל 7,</w:t>
                    </w:r>
                    <w:r w:rsidR="0008392B" w:rsidRPr="0001208F">
                      <w:rPr>
                        <w:rFonts w:ascii="Arial" w:hAnsi="Arial" w:cs="Arial"/>
                        <w:color w:val="003300"/>
                        <w:sz w:val="20"/>
                        <w:szCs w:val="20"/>
                        <w:rtl/>
                      </w:rPr>
                      <w:t xml:space="preserve"> ת.ד.34033 ירושלים | טל': 02-6553918 | פקס: 02-6553853 | </w:t>
                    </w:r>
                    <w:r w:rsidR="0008392B" w:rsidRPr="0001208F">
                      <w:rPr>
                        <w:rFonts w:ascii="Arial" w:hAnsi="Arial" w:cs="Arial"/>
                        <w:color w:val="003300"/>
                        <w:sz w:val="20"/>
                        <w:szCs w:val="20"/>
                      </w:rPr>
                      <w:t>www.sviva.gov.il</w:t>
                    </w:r>
                  </w:p>
                </w:txbxContent>
              </v:textbox>
              <w10:wrap anchorx="margin"/>
            </v:shape>
          </w:pict>
        </mc:Fallback>
      </mc:AlternateContent>
    </w:r>
    <w:r w:rsidR="005174AC">
      <w:rPr>
        <w:noProof/>
      </w:rPr>
      <w:drawing>
        <wp:anchor distT="0" distB="0" distL="114300" distR="114300" simplePos="0" relativeHeight="251656192" behindDoc="1" locked="0" layoutInCell="1" allowOverlap="1">
          <wp:simplePos x="0" y="0"/>
          <wp:positionH relativeFrom="column">
            <wp:posOffset>5914390</wp:posOffset>
          </wp:positionH>
          <wp:positionV relativeFrom="paragraph">
            <wp:posOffset>-542290</wp:posOffset>
          </wp:positionV>
          <wp:extent cx="353060" cy="353060"/>
          <wp:effectExtent l="0" t="0" r="8890" b="8890"/>
          <wp:wrapNone/>
          <wp:docPr id="4" name="Picture 6" descr="Description: Description: Description: סמל מיחזור בקווים" title="אייקון  מיחז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סמל מיחזור בקוו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92B">
      <w:rPr>
        <w:rFonts w:hint="cs"/>
        <w:sz w:val="20"/>
        <w:szCs w:val="20"/>
        <w:rtl/>
        <w:cs/>
        <w:lang w:val="he-IL"/>
      </w:rPr>
      <w:t xml:space="preserve"> </w:t>
    </w:r>
    <w:r w:rsidR="0008392B" w:rsidRPr="000C732E">
      <w:rPr>
        <w:sz w:val="16"/>
        <w:szCs w:val="16"/>
        <w:rtl/>
        <w:cs/>
        <w:lang w:val="he-IL"/>
      </w:rPr>
      <w:t xml:space="preserve">עמוד </w:t>
    </w:r>
    <w:r w:rsidR="0008392B" w:rsidRPr="000C732E">
      <w:rPr>
        <w:b/>
        <w:bCs/>
        <w:sz w:val="18"/>
        <w:szCs w:val="18"/>
      </w:rPr>
      <w:fldChar w:fldCharType="begin"/>
    </w:r>
    <w:r w:rsidR="0008392B" w:rsidRPr="000C732E">
      <w:rPr>
        <w:b/>
        <w:bCs/>
        <w:sz w:val="16"/>
        <w:szCs w:val="16"/>
        <w:rtl/>
        <w:cs/>
      </w:rPr>
      <w:instrText>PAGE</w:instrText>
    </w:r>
    <w:r w:rsidR="0008392B" w:rsidRPr="000C732E">
      <w:rPr>
        <w:b/>
        <w:bCs/>
        <w:sz w:val="18"/>
        <w:szCs w:val="18"/>
      </w:rPr>
      <w:fldChar w:fldCharType="separate"/>
    </w:r>
    <w:r w:rsidR="005237F1">
      <w:rPr>
        <w:b/>
        <w:bCs/>
        <w:noProof/>
        <w:sz w:val="18"/>
        <w:szCs w:val="18"/>
        <w:rtl/>
      </w:rPr>
      <w:t>10</w:t>
    </w:r>
    <w:r w:rsidR="0008392B" w:rsidRPr="000C732E">
      <w:rPr>
        <w:b/>
        <w:bCs/>
        <w:sz w:val="18"/>
        <w:szCs w:val="18"/>
      </w:rPr>
      <w:fldChar w:fldCharType="end"/>
    </w:r>
    <w:r w:rsidR="0008392B" w:rsidRPr="000C732E">
      <w:rPr>
        <w:sz w:val="16"/>
        <w:szCs w:val="16"/>
        <w:rtl/>
        <w:cs/>
        <w:lang w:val="he-IL"/>
      </w:rPr>
      <w:t xml:space="preserve"> מתוך </w:t>
    </w:r>
    <w:r w:rsidR="0008392B" w:rsidRPr="000C732E">
      <w:rPr>
        <w:b/>
        <w:bCs/>
        <w:sz w:val="18"/>
        <w:szCs w:val="18"/>
      </w:rPr>
      <w:fldChar w:fldCharType="begin"/>
    </w:r>
    <w:r w:rsidR="0008392B" w:rsidRPr="000C732E">
      <w:rPr>
        <w:b/>
        <w:bCs/>
        <w:sz w:val="16"/>
        <w:szCs w:val="16"/>
        <w:rtl/>
        <w:cs/>
      </w:rPr>
      <w:instrText>NUMPAGES</w:instrText>
    </w:r>
    <w:r w:rsidR="0008392B" w:rsidRPr="000C732E">
      <w:rPr>
        <w:b/>
        <w:bCs/>
        <w:sz w:val="18"/>
        <w:szCs w:val="18"/>
      </w:rPr>
      <w:fldChar w:fldCharType="separate"/>
    </w:r>
    <w:r w:rsidR="005237F1">
      <w:rPr>
        <w:b/>
        <w:bCs/>
        <w:noProof/>
        <w:sz w:val="18"/>
        <w:szCs w:val="18"/>
        <w:rtl/>
      </w:rPr>
      <w:t>10</w:t>
    </w:r>
    <w:r w:rsidR="0008392B" w:rsidRPr="000C732E">
      <w:rPr>
        <w:b/>
        <w:bCs/>
        <w:sz w:val="18"/>
        <w:szCs w:val="18"/>
      </w:rPr>
      <w:fldChar w:fldCharType="end"/>
    </w:r>
    <w:r w:rsidR="005174AC">
      <w:rPr>
        <w:noProof/>
      </w:rPr>
      <w:drawing>
        <wp:anchor distT="0" distB="0" distL="114300" distR="114300" simplePos="0" relativeHeight="251658240" behindDoc="1" locked="0" layoutInCell="1" allowOverlap="1">
          <wp:simplePos x="0" y="0"/>
          <wp:positionH relativeFrom="column">
            <wp:posOffset>-424180</wp:posOffset>
          </wp:positionH>
          <wp:positionV relativeFrom="paragraph">
            <wp:posOffset>-224155</wp:posOffset>
          </wp:positionV>
          <wp:extent cx="1068705" cy="346075"/>
          <wp:effectExtent l="0" t="0" r="0" b="0"/>
          <wp:wrapNone/>
          <wp:docPr id="1" name="Picture 10" descr="Description: Description: Description: sviva_hagana_Hebrew_XS" title="לוגו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sviva_hagana_Hebrew_X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705" cy="34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4AC">
      <w:rPr>
        <w:noProof/>
      </w:rPr>
      <mc:AlternateContent>
        <mc:Choice Requires="wps">
          <w:drawing>
            <wp:anchor distT="4294967293" distB="4294967293" distL="114300" distR="114300" simplePos="0" relativeHeight="251657216" behindDoc="0" locked="0" layoutInCell="1" allowOverlap="1">
              <wp:simplePos x="0" y="0"/>
              <wp:positionH relativeFrom="column">
                <wp:posOffset>-404495</wp:posOffset>
              </wp:positionH>
              <wp:positionV relativeFrom="paragraph">
                <wp:posOffset>-255906</wp:posOffset>
              </wp:positionV>
              <wp:extent cx="6301740" cy="0"/>
              <wp:effectExtent l="0" t="0" r="22860" b="19050"/>
              <wp:wrapNone/>
              <wp:docPr id="2" name="AutoShape 7" title="לוגו המשרד להגנת הסביבה"/>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01740" cy="0"/>
                      </a:xfrm>
                      <a:prstGeom prst="straightConnector1">
                        <a:avLst/>
                      </a:prstGeom>
                      <a:noFill/>
                      <a:ln w="9525">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0C86C" id="_x0000_t32" coordsize="21600,21600" o:spt="32" o:oned="t" path="m,l21600,21600e" filled="f">
              <v:path arrowok="t" fillok="f" o:connecttype="none"/>
              <o:lock v:ext="edit" shapetype="t"/>
            </v:shapetype>
            <v:shape id="AutoShape 7" o:spid="_x0000_s1026" type="#_x0000_t32" alt="כותרת: לוגו המשרד להגנת הסביבה" style="position:absolute;left:0;text-align:left;margin-left:-31.85pt;margin-top:-20.15pt;width:496.2pt;height:0;flip:x;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" strokecolor="#f79646"/>
          </w:pict>
        </mc:Fallback>
      </mc:AlternateContent>
    </w:r>
  </w:p>
  <w:p w:rsidR="00000000" w:rsidRDefault="00AB08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7B" w:rsidRDefault="00AB087B" w:rsidP="00AA5EC6">
      <w:r>
        <w:separator/>
      </w:r>
    </w:p>
    <w:p w:rsidR="00AB087B" w:rsidRDefault="00AB087B"/>
  </w:footnote>
  <w:footnote w:type="continuationSeparator" w:id="0">
    <w:p w:rsidR="00AB087B" w:rsidRDefault="00AB087B" w:rsidP="00AA5EC6">
      <w:r>
        <w:continuationSeparator/>
      </w:r>
    </w:p>
    <w:p w:rsidR="00AB087B" w:rsidRDefault="00AB087B"/>
  </w:footnote>
  <w:footnote w:id="1">
    <w:p w:rsidR="00C14C83" w:rsidRPr="00621F67" w:rsidRDefault="00C14C83" w:rsidP="00C14C83">
      <w:pPr>
        <w:pStyle w:val="a9"/>
        <w:jc w:val="both"/>
        <w:rPr>
          <w:rFonts w:cs="David"/>
        </w:rPr>
      </w:pPr>
      <w:r w:rsidRPr="00621F67">
        <w:rPr>
          <w:rStyle w:val="ab"/>
          <w:rFonts w:cs="David"/>
        </w:rPr>
        <w:footnoteRef/>
      </w:r>
      <w:r w:rsidRPr="00621F67">
        <w:rPr>
          <w:rFonts w:cs="David"/>
          <w:rtl/>
        </w:rPr>
        <w:t xml:space="preserve"> </w:t>
      </w:r>
      <w:r w:rsidRPr="00621F67">
        <w:rPr>
          <w:rFonts w:cs="David" w:hint="cs"/>
          <w:rtl/>
        </w:rPr>
        <w:t>ניתן לציין בהקשר זה</w:t>
      </w:r>
      <w:r>
        <w:rPr>
          <w:rFonts w:cs="David" w:hint="cs"/>
          <w:rtl/>
        </w:rPr>
        <w:t xml:space="preserve"> למשל</w:t>
      </w:r>
      <w:r w:rsidRPr="00621F67">
        <w:rPr>
          <w:rFonts w:cs="David" w:hint="cs"/>
          <w:rtl/>
        </w:rPr>
        <w:t xml:space="preserve"> את צוות המומחים מטעם הנציבות האירופאית שצוין בקול הקורא (</w:t>
      </w:r>
      <w:r w:rsidRPr="00621F67">
        <w:rPr>
          <w:rFonts w:cs="David" w:hint="cs"/>
        </w:rPr>
        <w:t>TEG</w:t>
      </w:r>
      <w:r w:rsidRPr="00621F67">
        <w:rPr>
          <w:rFonts w:cs="David" w:hint="cs"/>
          <w:rtl/>
        </w:rPr>
        <w:t xml:space="preserve">), וכן את צוותי המומחים הפועלים בבריטניה (ר' </w:t>
      </w:r>
      <w:hyperlink r:id="rId1" w:history="1">
        <w:r w:rsidRPr="00621F67">
          <w:rPr>
            <w:rStyle w:val="Hyperlink"/>
            <w:rFonts w:cs="David" w:hint="cs"/>
            <w:rtl/>
          </w:rPr>
          <w:t>כאן</w:t>
        </w:r>
      </w:hyperlink>
      <w:r w:rsidRPr="00621F67">
        <w:rPr>
          <w:rFonts w:cs="David" w:hint="cs"/>
          <w:rtl/>
        </w:rPr>
        <w:t xml:space="preserve">), </w:t>
      </w:r>
      <w:r>
        <w:rPr>
          <w:rFonts w:cs="David" w:hint="cs"/>
          <w:rtl/>
        </w:rPr>
        <w:t xml:space="preserve">הולנד (ר' </w:t>
      </w:r>
      <w:hyperlink r:id="rId2" w:history="1">
        <w:r w:rsidRPr="003963D0">
          <w:rPr>
            <w:rStyle w:val="Hyperlink"/>
            <w:rFonts w:cs="David" w:hint="cs"/>
            <w:rtl/>
          </w:rPr>
          <w:t>כאן</w:t>
        </w:r>
      </w:hyperlink>
      <w:r>
        <w:rPr>
          <w:rFonts w:cs="David" w:hint="cs"/>
          <w:rtl/>
        </w:rPr>
        <w:t xml:space="preserve">), </w:t>
      </w:r>
      <w:r w:rsidRPr="00621F67">
        <w:rPr>
          <w:rFonts w:cs="David" w:hint="cs"/>
          <w:rtl/>
        </w:rPr>
        <w:t xml:space="preserve">קנדה (ר' </w:t>
      </w:r>
      <w:hyperlink r:id="rId3" w:history="1">
        <w:r w:rsidRPr="00621F67">
          <w:rPr>
            <w:rStyle w:val="Hyperlink"/>
            <w:rFonts w:cs="David" w:hint="cs"/>
            <w:rtl/>
          </w:rPr>
          <w:t>כאן</w:t>
        </w:r>
      </w:hyperlink>
      <w:r w:rsidRPr="00621F67">
        <w:rPr>
          <w:rStyle w:val="Hyperlink"/>
          <w:rFonts w:cs="David" w:hint="cs"/>
          <w:rtl/>
        </w:rPr>
        <w:t>)</w:t>
      </w:r>
      <w:r w:rsidRPr="00621F67">
        <w:rPr>
          <w:rFonts w:cs="David" w:hint="cs"/>
          <w:rtl/>
        </w:rPr>
        <w:t xml:space="preserve"> ויפן (ר' </w:t>
      </w:r>
      <w:hyperlink r:id="rId4" w:history="1">
        <w:r w:rsidRPr="00621F67">
          <w:rPr>
            <w:rStyle w:val="Hyperlink"/>
            <w:rFonts w:cs="David" w:hint="cs"/>
            <w:rtl/>
          </w:rPr>
          <w:t>כאן</w:t>
        </w:r>
      </w:hyperlink>
      <w:r w:rsidRPr="00621F67">
        <w:rPr>
          <w:rStyle w:val="Hyperlink"/>
          <w:rFonts w:cs="David" w:hint="cs"/>
          <w:rtl/>
        </w:rPr>
        <w:t>)</w:t>
      </w:r>
      <w:r w:rsidRPr="00621F67">
        <w:rPr>
          <w:rFonts w:cs="David" w:hint="cs"/>
          <w:rtl/>
        </w:rPr>
        <w:t>.</w:t>
      </w:r>
    </w:p>
  </w:footnote>
  <w:footnote w:id="2">
    <w:p w:rsidR="00C14C83" w:rsidRDefault="00C14C83" w:rsidP="00C14C83">
      <w:pPr>
        <w:pStyle w:val="a9"/>
        <w:jc w:val="both"/>
        <w:rPr>
          <w:rtl/>
        </w:rPr>
      </w:pPr>
      <w:r>
        <w:rPr>
          <w:rStyle w:val="ab"/>
        </w:rPr>
        <w:footnoteRef/>
      </w:r>
      <w:r>
        <w:rPr>
          <w:rtl/>
        </w:rPr>
        <w:t xml:space="preserve"> </w:t>
      </w:r>
      <w:r>
        <w:rPr>
          <w:rFonts w:cs="David" w:hint="cs"/>
          <w:rtl/>
        </w:rPr>
        <w:t xml:space="preserve">משיחות שקיימנו </w:t>
      </w:r>
      <w:r w:rsidRPr="00E4365E">
        <w:rPr>
          <w:rFonts w:cs="David" w:hint="cs"/>
          <w:rtl/>
        </w:rPr>
        <w:t>בחודשים מאי-יוני השנה עם נציגות ב-</w:t>
      </w:r>
      <w:r w:rsidRPr="00E4365E">
        <w:rPr>
          <w:rFonts w:cs="David" w:hint="cs"/>
        </w:rPr>
        <w:t>TEG</w:t>
      </w:r>
      <w:r w:rsidRPr="00E4365E">
        <w:rPr>
          <w:rFonts w:cs="David" w:hint="cs"/>
          <w:rtl/>
        </w:rPr>
        <w:t xml:space="preserve"> מה-</w:t>
      </w:r>
      <w:r w:rsidRPr="00E4365E">
        <w:rPr>
          <w:rFonts w:cs="David" w:hint="cs"/>
        </w:rPr>
        <w:t>EIOPA</w:t>
      </w:r>
      <w:r w:rsidRPr="00E4365E">
        <w:rPr>
          <w:rFonts w:cs="David" w:hint="cs"/>
          <w:rtl/>
        </w:rPr>
        <w:t xml:space="preserve"> ומה-</w:t>
      </w:r>
      <w:r w:rsidRPr="00E4365E">
        <w:rPr>
          <w:rFonts w:cs="David"/>
        </w:rPr>
        <w:t>Centre on Green Finance and Investment</w:t>
      </w:r>
      <w:r>
        <w:rPr>
          <w:rFonts w:cs="David" w:hint="cs"/>
          <w:rtl/>
        </w:rPr>
        <w:t xml:space="preserve"> של ה-</w:t>
      </w:r>
      <w:r>
        <w:rPr>
          <w:rFonts w:cs="David" w:hint="cs"/>
        </w:rPr>
        <w:t>OE</w:t>
      </w:r>
      <w:r>
        <w:rPr>
          <w:rFonts w:cs="David"/>
        </w:rPr>
        <w:t>CD</w:t>
      </w:r>
      <w:r>
        <w:rPr>
          <w:rFonts w:cs="David" w:hint="cs"/>
          <w:rtl/>
        </w:rPr>
        <w:t>, ור' למשל התייחסות במסמך שימוע ציבורי של ה-</w:t>
      </w:r>
      <w:r>
        <w:rPr>
          <w:rFonts w:cs="David" w:hint="cs"/>
        </w:rPr>
        <w:t>TEG</w:t>
      </w:r>
      <w:r>
        <w:rPr>
          <w:rFonts w:cs="David" w:hint="cs"/>
          <w:rtl/>
        </w:rPr>
        <w:t xml:space="preserve"> </w:t>
      </w:r>
      <w:hyperlink r:id="rId5" w:history="1">
        <w:r w:rsidRPr="00E4365E">
          <w:rPr>
            <w:rStyle w:val="Hyperlink"/>
            <w:rFonts w:cs="David" w:hint="cs"/>
            <w:rtl/>
          </w:rPr>
          <w:t>כאן</w:t>
        </w:r>
      </w:hyperlink>
      <w:r>
        <w:rPr>
          <w:rFonts w:cs="David" w:hint="cs"/>
          <w:rtl/>
        </w:rPr>
        <w:t>.</w:t>
      </w:r>
    </w:p>
  </w:footnote>
  <w:footnote w:id="3">
    <w:p w:rsidR="00C14C83" w:rsidRDefault="00C14C83" w:rsidP="00C14C83">
      <w:pPr>
        <w:pStyle w:val="a9"/>
        <w:jc w:val="both"/>
        <w:rPr>
          <w:rtl/>
        </w:rPr>
      </w:pPr>
      <w:r>
        <w:rPr>
          <w:rStyle w:val="ab"/>
        </w:rPr>
        <w:footnoteRef/>
      </w:r>
      <w:r>
        <w:rPr>
          <w:rtl/>
        </w:rPr>
        <w:t xml:space="preserve"> </w:t>
      </w:r>
      <w:r>
        <w:rPr>
          <w:rFonts w:cs="David" w:hint="cs"/>
          <w:rtl/>
        </w:rPr>
        <w:t>ר' את</w:t>
      </w:r>
      <w:r w:rsidRPr="002B6294">
        <w:rPr>
          <w:rFonts w:cs="David" w:hint="cs"/>
          <w:rtl/>
        </w:rPr>
        <w:t xml:space="preserve"> "הספר הירוק" </w:t>
      </w:r>
      <w:r w:rsidRPr="002B6294">
        <w:rPr>
          <w:rFonts w:cs="David"/>
          <w:rtl/>
        </w:rPr>
        <w:t>–</w:t>
      </w:r>
      <w:r>
        <w:rPr>
          <w:rFonts w:cs="David" w:hint="cs"/>
          <w:rtl/>
        </w:rPr>
        <w:t xml:space="preserve"> מסמך</w:t>
      </w:r>
      <w:r w:rsidRPr="002B6294">
        <w:rPr>
          <w:rFonts w:cs="David" w:hint="cs"/>
          <w:rtl/>
        </w:rPr>
        <w:t xml:space="preserve"> העלויות החיצוניות מזיהום האוויר וגזי החממה של המשרד להגנת הסביבה </w:t>
      </w:r>
      <w:hyperlink r:id="rId6" w:history="1">
        <w:r w:rsidRPr="002B6294">
          <w:rPr>
            <w:rStyle w:val="Hyperlink"/>
            <w:rFonts w:cs="David" w:hint="cs"/>
            <w:rtl/>
          </w:rPr>
          <w:t>כאן</w:t>
        </w:r>
      </w:hyperlink>
      <w:r>
        <w:rPr>
          <w:rFonts w:hint="cs"/>
          <w:rtl/>
        </w:rPr>
        <w:t>.</w:t>
      </w:r>
    </w:p>
  </w:footnote>
  <w:footnote w:id="4">
    <w:p w:rsidR="00C14C83" w:rsidRDefault="00C14C83" w:rsidP="00C14C83">
      <w:pPr>
        <w:pStyle w:val="a9"/>
        <w:jc w:val="both"/>
        <w:rPr>
          <w:rtl/>
        </w:rPr>
      </w:pPr>
      <w:r>
        <w:rPr>
          <w:rStyle w:val="ab"/>
        </w:rPr>
        <w:footnoteRef/>
      </w:r>
      <w:r>
        <w:rPr>
          <w:rtl/>
        </w:rPr>
        <w:t xml:space="preserve"> </w:t>
      </w:r>
      <w:r>
        <w:rPr>
          <w:rFonts w:cs="David" w:hint="cs"/>
          <w:rtl/>
        </w:rPr>
        <w:t>אנו מזהים</w:t>
      </w:r>
      <w:r w:rsidRPr="000A2C4E">
        <w:rPr>
          <w:rFonts w:cs="David" w:hint="cs"/>
          <w:rtl/>
        </w:rPr>
        <w:t xml:space="preserve"> שבשנתיים האחרונות ישנו דיון על התחום של פגיעה במערכות אקולוגיות ושירותי</w:t>
      </w:r>
      <w:r>
        <w:rPr>
          <w:rFonts w:cs="David" w:hint="cs"/>
          <w:rtl/>
        </w:rPr>
        <w:t xml:space="preserve">הן לאדם </w:t>
      </w:r>
      <w:r w:rsidRPr="000A2C4E">
        <w:rPr>
          <w:rFonts w:cs="David" w:hint="cs"/>
          <w:rtl/>
        </w:rPr>
        <w:t>כסיכון פיננסי גלובלי (ר' למשל דוח של ה-</w:t>
      </w:r>
      <w:r w:rsidRPr="000A2C4E">
        <w:rPr>
          <w:rFonts w:cs="David" w:hint="cs"/>
        </w:rPr>
        <w:t>OECD</w:t>
      </w:r>
      <w:r w:rsidRPr="000A2C4E">
        <w:rPr>
          <w:rFonts w:cs="David" w:hint="cs"/>
          <w:rtl/>
        </w:rPr>
        <w:t xml:space="preserve"> </w:t>
      </w:r>
      <w:hyperlink r:id="rId7" w:history="1">
        <w:r w:rsidRPr="000A2C4E">
          <w:rPr>
            <w:rStyle w:val="Hyperlink"/>
            <w:rFonts w:cs="David" w:hint="cs"/>
            <w:rtl/>
          </w:rPr>
          <w:t>כאן</w:t>
        </w:r>
      </w:hyperlink>
      <w:r>
        <w:rPr>
          <w:rFonts w:hint="cs"/>
          <w:rtl/>
        </w:rPr>
        <w:t xml:space="preserve">, </w:t>
      </w:r>
      <w:r w:rsidRPr="00BD1B9A">
        <w:rPr>
          <w:rFonts w:cs="David" w:hint="cs"/>
          <w:rtl/>
        </w:rPr>
        <w:t xml:space="preserve">ופרסומים של הפורום העולמי לכלכלה </w:t>
      </w:r>
      <w:hyperlink r:id="rId8" w:history="1">
        <w:r w:rsidRPr="00BD1B9A">
          <w:rPr>
            <w:rStyle w:val="Hyperlink"/>
            <w:rFonts w:cs="David" w:hint="cs"/>
            <w:rtl/>
          </w:rPr>
          <w:t>כאן</w:t>
        </w:r>
      </w:hyperlink>
      <w:r w:rsidRPr="00BD1B9A">
        <w:rPr>
          <w:rFonts w:cs="David" w:hint="cs"/>
          <w:rtl/>
        </w:rPr>
        <w:t xml:space="preserve"> ו</w:t>
      </w:r>
      <w:hyperlink r:id="rId9" w:anchor="risks-transitions-opportunities-and-investments" w:history="1">
        <w:r w:rsidRPr="00BD1B9A">
          <w:rPr>
            <w:rStyle w:val="Hyperlink"/>
            <w:rFonts w:cs="David" w:hint="cs"/>
            <w:rtl/>
          </w:rPr>
          <w:t>כאן</w:t>
        </w:r>
      </w:hyperlink>
      <w:r w:rsidRPr="00BD1B9A">
        <w:rPr>
          <w:rFonts w:cs="David" w:hint="cs"/>
          <w:rtl/>
        </w:rPr>
        <w:t>.</w:t>
      </w:r>
    </w:p>
  </w:footnote>
  <w:footnote w:id="5">
    <w:p w:rsidR="00C14C83" w:rsidRPr="00621F67" w:rsidRDefault="00C14C83" w:rsidP="00C14C83">
      <w:pPr>
        <w:pStyle w:val="a9"/>
        <w:rPr>
          <w:rFonts w:cs="David"/>
          <w:rtl/>
        </w:rPr>
      </w:pPr>
      <w:r w:rsidRPr="00621F67">
        <w:rPr>
          <w:rStyle w:val="ab"/>
          <w:rFonts w:cs="David"/>
        </w:rPr>
        <w:footnoteRef/>
      </w:r>
      <w:r w:rsidRPr="00621F67">
        <w:rPr>
          <w:rFonts w:cs="David"/>
          <w:rtl/>
        </w:rPr>
        <w:t xml:space="preserve"> </w:t>
      </w:r>
      <w:r w:rsidRPr="00621F67">
        <w:rPr>
          <w:rFonts w:cs="David" w:hint="cs"/>
          <w:rtl/>
        </w:rPr>
        <w:t xml:space="preserve">פרסום באתר פרקליטות המדינה זמין </w:t>
      </w:r>
      <w:hyperlink r:id="rId10" w:history="1">
        <w:r w:rsidRPr="00621F67">
          <w:rPr>
            <w:rStyle w:val="Hyperlink"/>
            <w:rFonts w:cs="David" w:hint="cs"/>
            <w:rtl/>
          </w:rPr>
          <w:t>כאן</w:t>
        </w:r>
      </w:hyperlink>
      <w:r w:rsidRPr="00621F67">
        <w:rPr>
          <w:rFonts w:cs="David" w:hint="cs"/>
          <w:rtl/>
        </w:rPr>
        <w:t>.</w:t>
      </w:r>
    </w:p>
  </w:footnote>
  <w:footnote w:id="6">
    <w:p w:rsidR="00C14C83" w:rsidRPr="00621F67" w:rsidRDefault="00C14C83" w:rsidP="00C14C83">
      <w:pPr>
        <w:pStyle w:val="a9"/>
        <w:rPr>
          <w:rFonts w:cs="David"/>
          <w:rtl/>
        </w:rPr>
      </w:pPr>
      <w:r w:rsidRPr="00621F67">
        <w:rPr>
          <w:rStyle w:val="ab"/>
          <w:rFonts w:cs="David"/>
        </w:rPr>
        <w:footnoteRef/>
      </w:r>
      <w:r w:rsidRPr="00621F67">
        <w:rPr>
          <w:rFonts w:cs="David"/>
          <w:rtl/>
        </w:rPr>
        <w:t xml:space="preserve"> </w:t>
      </w:r>
      <w:r w:rsidRPr="00621F67">
        <w:rPr>
          <w:rFonts w:cs="David"/>
          <w:rtl/>
        </w:rPr>
        <w:t>ת"צ 42918-12-14 (מחוזי ב"ש) אברהם ואח' נ' חברת קו צינור אילת אשקלון בע"מ ואח'</w:t>
      </w:r>
    </w:p>
  </w:footnote>
  <w:footnote w:id="7">
    <w:p w:rsidR="00C14C83" w:rsidRPr="00621F67" w:rsidRDefault="00C14C83" w:rsidP="00C14C83">
      <w:pPr>
        <w:pStyle w:val="a9"/>
        <w:rPr>
          <w:rFonts w:cs="David"/>
        </w:rPr>
      </w:pPr>
      <w:r w:rsidRPr="00621F67">
        <w:rPr>
          <w:rStyle w:val="ab"/>
          <w:rFonts w:cs="David"/>
        </w:rPr>
        <w:footnoteRef/>
      </w:r>
      <w:r w:rsidRPr="00621F67">
        <w:rPr>
          <w:rFonts w:cs="David"/>
          <w:rtl/>
        </w:rPr>
        <w:t xml:space="preserve"> </w:t>
      </w:r>
      <w:r w:rsidRPr="00621F67">
        <w:rPr>
          <w:rFonts w:cs="David"/>
          <w:rtl/>
        </w:rPr>
        <w:t>בש"א (מחוזי חי') 9462/04 תעשיות אלקטרוכימיות בע"מ נ' כונס הנכסים הרשמי</w:t>
      </w:r>
    </w:p>
  </w:footnote>
  <w:footnote w:id="8">
    <w:p w:rsidR="00C14C83" w:rsidRDefault="00C14C83" w:rsidP="00C14C83">
      <w:pPr>
        <w:pStyle w:val="a9"/>
      </w:pPr>
      <w:r>
        <w:rPr>
          <w:rStyle w:val="ab"/>
        </w:rPr>
        <w:footnoteRef/>
      </w:r>
      <w:r>
        <w:rPr>
          <w:rtl/>
        </w:rPr>
        <w:t xml:space="preserve"> </w:t>
      </w:r>
      <w:r w:rsidRPr="00927F11">
        <w:rPr>
          <w:rFonts w:cs="David" w:hint="cs"/>
          <w:rtl/>
        </w:rPr>
        <w:t>ניתן לציין בהקשר זה את המחקר שפורסם על ידי הבנק העולמי בשנת 2018 (</w:t>
      </w:r>
      <w:hyperlink r:id="rId11" w:history="1">
        <w:r w:rsidRPr="00927F11">
          <w:rPr>
            <w:rStyle w:val="Hyperlink"/>
            <w:rFonts w:cs="David" w:hint="cs"/>
            <w:rtl/>
          </w:rPr>
          <w:t>כאן</w:t>
        </w:r>
      </w:hyperlink>
      <w:r w:rsidRPr="00927F11">
        <w:rPr>
          <w:rFonts w:cs="David" w:hint="cs"/>
          <w:rtl/>
        </w:rPr>
        <w:t>)</w:t>
      </w:r>
    </w:p>
  </w:footnote>
  <w:footnote w:id="9">
    <w:p w:rsidR="00C14C83" w:rsidRDefault="00C14C83" w:rsidP="00C14C83">
      <w:pPr>
        <w:pStyle w:val="a9"/>
        <w:jc w:val="both"/>
      </w:pPr>
      <w:r>
        <w:rPr>
          <w:rStyle w:val="ab"/>
        </w:rPr>
        <w:footnoteRef/>
      </w:r>
      <w:r>
        <w:rPr>
          <w:rtl/>
        </w:rPr>
        <w:t xml:space="preserve"> </w:t>
      </w:r>
      <w:r w:rsidRPr="00FE2470">
        <w:rPr>
          <w:rFonts w:cs="David" w:hint="cs"/>
          <w:rtl/>
        </w:rPr>
        <w:t xml:space="preserve">ההתייחסות לגופים הפיננסיים בהיבט זה היא הן בצד של קרנות הנאמנות המפוקחות על ידי הרשות, והן בצד של הגופים הפיננסיים הנסחרים המפוקחים על ידי הרשות.  </w:t>
      </w:r>
    </w:p>
  </w:footnote>
  <w:footnote w:id="10">
    <w:p w:rsidR="00C14C83" w:rsidRDefault="00C14C83" w:rsidP="00C14C83">
      <w:pPr>
        <w:pStyle w:val="a9"/>
      </w:pPr>
      <w:r>
        <w:rPr>
          <w:rStyle w:val="ab"/>
        </w:rPr>
        <w:footnoteRef/>
      </w:r>
      <w:r>
        <w:rPr>
          <w:rtl/>
        </w:rPr>
        <w:t xml:space="preserve"> </w:t>
      </w:r>
      <w:hyperlink r:id="rId12" w:history="1">
        <w:r w:rsidRPr="00FE1E71">
          <w:rPr>
            <w:rStyle w:val="Hyperlink"/>
            <w:rFonts w:cs="David"/>
          </w:rPr>
          <w:t>Regulation (EU) 2019/2088</w:t>
        </w:r>
      </w:hyperlink>
    </w:p>
  </w:footnote>
  <w:footnote w:id="11">
    <w:p w:rsidR="00C14C83" w:rsidRDefault="00C14C83" w:rsidP="00C14C83">
      <w:pPr>
        <w:pStyle w:val="a9"/>
        <w:rPr>
          <w:rtl/>
        </w:rPr>
      </w:pPr>
      <w:r>
        <w:rPr>
          <w:rStyle w:val="ab"/>
        </w:rPr>
        <w:footnoteRef/>
      </w:r>
      <w:r>
        <w:rPr>
          <w:rtl/>
        </w:rPr>
        <w:t xml:space="preserve"> </w:t>
      </w:r>
      <w:hyperlink r:id="rId13" w:history="1">
        <w:r w:rsidRPr="005D0619">
          <w:rPr>
            <w:rStyle w:val="Hyperlink"/>
          </w:rPr>
          <w:t>DIRECTIVE 2014/95/EU</w:t>
        </w:r>
      </w:hyperlink>
    </w:p>
  </w:footnote>
  <w:footnote w:id="12">
    <w:p w:rsidR="00C14C83" w:rsidRDefault="00C14C83" w:rsidP="00C14C83">
      <w:pPr>
        <w:pStyle w:val="a9"/>
        <w:rPr>
          <w:rtl/>
        </w:rPr>
      </w:pPr>
      <w:r>
        <w:rPr>
          <w:rStyle w:val="ab"/>
        </w:rPr>
        <w:footnoteRef/>
      </w:r>
      <w:r>
        <w:rPr>
          <w:rtl/>
        </w:rPr>
        <w:t xml:space="preserve"> </w:t>
      </w:r>
      <w:r w:rsidRPr="00005DBB">
        <w:rPr>
          <w:rFonts w:cs="David" w:hint="cs"/>
          <w:rtl/>
        </w:rPr>
        <w:t xml:space="preserve">ר' </w:t>
      </w:r>
      <w:hyperlink r:id="rId14" w:history="1">
        <w:r w:rsidRPr="00005DBB">
          <w:rPr>
            <w:rStyle w:val="Hyperlink"/>
            <w:rFonts w:cs="David" w:hint="cs"/>
            <w:rtl/>
          </w:rPr>
          <w:t>כאן</w:t>
        </w:r>
      </w:hyperlink>
      <w:r w:rsidRPr="00005DBB">
        <w:rPr>
          <w:rFonts w:cs="David" w:hint="cs"/>
          <w:rtl/>
        </w:rPr>
        <w:t>.</w:t>
      </w:r>
    </w:p>
  </w:footnote>
  <w:footnote w:id="13">
    <w:p w:rsidR="00C14C83" w:rsidRDefault="00C14C83" w:rsidP="00C14C83">
      <w:pPr>
        <w:pStyle w:val="a9"/>
        <w:rPr>
          <w:rtl/>
        </w:rPr>
      </w:pPr>
      <w:r>
        <w:rPr>
          <w:rStyle w:val="ab"/>
        </w:rPr>
        <w:footnoteRef/>
      </w:r>
      <w:r>
        <w:rPr>
          <w:rtl/>
        </w:rPr>
        <w:t xml:space="preserve"> </w:t>
      </w:r>
      <w:r w:rsidRPr="00A15F36">
        <w:rPr>
          <w:rFonts w:cs="David" w:hint="cs"/>
          <w:rtl/>
        </w:rPr>
        <w:t>ר' לעניין זה את מינוח וההתייחסות בסקרי הלשכה המרכזית לסטטיסטיקה בנושא איכות הסביבה בענפי התעשייה והחשמל.</w:t>
      </w:r>
    </w:p>
  </w:footnote>
  <w:footnote w:id="14">
    <w:p w:rsidR="00C14C83" w:rsidRPr="00621F67" w:rsidRDefault="00C14C83" w:rsidP="00C14C83">
      <w:pPr>
        <w:pStyle w:val="a9"/>
        <w:rPr>
          <w:rFonts w:cs="David"/>
          <w:rtl/>
        </w:rPr>
      </w:pPr>
      <w:r w:rsidRPr="00621F67">
        <w:rPr>
          <w:rStyle w:val="ab"/>
          <w:rFonts w:cs="David"/>
        </w:rPr>
        <w:footnoteRef/>
      </w:r>
      <w:r w:rsidRPr="00621F67">
        <w:rPr>
          <w:rFonts w:cs="David"/>
          <w:rtl/>
        </w:rPr>
        <w:t xml:space="preserve"> </w:t>
      </w:r>
      <w:r w:rsidRPr="00621F67">
        <w:rPr>
          <w:rFonts w:cs="David"/>
          <w:rtl/>
        </w:rPr>
        <w:t>חוזר גופים מוסדיים 2017-9-24</w:t>
      </w:r>
      <w:r w:rsidRPr="00621F67">
        <w:rPr>
          <w:rFonts w:cs="David" w:hint="cs"/>
          <w:rtl/>
        </w:rPr>
        <w:t xml:space="preserve"> של רשות שוק ההון ביטוח וחסכון (</w:t>
      </w:r>
      <w:hyperlink r:id="rId15" w:history="1">
        <w:r w:rsidRPr="00621F67">
          <w:rPr>
            <w:rStyle w:val="Hyperlink"/>
            <w:rFonts w:cs="David" w:hint="cs"/>
            <w:rtl/>
          </w:rPr>
          <w:t>כאן</w:t>
        </w:r>
      </w:hyperlink>
      <w:r w:rsidRPr="00621F67">
        <w:rPr>
          <w:rFonts w:cs="David" w:hint="cs"/>
          <w:rtl/>
        </w:rPr>
        <w:t>)</w:t>
      </w:r>
      <w:r>
        <w:rPr>
          <w:rFonts w:cs="David" w:hint="cs"/>
          <w:rtl/>
        </w:rPr>
        <w:t>.</w:t>
      </w:r>
    </w:p>
  </w:footnote>
  <w:footnote w:id="15">
    <w:p w:rsidR="00C14C83" w:rsidRPr="00621F67" w:rsidRDefault="00C14C83" w:rsidP="00C14C83">
      <w:pPr>
        <w:pStyle w:val="a9"/>
        <w:jc w:val="both"/>
        <w:rPr>
          <w:rFonts w:cs="David"/>
          <w:rtl/>
        </w:rPr>
      </w:pPr>
      <w:r w:rsidRPr="00621F67">
        <w:rPr>
          <w:rStyle w:val="ab"/>
          <w:rFonts w:cs="David"/>
        </w:rPr>
        <w:footnoteRef/>
      </w:r>
      <w:r w:rsidRPr="00621F67">
        <w:rPr>
          <w:rFonts w:cs="David"/>
          <w:rtl/>
        </w:rPr>
        <w:t xml:space="preserve"> </w:t>
      </w:r>
      <w:r w:rsidRPr="00621F67">
        <w:rPr>
          <w:rFonts w:cs="David" w:hint="cs"/>
          <w:rtl/>
        </w:rPr>
        <w:t xml:space="preserve">עדכון אחרון מדצמבר 2018 זמין </w:t>
      </w:r>
      <w:hyperlink r:id="rId16" w:history="1">
        <w:r w:rsidRPr="00621F67">
          <w:rPr>
            <w:rStyle w:val="Hyperlink"/>
            <w:rFonts w:cs="David" w:hint="cs"/>
            <w:rtl/>
          </w:rPr>
          <w:t>כאן</w:t>
        </w:r>
      </w:hyperlink>
      <w:r w:rsidRPr="00621F67">
        <w:rPr>
          <w:rFonts w:cs="David" w:hint="cs"/>
          <w:rtl/>
        </w:rPr>
        <w:t>.</w:t>
      </w:r>
      <w:r>
        <w:rPr>
          <w:rFonts w:cs="David" w:hint="cs"/>
          <w:rtl/>
        </w:rPr>
        <w:t xml:space="preserve"> ניתן להתייחס בהקשר זה גם לחוזר המפקח על הבנקים בנושא פרסום דוחות אחריות תאגידית משנת 2011 (</w:t>
      </w:r>
      <w:hyperlink r:id="rId17" w:history="1">
        <w:r w:rsidRPr="00CF3619">
          <w:rPr>
            <w:rStyle w:val="Hyperlink"/>
            <w:rFonts w:cs="David" w:hint="cs"/>
            <w:rtl/>
          </w:rPr>
          <w:t>כאן</w:t>
        </w:r>
      </w:hyperlink>
      <w:r>
        <w:rPr>
          <w:rFonts w:cs="David" w:hint="cs"/>
          <w:rtl/>
        </w:rPr>
        <w:t xml:space="preserve">, ולשון ההוראה </w:t>
      </w:r>
      <w:hyperlink r:id="rId18" w:history="1">
        <w:r w:rsidRPr="00CF3619">
          <w:rPr>
            <w:rStyle w:val="Hyperlink"/>
            <w:rFonts w:cs="David" w:hint="cs"/>
            <w:rtl/>
          </w:rPr>
          <w:t>כאן</w:t>
        </w:r>
      </w:hyperlink>
      <w:r>
        <w:rPr>
          <w:rFonts w:cs="David" w:hint="cs"/>
          <w:rtl/>
        </w:rPr>
        <w:t>).</w:t>
      </w:r>
    </w:p>
  </w:footnote>
  <w:footnote w:id="16">
    <w:p w:rsidR="00C14C83" w:rsidRPr="00621F67" w:rsidRDefault="00C14C83" w:rsidP="00C14C83">
      <w:pPr>
        <w:pStyle w:val="a9"/>
        <w:jc w:val="both"/>
        <w:rPr>
          <w:rFonts w:cs="David"/>
          <w:rtl/>
        </w:rPr>
      </w:pPr>
      <w:r w:rsidRPr="00621F67">
        <w:rPr>
          <w:rStyle w:val="ab"/>
          <w:rFonts w:cs="David"/>
        </w:rPr>
        <w:footnoteRef/>
      </w:r>
      <w:r w:rsidRPr="00621F67">
        <w:rPr>
          <w:rFonts w:cs="David"/>
          <w:rtl/>
        </w:rPr>
        <w:t xml:space="preserve"> </w:t>
      </w:r>
      <w:r w:rsidRPr="00621F67">
        <w:rPr>
          <w:rFonts w:cs="David" w:hint="cs"/>
          <w:rtl/>
        </w:rPr>
        <w:t xml:space="preserve">ניתן לציין שישנן מספר קרנות המתמחות (וולונטרית) בהשקעות בתחומי סביבה או </w:t>
      </w:r>
      <w:r w:rsidRPr="00621F67">
        <w:rPr>
          <w:rFonts w:cs="David" w:hint="cs"/>
        </w:rPr>
        <w:t>ESG</w:t>
      </w:r>
      <w:r w:rsidRPr="00621F67">
        <w:rPr>
          <w:rFonts w:cs="David" w:hint="cs"/>
          <w:rtl/>
        </w:rPr>
        <w:t xml:space="preserve"> המגלות את מדיניות ההשקעות במסגרת תשקיף.</w:t>
      </w:r>
    </w:p>
  </w:footnote>
  <w:footnote w:id="17">
    <w:p w:rsidR="00C14C83" w:rsidRPr="007008DF" w:rsidRDefault="00C14C83" w:rsidP="00C14C83">
      <w:pPr>
        <w:pStyle w:val="a9"/>
        <w:jc w:val="both"/>
        <w:rPr>
          <w:rFonts w:cs="David"/>
          <w:rtl/>
        </w:rPr>
      </w:pPr>
      <w:r>
        <w:rPr>
          <w:rStyle w:val="ab"/>
        </w:rPr>
        <w:footnoteRef/>
      </w:r>
      <w:r>
        <w:rPr>
          <w:rtl/>
        </w:rPr>
        <w:t xml:space="preserve"> </w:t>
      </w:r>
      <w:r>
        <w:rPr>
          <w:rFonts w:cs="David" w:hint="cs"/>
          <w:rtl/>
        </w:rPr>
        <w:t>להתפתחות השוק באירופה ר'</w:t>
      </w:r>
      <w:r w:rsidRPr="00E84624">
        <w:rPr>
          <w:rFonts w:cs="David" w:hint="cs"/>
          <w:sz w:val="24"/>
          <w:szCs w:val="24"/>
          <w:rtl/>
        </w:rPr>
        <w:t xml:space="preserve"> </w:t>
      </w:r>
      <w:r w:rsidRPr="00005DBB">
        <w:rPr>
          <w:rFonts w:cs="David" w:hint="cs"/>
          <w:rtl/>
        </w:rPr>
        <w:t xml:space="preserve">סקירה </w:t>
      </w:r>
      <w:hyperlink r:id="rId19" w:history="1">
        <w:r w:rsidRPr="00005DBB">
          <w:rPr>
            <w:rStyle w:val="Hyperlink"/>
            <w:rFonts w:cs="David" w:hint="cs"/>
            <w:rtl/>
          </w:rPr>
          <w:t>כאן</w:t>
        </w:r>
      </w:hyperlink>
      <w:r w:rsidRPr="00005DBB">
        <w:rPr>
          <w:rStyle w:val="Hyperlink"/>
          <w:rFonts w:cs="David" w:hint="cs"/>
          <w:rtl/>
        </w:rPr>
        <w:t xml:space="preserve">, </w:t>
      </w:r>
      <w:r>
        <w:rPr>
          <w:rFonts w:cs="David" w:hint="cs"/>
          <w:rtl/>
        </w:rPr>
        <w:t xml:space="preserve">וכן </w:t>
      </w:r>
      <w:r w:rsidRPr="00005DBB">
        <w:rPr>
          <w:rFonts w:cs="David" w:hint="cs"/>
          <w:rtl/>
        </w:rPr>
        <w:t>מחקר</w:t>
      </w:r>
      <w:r w:rsidRPr="007755AE">
        <w:rPr>
          <w:rFonts w:cs="David" w:hint="cs"/>
          <w:rtl/>
        </w:rPr>
        <w:t xml:space="preserve"> הרשות לניירות ערך בנושא </w:t>
      </w:r>
      <w:r w:rsidRPr="007755AE">
        <w:rPr>
          <w:rFonts w:cs="David"/>
          <w:rtl/>
        </w:rPr>
        <w:t>השפעת בעלי מניות מוסדיים בינלאומיים בחברות ציבוריות בישראל</w:t>
      </w:r>
      <w:r w:rsidRPr="007755AE">
        <w:rPr>
          <w:rFonts w:cs="David" w:hint="cs"/>
          <w:rtl/>
        </w:rPr>
        <w:t>, 2019</w:t>
      </w:r>
      <w:r>
        <w:rPr>
          <w:rFonts w:cs="David" w:hint="cs"/>
          <w:rtl/>
        </w:rPr>
        <w:t>.</w:t>
      </w:r>
    </w:p>
  </w:footnote>
  <w:footnote w:id="18">
    <w:p w:rsidR="00C14C83" w:rsidRDefault="00C14C83" w:rsidP="00C14C83">
      <w:pPr>
        <w:pStyle w:val="a9"/>
        <w:rPr>
          <w:rtl/>
        </w:rPr>
      </w:pPr>
      <w:r w:rsidRPr="007008DF">
        <w:rPr>
          <w:rStyle w:val="ab"/>
          <w:rFonts w:cs="David"/>
        </w:rPr>
        <w:footnoteRef/>
      </w:r>
      <w:r w:rsidRPr="007008DF">
        <w:rPr>
          <w:rFonts w:cs="David"/>
          <w:rtl/>
        </w:rPr>
        <w:t xml:space="preserve"> </w:t>
      </w:r>
      <w:r w:rsidRPr="007008DF">
        <w:rPr>
          <w:rFonts w:cs="David" w:hint="cs"/>
          <w:rtl/>
        </w:rPr>
        <w:t xml:space="preserve">לגבי סוגיית הפגיעה במערכות אקולוגיות, ר' למשל דוח של קבוצת עבודה בהובלת הבנק ההולנדי </w:t>
      </w:r>
      <w:r w:rsidRPr="007008DF">
        <w:rPr>
          <w:rFonts w:cs="David" w:hint="cs"/>
        </w:rPr>
        <w:t>NWB</w:t>
      </w:r>
      <w:r w:rsidRPr="007008DF">
        <w:rPr>
          <w:rFonts w:cs="David" w:hint="cs"/>
          <w:rtl/>
        </w:rPr>
        <w:t xml:space="preserve"> הזמין </w:t>
      </w:r>
      <w:hyperlink r:id="rId20" w:history="1">
        <w:r w:rsidRPr="007008DF">
          <w:rPr>
            <w:rStyle w:val="Hyperlink"/>
            <w:rFonts w:cs="David" w:hint="cs"/>
            <w:rtl/>
          </w:rPr>
          <w:t>כאן</w:t>
        </w:r>
      </w:hyperlink>
      <w:r w:rsidRPr="007008DF">
        <w:rPr>
          <w:rFonts w:cs="David" w:hint="cs"/>
          <w:rtl/>
        </w:rPr>
        <w:t>.</w:t>
      </w:r>
    </w:p>
  </w:footnote>
  <w:footnote w:id="19">
    <w:p w:rsidR="00C14C83" w:rsidRPr="00B3398B" w:rsidRDefault="00C14C83" w:rsidP="00C14C83">
      <w:pPr>
        <w:pStyle w:val="a9"/>
        <w:jc w:val="both"/>
        <w:rPr>
          <w:rFonts w:cs="David"/>
          <w:rtl/>
        </w:rPr>
      </w:pPr>
      <w:r>
        <w:rPr>
          <w:rStyle w:val="ab"/>
        </w:rPr>
        <w:footnoteRef/>
      </w:r>
      <w:r>
        <w:rPr>
          <w:rtl/>
        </w:rPr>
        <w:t xml:space="preserve"> </w:t>
      </w:r>
      <w:r w:rsidRPr="00FE1E71">
        <w:rPr>
          <w:rFonts w:cs="David"/>
          <w:rtl/>
        </w:rPr>
        <w:t xml:space="preserve">מרדכי שכטר, אופירה אילון ואח' השלכות שינויי האקלים הצפויים עד שנת </w:t>
      </w:r>
      <w:r>
        <w:rPr>
          <w:rFonts w:cs="David" w:hint="cs"/>
          <w:rtl/>
        </w:rPr>
        <w:t xml:space="preserve">2030 </w:t>
      </w:r>
      <w:r w:rsidRPr="00FE1E71">
        <w:rPr>
          <w:rFonts w:cs="David"/>
          <w:rtl/>
        </w:rPr>
        <w:t xml:space="preserve">על ענף הביטוח והמשק הישראלי, </w:t>
      </w:r>
      <w:r>
        <w:rPr>
          <w:rFonts w:cs="David" w:hint="cs"/>
          <w:rtl/>
        </w:rPr>
        <w:t>מחקר עבור ה</w:t>
      </w:r>
      <w:r w:rsidRPr="00B3398B">
        <w:rPr>
          <w:rFonts w:cs="David" w:hint="cs"/>
          <w:rtl/>
        </w:rPr>
        <w:t>מדען הראשי במשרד להגנת הסביבה (</w:t>
      </w:r>
      <w:r w:rsidRPr="00B3398B">
        <w:rPr>
          <w:rFonts w:cs="David"/>
          <w:rtl/>
        </w:rPr>
        <w:t>2013</w:t>
      </w:r>
      <w:r w:rsidRPr="00B3398B">
        <w:rPr>
          <w:rFonts w:cs="David" w:hint="cs"/>
          <w:rtl/>
        </w:rPr>
        <w:t>) (</w:t>
      </w:r>
      <w:hyperlink r:id="rId21" w:anchor="fireglass_params&amp;tabid=a45faeca1c97fa6c&amp;application_server_address=tie3.fg.gov.il&amp;popup=true&amp;is_right_side_popup=false&amp;start_with_session_counter=1" w:history="1">
        <w:r w:rsidRPr="00B3398B">
          <w:rPr>
            <w:rStyle w:val="Hyperlink"/>
            <w:rFonts w:cs="David" w:hint="cs"/>
            <w:rtl/>
          </w:rPr>
          <w:t>כאן</w:t>
        </w:r>
      </w:hyperlink>
      <w:r w:rsidRPr="00B3398B">
        <w:rPr>
          <w:rFonts w:cs="David" w:hint="cs"/>
          <w:rtl/>
        </w:rPr>
        <w:t>)</w:t>
      </w:r>
      <w:r>
        <w:rPr>
          <w:rFonts w:cs="David" w:hint="cs"/>
          <w:rtl/>
        </w:rPr>
        <w:t>.</w:t>
      </w:r>
    </w:p>
  </w:footnote>
  <w:footnote w:id="20">
    <w:p w:rsidR="00C14C83" w:rsidRDefault="00C14C83" w:rsidP="00C14C83">
      <w:pPr>
        <w:pStyle w:val="a9"/>
        <w:rPr>
          <w:rtl/>
        </w:rPr>
      </w:pPr>
      <w:r>
        <w:rPr>
          <w:rStyle w:val="ab"/>
        </w:rPr>
        <w:footnoteRef/>
      </w:r>
      <w:r>
        <w:rPr>
          <w:rtl/>
        </w:rPr>
        <w:t xml:space="preserve"> </w:t>
      </w:r>
      <w:r w:rsidRPr="000F47DA">
        <w:rPr>
          <w:rFonts w:cs="David" w:hint="cs"/>
          <w:rtl/>
        </w:rPr>
        <w:t>ר' למשל מאמרים ב-</w:t>
      </w:r>
      <w:r w:rsidRPr="000F47DA">
        <w:rPr>
          <w:rFonts w:cs="David"/>
        </w:rPr>
        <w:t>Nature</w:t>
      </w:r>
      <w:r w:rsidRPr="000F47DA">
        <w:rPr>
          <w:rFonts w:cs="David" w:hint="cs"/>
          <w:rtl/>
        </w:rPr>
        <w:t xml:space="preserve"> </w:t>
      </w:r>
      <w:hyperlink r:id="rId22" w:history="1">
        <w:r w:rsidRPr="000F47DA">
          <w:rPr>
            <w:rStyle w:val="Hyperlink"/>
            <w:rFonts w:cs="David" w:hint="cs"/>
            <w:rtl/>
          </w:rPr>
          <w:t>כאן</w:t>
        </w:r>
      </w:hyperlink>
      <w:r w:rsidRPr="000F47DA">
        <w:rPr>
          <w:rFonts w:cs="David" w:hint="cs"/>
          <w:rtl/>
        </w:rPr>
        <w:t xml:space="preserve">, </w:t>
      </w:r>
      <w:hyperlink r:id="rId23" w:history="1">
        <w:r w:rsidRPr="000F47DA">
          <w:rPr>
            <w:rStyle w:val="Hyperlink"/>
            <w:rFonts w:cs="David" w:hint="cs"/>
            <w:rtl/>
          </w:rPr>
          <w:t>כאן</w:t>
        </w:r>
      </w:hyperlink>
      <w:r w:rsidRPr="000F47DA">
        <w:rPr>
          <w:rFonts w:cs="David" w:hint="cs"/>
          <w:rtl/>
        </w:rPr>
        <w:t xml:space="preserve"> ו</w:t>
      </w:r>
      <w:hyperlink r:id="rId24" w:history="1">
        <w:r w:rsidRPr="000F47DA">
          <w:rPr>
            <w:rStyle w:val="Hyperlink"/>
            <w:rFonts w:cs="David" w:hint="cs"/>
            <w:rtl/>
          </w:rPr>
          <w:t>כאן</w:t>
        </w:r>
      </w:hyperlink>
      <w:r w:rsidRPr="000F47DA">
        <w:rPr>
          <w:rFonts w:cs="David" w:hint="cs"/>
          <w:rtl/>
        </w:rPr>
        <w:t xml:space="preserve">, ואת דוחות </w:t>
      </w:r>
      <w:r w:rsidRPr="000F47DA">
        <w:rPr>
          <w:rFonts w:cs="David" w:hint="cs"/>
        </w:rPr>
        <w:t>UNEP</w:t>
      </w:r>
      <w:r w:rsidRPr="000F47DA">
        <w:rPr>
          <w:rFonts w:cs="David" w:hint="cs"/>
          <w:rtl/>
        </w:rPr>
        <w:t xml:space="preserve"> </w:t>
      </w:r>
      <w:hyperlink r:id="rId25" w:history="1">
        <w:r w:rsidRPr="000F47DA">
          <w:rPr>
            <w:rStyle w:val="Hyperlink"/>
            <w:rFonts w:cs="David" w:hint="cs"/>
            <w:rtl/>
          </w:rPr>
          <w:t>כאן</w:t>
        </w:r>
      </w:hyperlink>
      <w:r w:rsidRPr="000F47DA">
        <w:rPr>
          <w:rFonts w:cs="David" w:hint="cs"/>
          <w:rtl/>
        </w:rPr>
        <w:t xml:space="preserve"> ו</w:t>
      </w:r>
      <w:hyperlink r:id="rId26" w:history="1">
        <w:r w:rsidRPr="000F47DA">
          <w:rPr>
            <w:rStyle w:val="Hyperlink"/>
            <w:rFonts w:cs="David" w:hint="cs"/>
            <w:rtl/>
          </w:rPr>
          <w:t>כאן</w:t>
        </w:r>
      </w:hyperlink>
      <w:r w:rsidRPr="000F47DA">
        <w:rPr>
          <w:rFonts w:cs="David" w:hint="cs"/>
          <w:rtl/>
        </w:rPr>
        <w:t>.</w:t>
      </w:r>
    </w:p>
  </w:footnote>
  <w:footnote w:id="21">
    <w:p w:rsidR="00C14C83" w:rsidRDefault="00C14C83" w:rsidP="00C14C83">
      <w:pPr>
        <w:pStyle w:val="a9"/>
        <w:jc w:val="both"/>
      </w:pPr>
      <w:r>
        <w:rPr>
          <w:rStyle w:val="ab"/>
        </w:rPr>
        <w:footnoteRef/>
      </w:r>
      <w:r>
        <w:rPr>
          <w:rtl/>
        </w:rPr>
        <w:t xml:space="preserve"> </w:t>
      </w:r>
      <w:r w:rsidRPr="002B6541">
        <w:rPr>
          <w:rFonts w:cs="David" w:hint="cs"/>
          <w:rtl/>
        </w:rPr>
        <w:t>ישנם תחומים שבהם ההשפעה הסביבתית מגולמת כבר באופן מסוים במחירי השוק כגון היטלי הטמנה ותעריפי שפכי תעשייה</w:t>
      </w:r>
      <w:r>
        <w:rPr>
          <w:rFonts w:cs="David" w:hint="cs"/>
          <w:rtl/>
        </w:rPr>
        <w:t>, ולכן לא נראה שיש צורך לסבסד בנוסף בכלים כגון הטבות מס על רווחי הון</w:t>
      </w:r>
      <w:r w:rsidRPr="002B6541">
        <w:rPr>
          <w:rFonts w:cs="David" w:hint="cs"/>
          <w:rtl/>
        </w:rPr>
        <w:t>.</w:t>
      </w:r>
      <w:r>
        <w:rPr>
          <w:rFonts w:hint="cs"/>
          <w:rtl/>
        </w:rPr>
        <w:t xml:space="preserve"> </w:t>
      </w:r>
    </w:p>
  </w:footnote>
  <w:footnote w:id="22">
    <w:p w:rsidR="00C14C83" w:rsidRPr="00B3398B" w:rsidRDefault="00C14C83" w:rsidP="00C14C83">
      <w:pPr>
        <w:pStyle w:val="a9"/>
        <w:rPr>
          <w:rFonts w:cs="David"/>
        </w:rPr>
      </w:pPr>
      <w:r w:rsidRPr="00B3398B">
        <w:rPr>
          <w:rStyle w:val="ab"/>
          <w:rFonts w:cs="David"/>
        </w:rPr>
        <w:footnoteRef/>
      </w:r>
      <w:r w:rsidRPr="00B3398B">
        <w:rPr>
          <w:rFonts w:cs="David"/>
          <w:rtl/>
        </w:rPr>
        <w:t xml:space="preserve"> </w:t>
      </w:r>
      <w:hyperlink r:id="rId27" w:history="1">
        <w:r w:rsidRPr="00B3398B">
          <w:rPr>
            <w:rStyle w:val="Hyperlink"/>
            <w:rFonts w:cs="David"/>
          </w:rPr>
          <w:t>Action Plan: Financing Sustainable Growth</w:t>
        </w:r>
      </w:hyperlink>
      <w:r w:rsidRPr="00B3398B">
        <w:rPr>
          <w:rFonts w:cs="David" w:hint="cs"/>
          <w:rtl/>
        </w:rPr>
        <w:t xml:space="preserve"> </w:t>
      </w:r>
    </w:p>
  </w:footnote>
  <w:footnote w:id="23">
    <w:p w:rsidR="00C14C83" w:rsidRPr="00B3398B" w:rsidRDefault="00C14C83" w:rsidP="00C14C83">
      <w:pPr>
        <w:pStyle w:val="a9"/>
        <w:rPr>
          <w:rFonts w:cs="David"/>
          <w:rtl/>
        </w:rPr>
      </w:pPr>
      <w:r w:rsidRPr="00B3398B">
        <w:rPr>
          <w:rStyle w:val="ab"/>
          <w:rFonts w:cs="David"/>
        </w:rPr>
        <w:footnoteRef/>
      </w:r>
      <w:r w:rsidRPr="00B3398B">
        <w:rPr>
          <w:rFonts w:cs="David"/>
          <w:rtl/>
        </w:rPr>
        <w:t xml:space="preserve"> </w:t>
      </w:r>
      <w:r w:rsidRPr="00B3398B">
        <w:rPr>
          <w:rFonts w:cs="David" w:hint="cs"/>
          <w:rtl/>
        </w:rPr>
        <w:t>ר</w:t>
      </w:r>
      <w:r>
        <w:rPr>
          <w:rFonts w:cs="David" w:hint="cs"/>
          <w:rtl/>
        </w:rPr>
        <w:t>'</w:t>
      </w:r>
      <w:r w:rsidRPr="00B3398B">
        <w:rPr>
          <w:rFonts w:cs="David" w:hint="cs"/>
          <w:rtl/>
        </w:rPr>
        <w:t xml:space="preserve"> </w:t>
      </w:r>
      <w:hyperlink r:id="rId28" w:history="1">
        <w:r w:rsidRPr="00B3398B">
          <w:rPr>
            <w:rStyle w:val="Hyperlink"/>
            <w:rFonts w:cs="David" w:hint="cs"/>
            <w:rtl/>
          </w:rPr>
          <w:t>כאן</w:t>
        </w:r>
      </w:hyperlink>
      <w:r>
        <w:rPr>
          <w:rFonts w:cs="David" w:hint="cs"/>
          <w:rtl/>
        </w:rPr>
        <w:t>.</w:t>
      </w:r>
    </w:p>
  </w:footnote>
  <w:footnote w:id="24">
    <w:p w:rsidR="00C14C83" w:rsidRPr="00B3398B" w:rsidRDefault="00C14C83" w:rsidP="00C14C83">
      <w:pPr>
        <w:pStyle w:val="a9"/>
        <w:rPr>
          <w:rFonts w:cs="David"/>
          <w:rtl/>
        </w:rPr>
      </w:pPr>
      <w:r w:rsidRPr="00B3398B">
        <w:rPr>
          <w:rStyle w:val="ab"/>
          <w:rFonts w:cs="David"/>
        </w:rPr>
        <w:footnoteRef/>
      </w:r>
      <w:r w:rsidRPr="00B3398B">
        <w:rPr>
          <w:rFonts w:cs="David"/>
          <w:rtl/>
        </w:rPr>
        <w:t xml:space="preserve"> </w:t>
      </w:r>
      <w:r w:rsidRPr="00B3398B">
        <w:rPr>
          <w:rFonts w:cs="David" w:hint="cs"/>
          <w:rtl/>
        </w:rPr>
        <w:t xml:space="preserve">מהלך שמובילות </w:t>
      </w:r>
      <w:r w:rsidRPr="00B3398B">
        <w:rPr>
          <w:rFonts w:cs="David" w:hint="cs"/>
        </w:rPr>
        <w:t>ESMA</w:t>
      </w:r>
      <w:r w:rsidRPr="00B3398B">
        <w:rPr>
          <w:rFonts w:cs="David" w:hint="cs"/>
          <w:rtl/>
        </w:rPr>
        <w:t xml:space="preserve"> ו-</w:t>
      </w:r>
      <w:r w:rsidRPr="00B3398B">
        <w:rPr>
          <w:rFonts w:cs="David" w:hint="cs"/>
        </w:rPr>
        <w:t>EIOPA</w:t>
      </w:r>
      <w:r w:rsidRPr="00B3398B">
        <w:rPr>
          <w:rFonts w:cs="David" w:hint="cs"/>
          <w:rtl/>
        </w:rPr>
        <w:t xml:space="preserve">, ור' </w:t>
      </w:r>
      <w:hyperlink r:id="rId29" w:history="1">
        <w:r w:rsidRPr="00B3398B">
          <w:rPr>
            <w:rStyle w:val="Hyperlink"/>
            <w:rFonts w:cs="David" w:hint="cs"/>
            <w:rtl/>
          </w:rPr>
          <w:t>כאן</w:t>
        </w:r>
      </w:hyperlink>
      <w:r w:rsidRPr="00B3398B">
        <w:rPr>
          <w:rFonts w:cs="David" w:hint="cs"/>
          <w:rtl/>
        </w:rPr>
        <w:t xml:space="preserve"> ו</w:t>
      </w:r>
      <w:hyperlink r:id="rId30" w:history="1">
        <w:r w:rsidRPr="00B3398B">
          <w:rPr>
            <w:rStyle w:val="Hyperlink"/>
            <w:rFonts w:cs="David" w:hint="cs"/>
            <w:rtl/>
          </w:rPr>
          <w:t>כאן</w:t>
        </w:r>
      </w:hyperlink>
      <w:r>
        <w:rPr>
          <w:rFonts w:cs="David" w:hint="cs"/>
          <w:rtl/>
        </w:rPr>
        <w:t>.</w:t>
      </w:r>
    </w:p>
  </w:footnote>
  <w:footnote w:id="25">
    <w:p w:rsidR="00C14C83" w:rsidRPr="009861EE" w:rsidRDefault="00C14C83" w:rsidP="00C14C83">
      <w:pPr>
        <w:pStyle w:val="a9"/>
        <w:jc w:val="both"/>
        <w:rPr>
          <w:rFonts w:cs="David"/>
          <w:rtl/>
        </w:rPr>
      </w:pPr>
      <w:r w:rsidRPr="00B3398B">
        <w:rPr>
          <w:rStyle w:val="ab"/>
          <w:rFonts w:cs="David"/>
        </w:rPr>
        <w:footnoteRef/>
      </w:r>
      <w:r w:rsidRPr="00B3398B">
        <w:rPr>
          <w:rFonts w:cs="David"/>
          <w:rtl/>
        </w:rPr>
        <w:t xml:space="preserve"> </w:t>
      </w:r>
      <w:r w:rsidRPr="009861EE">
        <w:rPr>
          <w:rFonts w:cs="David" w:hint="cs"/>
          <w:rtl/>
        </w:rPr>
        <w:t>מבוצעים על ידי ה-</w:t>
      </w:r>
      <w:r w:rsidRPr="009861EE">
        <w:rPr>
          <w:rFonts w:cs="David" w:hint="cs"/>
        </w:rPr>
        <w:t>TEG</w:t>
      </w:r>
      <w:r w:rsidRPr="009861EE">
        <w:rPr>
          <w:rFonts w:cs="David" w:hint="cs"/>
          <w:rtl/>
        </w:rPr>
        <w:t>, ור'</w:t>
      </w:r>
      <w:r>
        <w:rPr>
          <w:rFonts w:cs="David" w:hint="cs"/>
          <w:rtl/>
        </w:rPr>
        <w:t xml:space="preserve"> </w:t>
      </w:r>
      <w:hyperlink r:id="rId31" w:history="1">
        <w:r w:rsidRPr="009861EE">
          <w:rPr>
            <w:rStyle w:val="Hyperlink"/>
            <w:rFonts w:cs="David" w:hint="cs"/>
            <w:rtl/>
          </w:rPr>
          <w:t>כאן</w:t>
        </w:r>
      </w:hyperlink>
      <w:r w:rsidRPr="009861EE">
        <w:rPr>
          <w:rFonts w:cs="David" w:hint="cs"/>
          <w:rtl/>
        </w:rPr>
        <w:t>.</w:t>
      </w:r>
      <w:r>
        <w:rPr>
          <w:rFonts w:cs="David" w:hint="cs"/>
          <w:rtl/>
        </w:rPr>
        <w:t xml:space="preserve"> </w:t>
      </w:r>
    </w:p>
  </w:footnote>
  <w:footnote w:id="26">
    <w:p w:rsidR="00C14C83" w:rsidRDefault="00C14C83" w:rsidP="00C14C83">
      <w:pPr>
        <w:pStyle w:val="a9"/>
        <w:jc w:val="both"/>
      </w:pPr>
      <w:r w:rsidRPr="00776531">
        <w:rPr>
          <w:rStyle w:val="ab"/>
          <w:rFonts w:cs="David"/>
        </w:rPr>
        <w:footnoteRef/>
      </w:r>
      <w:r>
        <w:rPr>
          <w:rtl/>
        </w:rPr>
        <w:t xml:space="preserve"> </w:t>
      </w:r>
      <w:r w:rsidRPr="002B6294">
        <w:rPr>
          <w:rFonts w:cs="David" w:hint="cs"/>
          <w:rtl/>
        </w:rPr>
        <w:t>בהקשר זה נציין את מסמך הטקסונומיה של ה-</w:t>
      </w:r>
      <w:r w:rsidRPr="002B6294">
        <w:rPr>
          <w:rFonts w:cs="David" w:hint="cs"/>
        </w:rPr>
        <w:t>TEG</w:t>
      </w:r>
      <w:r w:rsidRPr="002B6294">
        <w:rPr>
          <w:rFonts w:cs="David" w:hint="cs"/>
          <w:rtl/>
        </w:rPr>
        <w:t xml:space="preserve"> (ר' </w:t>
      </w:r>
      <w:hyperlink r:id="rId32" w:history="1">
        <w:r w:rsidRPr="002B6294">
          <w:rPr>
            <w:rStyle w:val="Hyperlink"/>
            <w:rFonts w:cs="David" w:hint="cs"/>
            <w:rtl/>
          </w:rPr>
          <w:t>כאן</w:t>
        </w:r>
      </w:hyperlink>
      <w:r w:rsidRPr="003F716D">
        <w:rPr>
          <w:rStyle w:val="Hyperlink"/>
          <w:rFonts w:cs="David" w:hint="cs"/>
          <w:rtl/>
        </w:rPr>
        <w:t>)</w:t>
      </w:r>
      <w:r w:rsidRPr="006E06CC">
        <w:rPr>
          <w:rStyle w:val="Hyperlink"/>
          <w:rFonts w:cs="David" w:hint="cs"/>
          <w:rtl/>
        </w:rPr>
        <w:t xml:space="preserve"> </w:t>
      </w:r>
      <w:r w:rsidRPr="002B6294">
        <w:rPr>
          <w:rFonts w:cs="David" w:hint="cs"/>
          <w:rtl/>
        </w:rPr>
        <w:t>המסווג פעילויות כלכליות לפי השפעתן על מטרות אקלים, אל מול השפעות על אינטרסים סביבתיים אחרים כגון מגוון ביולוגי, כלכלה מעגלית וזיהומי קרקע ומים.</w:t>
      </w:r>
      <w:r>
        <w:rPr>
          <w:rFonts w:hint="cs"/>
          <w:rtl/>
        </w:rPr>
        <w:t xml:space="preserve"> </w:t>
      </w:r>
      <w:r w:rsidRPr="006C460A">
        <w:rPr>
          <w:rFonts w:cs="David" w:hint="cs"/>
          <w:rtl/>
        </w:rPr>
        <w:t>משיחות שקיימנו עם גורמים ב-</w:t>
      </w:r>
      <w:r w:rsidRPr="006C460A">
        <w:rPr>
          <w:rFonts w:cs="David" w:hint="cs"/>
        </w:rPr>
        <w:t>OECD</w:t>
      </w:r>
      <w:r w:rsidRPr="006C460A">
        <w:rPr>
          <w:rFonts w:cs="David" w:hint="cs"/>
          <w:rtl/>
        </w:rPr>
        <w:t xml:space="preserve"> ועם נציגים מהרגולטורים הפיננסיים באירופה עולה שמסמך זה צפוי להוות תשתית למרבית הרגולציה האירופאית בתחום, לרבות רגולציית הגילוי.</w:t>
      </w:r>
      <w:r>
        <w:rPr>
          <w:rFonts w:hint="cs"/>
          <w:rtl/>
        </w:rPr>
        <w:t xml:space="preserve"> </w:t>
      </w:r>
      <w:r w:rsidRPr="00776531">
        <w:rPr>
          <w:rFonts w:cs="David" w:hint="cs"/>
          <w:rtl/>
        </w:rPr>
        <w:t>ראוי לציין שלישראל ישנן היתרונות יחסיים בתחומי סביבה מסוימים כגון טכנולוגיות מים ושפכים.</w:t>
      </w:r>
    </w:p>
  </w:footnote>
  <w:footnote w:id="27">
    <w:p w:rsidR="00C14C83" w:rsidRPr="008703DE" w:rsidRDefault="00C14C83" w:rsidP="00C14C83">
      <w:pPr>
        <w:pStyle w:val="a9"/>
        <w:jc w:val="both"/>
        <w:rPr>
          <w:rFonts w:cs="David"/>
          <w:rtl/>
        </w:rPr>
      </w:pPr>
      <w:r w:rsidRPr="008703DE">
        <w:rPr>
          <w:rStyle w:val="ab"/>
          <w:rFonts w:cs="David"/>
        </w:rPr>
        <w:footnoteRef/>
      </w:r>
      <w:r w:rsidRPr="008703DE">
        <w:rPr>
          <w:rFonts w:cs="David"/>
          <w:rtl/>
        </w:rPr>
        <w:t xml:space="preserve"> </w:t>
      </w:r>
      <w:r w:rsidRPr="008703DE">
        <w:rPr>
          <w:rFonts w:cs="David" w:hint="cs"/>
          <w:rtl/>
        </w:rPr>
        <w:t xml:space="preserve">למשל </w:t>
      </w:r>
      <w:hyperlink r:id="rId33" w:history="1">
        <w:r w:rsidRPr="008703DE">
          <w:rPr>
            <w:rStyle w:val="Hyperlink"/>
            <w:rFonts w:cs="David"/>
          </w:rPr>
          <w:t>Directive 2013/36/EU</w:t>
        </w:r>
      </w:hyperlink>
      <w:r w:rsidRPr="008703DE">
        <w:rPr>
          <w:rFonts w:cs="David"/>
        </w:rPr>
        <w:t xml:space="preserve">, </w:t>
      </w:r>
      <w:hyperlink r:id="rId34" w:history="1">
        <w:r w:rsidRPr="008703DE">
          <w:rPr>
            <w:rStyle w:val="Hyperlink"/>
            <w:rFonts w:cs="David"/>
          </w:rPr>
          <w:t>Regulation (EU) No 575/2013</w:t>
        </w:r>
      </w:hyperlink>
      <w:r w:rsidRPr="008703DE">
        <w:rPr>
          <w:rFonts w:cs="David" w:hint="cs"/>
          <w:rtl/>
        </w:rPr>
        <w:t>, ור' את פרשנות הבנק המרכזי האירופאי לחוב</w:t>
      </w:r>
      <w:r>
        <w:rPr>
          <w:rFonts w:cs="David" w:hint="cs"/>
          <w:rtl/>
        </w:rPr>
        <w:t>ת האינטגרציה במסמך שפורסם השנה ו</w:t>
      </w:r>
      <w:r w:rsidRPr="008703DE">
        <w:rPr>
          <w:rFonts w:cs="David" w:hint="cs"/>
          <w:rtl/>
        </w:rPr>
        <w:t xml:space="preserve">זמין </w:t>
      </w:r>
      <w:hyperlink r:id="rId35" w:history="1">
        <w:r w:rsidRPr="008703DE">
          <w:rPr>
            <w:rStyle w:val="Hyperlink"/>
            <w:rFonts w:cs="David" w:hint="cs"/>
            <w:rtl/>
          </w:rPr>
          <w:t>כאן</w:t>
        </w:r>
      </w:hyperlink>
      <w:r w:rsidRPr="008703DE">
        <w:rPr>
          <w:rFonts w:cs="David" w:hint="cs"/>
          <w:rtl/>
        </w:rPr>
        <w:t>.</w:t>
      </w:r>
    </w:p>
  </w:footnote>
  <w:footnote w:id="28">
    <w:p w:rsidR="00C14C83" w:rsidRPr="008703DE" w:rsidRDefault="00C14C83" w:rsidP="00C14C83">
      <w:pPr>
        <w:pStyle w:val="a9"/>
        <w:rPr>
          <w:rFonts w:cs="David"/>
        </w:rPr>
      </w:pPr>
      <w:r w:rsidRPr="008703DE">
        <w:rPr>
          <w:rStyle w:val="ab"/>
          <w:rFonts w:cs="David"/>
        </w:rPr>
        <w:footnoteRef/>
      </w:r>
      <w:r w:rsidRPr="008703DE">
        <w:rPr>
          <w:rFonts w:cs="David"/>
          <w:rtl/>
        </w:rPr>
        <w:t xml:space="preserve"> </w:t>
      </w:r>
      <w:r w:rsidRPr="008703DE">
        <w:rPr>
          <w:rFonts w:cs="David" w:hint="cs"/>
          <w:rtl/>
        </w:rPr>
        <w:t xml:space="preserve">ר' </w:t>
      </w:r>
      <w:hyperlink r:id="rId36" w:history="1">
        <w:r w:rsidRPr="008703DE">
          <w:rPr>
            <w:rStyle w:val="Hyperlink"/>
            <w:rFonts w:cs="David" w:hint="cs"/>
            <w:rtl/>
          </w:rPr>
          <w:t>כאן</w:t>
        </w:r>
      </w:hyperlink>
      <w:r>
        <w:rPr>
          <w:rFonts w:cs="David" w:hint="cs"/>
          <w:rtl/>
        </w:rPr>
        <w:t>.</w:t>
      </w:r>
    </w:p>
  </w:footnote>
  <w:footnote w:id="29">
    <w:p w:rsidR="00C14C83" w:rsidRPr="003F716D" w:rsidRDefault="00C14C83" w:rsidP="00C14C83">
      <w:pPr>
        <w:pStyle w:val="a9"/>
        <w:rPr>
          <w:rFonts w:cs="David"/>
          <w:rtl/>
        </w:rPr>
      </w:pPr>
      <w:r w:rsidRPr="008703DE">
        <w:rPr>
          <w:rStyle w:val="ab"/>
          <w:rFonts w:cs="David"/>
        </w:rPr>
        <w:footnoteRef/>
      </w:r>
      <w:r w:rsidRPr="008703DE">
        <w:rPr>
          <w:rFonts w:cs="David"/>
          <w:rtl/>
        </w:rPr>
        <w:t xml:space="preserve"> </w:t>
      </w:r>
      <w:r w:rsidRPr="008703DE">
        <w:rPr>
          <w:rFonts w:cs="David" w:hint="cs"/>
          <w:rtl/>
        </w:rPr>
        <w:t>ר' סעיף</w:t>
      </w:r>
      <w:r w:rsidRPr="003F716D">
        <w:rPr>
          <w:rFonts w:cs="David" w:hint="cs"/>
          <w:rtl/>
        </w:rPr>
        <w:t xml:space="preserve"> 4.ב)(3) </w:t>
      </w:r>
      <w:hyperlink r:id="rId37" w:history="1">
        <w:r w:rsidRPr="003F716D">
          <w:rPr>
            <w:rStyle w:val="Hyperlink"/>
            <w:rFonts w:cs="David" w:hint="cs"/>
            <w:rtl/>
          </w:rPr>
          <w:t>כאן</w:t>
        </w:r>
      </w:hyperlink>
      <w:r w:rsidRPr="003F716D">
        <w:rPr>
          <w:rFonts w:cs="David" w:hint="cs"/>
          <w:rtl/>
        </w:rPr>
        <w:t>.</w:t>
      </w:r>
    </w:p>
  </w:footnote>
  <w:footnote w:id="30">
    <w:p w:rsidR="00C14C83" w:rsidRDefault="00C14C83" w:rsidP="00C14C83">
      <w:pPr>
        <w:pStyle w:val="a9"/>
      </w:pPr>
      <w:r w:rsidRPr="003F716D">
        <w:rPr>
          <w:rStyle w:val="ab"/>
          <w:rFonts w:cs="David"/>
        </w:rPr>
        <w:footnoteRef/>
      </w:r>
      <w:r w:rsidRPr="003F716D">
        <w:rPr>
          <w:rFonts w:cs="David"/>
          <w:rtl/>
        </w:rPr>
        <w:t xml:space="preserve"> </w:t>
      </w:r>
      <w:r w:rsidRPr="003F716D">
        <w:rPr>
          <w:rFonts w:cs="David" w:hint="cs"/>
          <w:rtl/>
        </w:rPr>
        <w:t xml:space="preserve">ר' </w:t>
      </w:r>
      <w:hyperlink r:id="rId38" w:history="1">
        <w:r w:rsidRPr="003F716D">
          <w:rPr>
            <w:rStyle w:val="Hyperlink"/>
            <w:rFonts w:cs="David" w:hint="cs"/>
            <w:rtl/>
          </w:rPr>
          <w:t>כאן</w:t>
        </w:r>
      </w:hyperlink>
      <w:r w:rsidRPr="003F716D">
        <w:rPr>
          <w:rFonts w:cs="David"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2B" w:rsidRDefault="0008392B">
    <w:pPr>
      <w:pStyle w:val="a3"/>
    </w:pPr>
  </w:p>
  <w:p w:rsidR="0008392B" w:rsidRDefault="005174AC">
    <w:r>
      <w:rPr>
        <w:noProof/>
      </w:rPr>
      <mc:AlternateContent>
        <mc:Choice Requires="wps">
          <w:drawing>
            <wp:anchor distT="0" distB="0" distL="114300" distR="114300" simplePos="0" relativeHeight="251654144" behindDoc="0" locked="0" layoutInCell="1" allowOverlap="1">
              <wp:simplePos x="0" y="0"/>
              <wp:positionH relativeFrom="column">
                <wp:posOffset>3348990</wp:posOffset>
              </wp:positionH>
              <wp:positionV relativeFrom="paragraph">
                <wp:posOffset>880745</wp:posOffset>
              </wp:positionV>
              <wp:extent cx="2981325" cy="161925"/>
              <wp:effectExtent l="0" t="0" r="9525"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392B" w:rsidRPr="004017B6" w:rsidRDefault="0008392B" w:rsidP="00AA5EC6">
                          <w:pPr>
                            <w:rPr>
                              <w:sz w:val="20"/>
                              <w:szCs w:val="20"/>
                              <w:rtl/>
                            </w:rPr>
                          </w:pPr>
                          <w:r>
                            <w:rPr>
                              <w:rFonts w:hint="cs"/>
                              <w:sz w:val="20"/>
                              <w:szCs w:val="20"/>
                              <w:rtl/>
                            </w:rPr>
                            <w:t xml:space="preserve">אשכול משאבי טבע </w:t>
                          </w:r>
                          <w:r>
                            <w:rPr>
                              <w:rFonts w:ascii="Arial" w:hAnsi="Arial"/>
                              <w:sz w:val="20"/>
                              <w:szCs w:val="20"/>
                              <w:rtl/>
                            </w:rPr>
                            <w:t>│</w:t>
                          </w:r>
                          <w:r>
                            <w:rPr>
                              <w:rFonts w:hint="cs"/>
                              <w:sz w:val="20"/>
                              <w:szCs w:val="20"/>
                              <w:rtl/>
                            </w:rPr>
                            <w:t xml:space="preserve"> אגף שטחים פתוחים ומגוון ביולוגי</w:t>
                          </w:r>
                        </w:p>
                        <w:p w:rsidR="0008392B" w:rsidRPr="005218B3" w:rsidRDefault="0008392B" w:rsidP="00AA5EC6">
                          <w:pPr>
                            <w:rPr>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3.7pt;margin-top:69.35pt;width:234.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" filled="f" stroked="f" strokecolor="white">
              <v:textbox inset="0,0,0,0">
                <w:txbxContent>
                  <w:p w:rsidR="0008392B" w:rsidRPr="004017B6" w:rsidRDefault="0008392B" w:rsidP="00AA5EC6">
                    <w:pPr>
                      <w:rPr>
                        <w:sz w:val="20"/>
                        <w:szCs w:val="20"/>
                        <w:rtl/>
                      </w:rPr>
                    </w:pPr>
                    <w:r>
                      <w:rPr>
                        <w:rFonts w:hint="cs"/>
                        <w:sz w:val="20"/>
                        <w:szCs w:val="20"/>
                        <w:rtl/>
                      </w:rPr>
                      <w:t xml:space="preserve">אשכול משאבי טבע </w:t>
                    </w:r>
                    <w:r>
                      <w:rPr>
                        <w:rFonts w:ascii="Arial" w:hAnsi="Arial"/>
                        <w:sz w:val="20"/>
                        <w:szCs w:val="20"/>
                        <w:rtl/>
                      </w:rPr>
                      <w:t>│</w:t>
                    </w:r>
                    <w:r>
                      <w:rPr>
                        <w:rFonts w:hint="cs"/>
                        <w:sz w:val="20"/>
                        <w:szCs w:val="20"/>
                        <w:rtl/>
                      </w:rPr>
                      <w:t xml:space="preserve"> אגף שטחים פתוחים ומגוון ביולוגי</w:t>
                    </w:r>
                  </w:p>
                  <w:p w:rsidR="0008392B" w:rsidRPr="005218B3" w:rsidRDefault="0008392B" w:rsidP="00AA5EC6">
                    <w:pPr>
                      <w:rPr>
                        <w:sz w:val="18"/>
                        <w:szCs w:val="18"/>
                        <w:rtl/>
                      </w:rPr>
                    </w:pPr>
                  </w:p>
                </w:txbxContent>
              </v:textbox>
            </v:shape>
          </w:pict>
        </mc:Fallback>
      </mc:AlternateContent>
    </w:r>
  </w:p>
  <w:p w:rsidR="00000000" w:rsidRDefault="00AB08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2B" w:rsidRDefault="005174AC" w:rsidP="00141191">
    <w:pPr>
      <w:pStyle w:val="a3"/>
      <w:bidi/>
    </w:pPr>
    <w:r>
      <w:rPr>
        <w:noProof/>
      </w:rPr>
      <w:drawing>
        <wp:anchor distT="0" distB="0" distL="114300" distR="114300" simplePos="0" relativeHeight="251660288" behindDoc="1" locked="0" layoutInCell="1" allowOverlap="1" wp14:anchorId="2430BBD4" wp14:editId="7CA26E9B">
          <wp:simplePos x="0" y="0"/>
          <wp:positionH relativeFrom="column">
            <wp:posOffset>4240530</wp:posOffset>
          </wp:positionH>
          <wp:positionV relativeFrom="paragraph">
            <wp:posOffset>-91440</wp:posOffset>
          </wp:positionV>
          <wp:extent cx="1732915" cy="731520"/>
          <wp:effectExtent l="0" t="0" r="635" b="0"/>
          <wp:wrapNone/>
          <wp:docPr id="7" name="Picture 4" descr="Description: Description: Description: כותרת עליונה" title="לוגו מדינת ישראל -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כותרת עליו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92B" w:rsidRDefault="0008392B" w:rsidP="00141191"/>
  <w:p w:rsidR="0008392B" w:rsidRPr="00141191" w:rsidRDefault="005174AC" w:rsidP="006E09AA">
    <w:pPr>
      <w:pStyle w:val="a3"/>
      <w:tabs>
        <w:tab w:val="clear" w:pos="4320"/>
        <w:tab w:val="clear" w:pos="8640"/>
        <w:tab w:val="left" w:pos="7757"/>
      </w:tabs>
    </w:pPr>
    <w:r>
      <w:rPr>
        <w:noProof/>
      </w:rPr>
      <mc:AlternateContent>
        <mc:Choice Requires="wps">
          <w:drawing>
            <wp:anchor distT="0" distB="0" distL="114300" distR="114300" simplePos="0" relativeHeight="251661312" behindDoc="0" locked="0" layoutInCell="1" allowOverlap="1" wp14:anchorId="2A7CFB71" wp14:editId="17C6F1D3">
              <wp:simplePos x="0" y="0"/>
              <wp:positionH relativeFrom="column">
                <wp:posOffset>2419350</wp:posOffset>
              </wp:positionH>
              <wp:positionV relativeFrom="paragraph">
                <wp:posOffset>83820</wp:posOffset>
              </wp:positionV>
              <wp:extent cx="2981325" cy="161925"/>
              <wp:effectExtent l="0" t="0" r="9525" b="9525"/>
              <wp:wrapNone/>
              <wp:docPr id="6" name="Text Box 4" title="לוגו המשרד להגנת הסביבה"/>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392B" w:rsidRPr="0001208F" w:rsidRDefault="0008392B" w:rsidP="004E0FB4">
                          <w:pPr>
                            <w:rPr>
                              <w:rFonts w:ascii="Arial" w:hAnsi="Arial" w:cs="Arial" w:hint="cs"/>
                              <w:sz w:val="20"/>
                              <w:szCs w:val="20"/>
                              <w:rtl/>
                            </w:rPr>
                          </w:pPr>
                          <w:r w:rsidRPr="0001208F">
                            <w:rPr>
                              <w:rFonts w:ascii="Arial" w:hAnsi="Arial" w:cs="Arial"/>
                              <w:sz w:val="20"/>
                              <w:szCs w:val="20"/>
                              <w:rtl/>
                            </w:rPr>
                            <w:t>אשכול תכנון</w:t>
                          </w:r>
                          <w:r w:rsidR="004E0FB4">
                            <w:rPr>
                              <w:rFonts w:ascii="Arial" w:hAnsi="Arial" w:cs="Arial" w:hint="cs"/>
                              <w:sz w:val="20"/>
                              <w:szCs w:val="20"/>
                              <w:rtl/>
                            </w:rPr>
                            <w:t>, מדיניות ואסטרטגיה</w:t>
                          </w:r>
                        </w:p>
                        <w:p w:rsidR="0008392B" w:rsidRPr="005218B3" w:rsidRDefault="0008392B" w:rsidP="00141191">
                          <w:pPr>
                            <w:rPr>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CFB71" id="_x0000_t202" coordsize="21600,21600" o:spt="202" path="m,l,21600r21600,l21600,xe">
              <v:stroke joinstyle="miter"/>
              <v:path gradientshapeok="t" o:connecttype="rect"/>
            </v:shapetype>
            <v:shape id="Text Box 4" o:spid="_x0000_s1027" type="#_x0000_t202" alt="כותרת: לוגו המשרד להגנת הסביבה" style="position:absolute;margin-left:190.5pt;margin-top:6.6pt;width:234.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" filled="f" stroked="f" strokecolor="white">
              <v:textbox inset="0,0,0,0">
                <w:txbxContent>
                  <w:p w:rsidR="0008392B" w:rsidRPr="0001208F" w:rsidRDefault="0008392B" w:rsidP="004E0FB4">
                    <w:pPr>
                      <w:rPr>
                        <w:rFonts w:ascii="Arial" w:hAnsi="Arial" w:cs="Arial" w:hint="cs"/>
                        <w:sz w:val="20"/>
                        <w:szCs w:val="20"/>
                        <w:rtl/>
                      </w:rPr>
                    </w:pPr>
                    <w:r w:rsidRPr="0001208F">
                      <w:rPr>
                        <w:rFonts w:ascii="Arial" w:hAnsi="Arial" w:cs="Arial"/>
                        <w:sz w:val="20"/>
                        <w:szCs w:val="20"/>
                        <w:rtl/>
                      </w:rPr>
                      <w:t>אשכול תכנון</w:t>
                    </w:r>
                    <w:r w:rsidR="004E0FB4">
                      <w:rPr>
                        <w:rFonts w:ascii="Arial" w:hAnsi="Arial" w:cs="Arial" w:hint="cs"/>
                        <w:sz w:val="20"/>
                        <w:szCs w:val="20"/>
                        <w:rtl/>
                      </w:rPr>
                      <w:t>, מדיניות ואסטרטגיה</w:t>
                    </w:r>
                  </w:p>
                  <w:p w:rsidR="0008392B" w:rsidRPr="005218B3" w:rsidRDefault="0008392B" w:rsidP="00141191">
                    <w:pPr>
                      <w:rPr>
                        <w:sz w:val="18"/>
                        <w:szCs w:val="18"/>
                        <w:rtl/>
                      </w:rPr>
                    </w:pPr>
                  </w:p>
                </w:txbxContent>
              </v:textbox>
            </v:shape>
          </w:pict>
        </mc:Fallback>
      </mc:AlternateContent>
    </w:r>
    <w:r w:rsidR="006E09AA">
      <w:tab/>
    </w:r>
  </w:p>
  <w:p w:rsidR="0008392B" w:rsidRPr="006D7D65" w:rsidRDefault="005174AC">
    <w:pPr>
      <w:pStyle w:val="a3"/>
      <w:rPr>
        <w:sz w:val="20"/>
        <w:szCs w:val="20"/>
        <w:rtl/>
        <w:cs/>
      </w:rPr>
    </w:pPr>
    <w:r>
      <w:rPr>
        <w:noProof/>
      </w:rPr>
      <mc:AlternateContent>
        <mc:Choice Requires="wps">
          <w:drawing>
            <wp:anchor distT="4294967295" distB="4294967295" distL="114300" distR="114300" simplePos="0" relativeHeight="251659264" behindDoc="0" locked="0" layoutInCell="1" allowOverlap="1" wp14:anchorId="14625446" wp14:editId="1B47B462">
              <wp:simplePos x="0" y="0"/>
              <wp:positionH relativeFrom="column">
                <wp:posOffset>3749675</wp:posOffset>
              </wp:positionH>
              <wp:positionV relativeFrom="paragraph">
                <wp:posOffset>72389</wp:posOffset>
              </wp:positionV>
              <wp:extent cx="1730375" cy="0"/>
              <wp:effectExtent l="0" t="0" r="22225" b="19050"/>
              <wp:wrapNone/>
              <wp:docPr id="5" name="AutoShape 3" title="לוגו המשרד להגנת הסביבה"/>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0375" cy="0"/>
                      </a:xfrm>
                      <a:prstGeom prst="straightConnector1">
                        <a:avLst/>
                      </a:prstGeom>
                      <a:noFill/>
                      <a:ln w="9525">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D25A7" id="_x0000_t32" coordsize="21600,21600" o:spt="32" o:oned="t" path="m,l21600,21600e" filled="f">
              <v:path arrowok="t" fillok="f" o:connecttype="none"/>
              <o:lock v:ext="edit" shapetype="t"/>
            </v:shapetype>
            <v:shape id="AutoShape 3" o:spid="_x0000_s1026" type="#_x0000_t32" alt="כותרת: לוגו המשרד להגנת הסביבה" style="position:absolute;left:0;text-align:left;margin-left:295.25pt;margin-top:5.7pt;width:136.25pt;height:0;rotation:18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" strokecolor="#f79646"/>
          </w:pict>
        </mc:Fallback>
      </mc:AlternateContent>
    </w:r>
  </w:p>
  <w:p w:rsidR="0008392B" w:rsidRPr="00141191" w:rsidRDefault="0008392B" w:rsidP="00141191">
    <w:pPr>
      <w:pStyle w:val="a3"/>
    </w:pPr>
  </w:p>
  <w:p w:rsidR="00000000" w:rsidRDefault="00AB0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72A9"/>
    <w:multiLevelType w:val="hybridMultilevel"/>
    <w:tmpl w:val="FC920EDA"/>
    <w:lvl w:ilvl="0" w:tplc="0409000F">
      <w:start w:val="1"/>
      <w:numFmt w:val="decimal"/>
      <w:lvlText w:val="%1."/>
      <w:lvlJc w:val="left"/>
      <w:pPr>
        <w:ind w:left="720" w:hanging="360"/>
      </w:pPr>
      <w:rPr>
        <w:rFonts w:hint="default"/>
      </w:rPr>
    </w:lvl>
    <w:lvl w:ilvl="1" w:tplc="3CA85336">
      <w:start w:val="1"/>
      <w:numFmt w:val="hebrew1"/>
      <w:lvlText w:val="%2)"/>
      <w:lvlJc w:val="left"/>
      <w:pPr>
        <w:ind w:left="1440" w:hanging="360"/>
      </w:pPr>
      <w:rPr>
        <w:rFonts w:ascii="Calibri" w:eastAsia="Calibri" w:hAnsi="Calibri"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D669B"/>
    <w:multiLevelType w:val="hybridMultilevel"/>
    <w:tmpl w:val="37981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2548E1"/>
    <w:multiLevelType w:val="hybridMultilevel"/>
    <w:tmpl w:val="38A69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B3216A"/>
    <w:multiLevelType w:val="hybridMultilevel"/>
    <w:tmpl w:val="13FAB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39267F"/>
    <w:multiLevelType w:val="hybridMultilevel"/>
    <w:tmpl w:val="AA2E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74"/>
    <w:rsid w:val="0001208F"/>
    <w:rsid w:val="000300AE"/>
    <w:rsid w:val="00036C2A"/>
    <w:rsid w:val="0008392B"/>
    <w:rsid w:val="00094407"/>
    <w:rsid w:val="000947CB"/>
    <w:rsid w:val="000A2BAB"/>
    <w:rsid w:val="000C732E"/>
    <w:rsid w:val="000E6F63"/>
    <w:rsid w:val="00134E6F"/>
    <w:rsid w:val="00141191"/>
    <w:rsid w:val="00167C69"/>
    <w:rsid w:val="001D5C91"/>
    <w:rsid w:val="001E1D61"/>
    <w:rsid w:val="001E1DE7"/>
    <w:rsid w:val="001F3374"/>
    <w:rsid w:val="00273010"/>
    <w:rsid w:val="002810E9"/>
    <w:rsid w:val="002B2B0E"/>
    <w:rsid w:val="002B33F1"/>
    <w:rsid w:val="002B6685"/>
    <w:rsid w:val="002D12F9"/>
    <w:rsid w:val="00304014"/>
    <w:rsid w:val="00345F74"/>
    <w:rsid w:val="00346AA3"/>
    <w:rsid w:val="00361133"/>
    <w:rsid w:val="003C7064"/>
    <w:rsid w:val="003F723F"/>
    <w:rsid w:val="00431D5C"/>
    <w:rsid w:val="00455BF1"/>
    <w:rsid w:val="004814B7"/>
    <w:rsid w:val="004D1A9B"/>
    <w:rsid w:val="004D4994"/>
    <w:rsid w:val="004E0FB4"/>
    <w:rsid w:val="004F4E05"/>
    <w:rsid w:val="005174AC"/>
    <w:rsid w:val="005237F1"/>
    <w:rsid w:val="00552184"/>
    <w:rsid w:val="00582C6B"/>
    <w:rsid w:val="005844F4"/>
    <w:rsid w:val="005D00E9"/>
    <w:rsid w:val="006323C4"/>
    <w:rsid w:val="00634885"/>
    <w:rsid w:val="00635E65"/>
    <w:rsid w:val="0065073B"/>
    <w:rsid w:val="006C68BC"/>
    <w:rsid w:val="006C790A"/>
    <w:rsid w:val="006D7D65"/>
    <w:rsid w:val="006E09AA"/>
    <w:rsid w:val="006F22AE"/>
    <w:rsid w:val="0074575C"/>
    <w:rsid w:val="0075572E"/>
    <w:rsid w:val="007B69DA"/>
    <w:rsid w:val="00805986"/>
    <w:rsid w:val="00872D9D"/>
    <w:rsid w:val="0088435F"/>
    <w:rsid w:val="008A276F"/>
    <w:rsid w:val="00902798"/>
    <w:rsid w:val="00915949"/>
    <w:rsid w:val="00997AAA"/>
    <w:rsid w:val="009B3685"/>
    <w:rsid w:val="00A97590"/>
    <w:rsid w:val="00AA5EC6"/>
    <w:rsid w:val="00AB087B"/>
    <w:rsid w:val="00AB3A1A"/>
    <w:rsid w:val="00AD0589"/>
    <w:rsid w:val="00AF1A17"/>
    <w:rsid w:val="00B1070B"/>
    <w:rsid w:val="00B10D07"/>
    <w:rsid w:val="00B93306"/>
    <w:rsid w:val="00B97962"/>
    <w:rsid w:val="00BD3FC2"/>
    <w:rsid w:val="00C14C83"/>
    <w:rsid w:val="00C643D1"/>
    <w:rsid w:val="00C672E9"/>
    <w:rsid w:val="00CC3241"/>
    <w:rsid w:val="00D022CC"/>
    <w:rsid w:val="00D33B40"/>
    <w:rsid w:val="00D70BB8"/>
    <w:rsid w:val="00DC4E7E"/>
    <w:rsid w:val="00F03265"/>
    <w:rsid w:val="00F6312F"/>
    <w:rsid w:val="00F71653"/>
    <w:rsid w:val="00F87CFA"/>
    <w:rsid w:val="00FC6B9B"/>
    <w:rsid w:val="00FF02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0DBF2A-39D3-4C11-A4D3-0ED529C6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014"/>
    <w:pPr>
      <w:bidi/>
    </w:pPr>
    <w:rPr>
      <w:rFonts w:ascii="Times New Roman" w:eastAsia="Times New Roman" w:hAnsi="Times New Roman" w:cs="Times New Roman"/>
      <w:sz w:val="24"/>
      <w:szCs w:val="24"/>
    </w:rPr>
  </w:style>
  <w:style w:type="paragraph" w:styleId="1">
    <w:name w:val="heading 1"/>
    <w:basedOn w:val="a"/>
    <w:next w:val="a"/>
    <w:link w:val="10"/>
    <w:uiPriority w:val="9"/>
    <w:qFormat/>
    <w:rsid w:val="006E09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237F1"/>
    <w:pPr>
      <w:keepNext/>
      <w:keepLines/>
      <w:spacing w:before="40"/>
      <w:outlineLvl w:val="1"/>
    </w:pPr>
    <w:rPr>
      <w:rFonts w:asciiTheme="minorBidi" w:eastAsiaTheme="majorEastAsia" w:hAnsiTheme="minorBidi" w:cstheme="minorBidi"/>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EC6"/>
    <w:pPr>
      <w:tabs>
        <w:tab w:val="center" w:pos="4320"/>
        <w:tab w:val="right" w:pos="8640"/>
      </w:tabs>
      <w:bidi w:val="0"/>
    </w:pPr>
    <w:rPr>
      <w:rFonts w:ascii="Calibri" w:eastAsia="Calibri" w:hAnsi="Calibri" w:cs="Arial"/>
      <w:sz w:val="22"/>
      <w:szCs w:val="22"/>
    </w:rPr>
  </w:style>
  <w:style w:type="character" w:customStyle="1" w:styleId="a4">
    <w:name w:val="כותרת עליונה תו"/>
    <w:basedOn w:val="a0"/>
    <w:link w:val="a3"/>
    <w:uiPriority w:val="99"/>
    <w:rsid w:val="00AA5EC6"/>
  </w:style>
  <w:style w:type="paragraph" w:styleId="a5">
    <w:name w:val="footer"/>
    <w:basedOn w:val="a"/>
    <w:link w:val="a6"/>
    <w:uiPriority w:val="99"/>
    <w:unhideWhenUsed/>
    <w:rsid w:val="00AA5EC6"/>
    <w:pPr>
      <w:tabs>
        <w:tab w:val="center" w:pos="4320"/>
        <w:tab w:val="right" w:pos="8640"/>
      </w:tabs>
      <w:bidi w:val="0"/>
    </w:pPr>
    <w:rPr>
      <w:rFonts w:ascii="Calibri" w:eastAsia="Calibri" w:hAnsi="Calibri" w:cs="Arial"/>
      <w:sz w:val="22"/>
      <w:szCs w:val="22"/>
    </w:rPr>
  </w:style>
  <w:style w:type="character" w:customStyle="1" w:styleId="a6">
    <w:name w:val="כותרת תחתונה תו"/>
    <w:basedOn w:val="a0"/>
    <w:link w:val="a5"/>
    <w:uiPriority w:val="99"/>
    <w:rsid w:val="00AA5EC6"/>
  </w:style>
  <w:style w:type="paragraph" w:styleId="a7">
    <w:name w:val="Balloon Text"/>
    <w:basedOn w:val="a"/>
    <w:link w:val="a8"/>
    <w:uiPriority w:val="99"/>
    <w:semiHidden/>
    <w:unhideWhenUsed/>
    <w:rsid w:val="005D00E9"/>
    <w:rPr>
      <w:rFonts w:ascii="Tahoma" w:hAnsi="Tahoma" w:cs="Tahoma"/>
      <w:sz w:val="16"/>
      <w:szCs w:val="16"/>
    </w:rPr>
  </w:style>
  <w:style w:type="character" w:customStyle="1" w:styleId="a8">
    <w:name w:val="טקסט בלונים תו"/>
    <w:link w:val="a7"/>
    <w:uiPriority w:val="99"/>
    <w:semiHidden/>
    <w:rsid w:val="005D00E9"/>
    <w:rPr>
      <w:rFonts w:ascii="Tahoma" w:hAnsi="Tahoma" w:cs="Tahoma"/>
      <w:sz w:val="16"/>
      <w:szCs w:val="16"/>
    </w:rPr>
  </w:style>
  <w:style w:type="character" w:styleId="Hyperlink">
    <w:name w:val="Hyperlink"/>
    <w:uiPriority w:val="99"/>
    <w:unhideWhenUsed/>
    <w:rsid w:val="000C732E"/>
    <w:rPr>
      <w:color w:val="0000FF"/>
      <w:u w:val="single"/>
    </w:rPr>
  </w:style>
  <w:style w:type="paragraph" w:styleId="a9">
    <w:name w:val="footnote text"/>
    <w:basedOn w:val="a"/>
    <w:link w:val="aa"/>
    <w:uiPriority w:val="99"/>
    <w:semiHidden/>
    <w:unhideWhenUsed/>
    <w:rsid w:val="00C14C83"/>
    <w:rPr>
      <w:rFonts w:ascii="Calibri" w:eastAsia="Calibri" w:hAnsi="Calibri" w:cs="Arial"/>
      <w:sz w:val="20"/>
      <w:szCs w:val="20"/>
    </w:rPr>
  </w:style>
  <w:style w:type="character" w:customStyle="1" w:styleId="aa">
    <w:name w:val="טקסט הערת שוליים תו"/>
    <w:basedOn w:val="a0"/>
    <w:link w:val="a9"/>
    <w:uiPriority w:val="99"/>
    <w:semiHidden/>
    <w:rsid w:val="00C14C83"/>
  </w:style>
  <w:style w:type="character" w:styleId="ab">
    <w:name w:val="footnote reference"/>
    <w:basedOn w:val="a0"/>
    <w:uiPriority w:val="99"/>
    <w:semiHidden/>
    <w:unhideWhenUsed/>
    <w:rsid w:val="00C14C83"/>
    <w:rPr>
      <w:vertAlign w:val="superscript"/>
    </w:rPr>
  </w:style>
  <w:style w:type="paragraph" w:styleId="ac">
    <w:name w:val="List Paragraph"/>
    <w:basedOn w:val="a"/>
    <w:uiPriority w:val="34"/>
    <w:qFormat/>
    <w:rsid w:val="00C14C83"/>
    <w:pPr>
      <w:spacing w:after="200" w:line="276" w:lineRule="auto"/>
      <w:ind w:left="720"/>
      <w:contextualSpacing/>
    </w:pPr>
    <w:rPr>
      <w:rFonts w:ascii="Calibri" w:eastAsia="Calibri" w:hAnsi="Calibri" w:cs="Arial"/>
      <w:sz w:val="22"/>
      <w:szCs w:val="22"/>
    </w:rPr>
  </w:style>
  <w:style w:type="character" w:customStyle="1" w:styleId="10">
    <w:name w:val="כותרת 1 תו"/>
    <w:basedOn w:val="a0"/>
    <w:link w:val="1"/>
    <w:uiPriority w:val="9"/>
    <w:rsid w:val="006E09AA"/>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rsid w:val="005237F1"/>
    <w:rPr>
      <w:rFonts w:asciiTheme="minorBidi" w:eastAsiaTheme="majorEastAsia" w:hAnsiTheme="minorBidi" w:cstheme="minorBidi"/>
      <w:b/>
      <w:bCs/>
      <w:sz w:val="24"/>
      <w:szCs w:val="24"/>
      <w:u w:val="single"/>
    </w:rPr>
  </w:style>
  <w:style w:type="paragraph" w:styleId="ad">
    <w:name w:val="TOC Heading"/>
    <w:basedOn w:val="1"/>
    <w:next w:val="a"/>
    <w:uiPriority w:val="39"/>
    <w:unhideWhenUsed/>
    <w:qFormat/>
    <w:rsid w:val="005237F1"/>
    <w:pPr>
      <w:spacing w:line="259" w:lineRule="auto"/>
      <w:outlineLvl w:val="9"/>
    </w:pPr>
    <w:rPr>
      <w:rtl/>
      <w:cs/>
    </w:rPr>
  </w:style>
  <w:style w:type="paragraph" w:styleId="TOC2">
    <w:name w:val="toc 2"/>
    <w:basedOn w:val="a"/>
    <w:next w:val="a"/>
    <w:autoRedefine/>
    <w:uiPriority w:val="39"/>
    <w:unhideWhenUsed/>
    <w:rsid w:val="005237F1"/>
    <w:pPr>
      <w:spacing w:after="100" w:line="259" w:lineRule="auto"/>
      <w:ind w:left="220"/>
    </w:pPr>
    <w:rPr>
      <w:rFonts w:asciiTheme="minorHAnsi" w:eastAsiaTheme="minorEastAsia" w:hAnsiTheme="minorHAnsi"/>
      <w:sz w:val="22"/>
      <w:szCs w:val="22"/>
      <w:rtl/>
      <w:cs/>
    </w:rPr>
  </w:style>
  <w:style w:type="paragraph" w:styleId="TOC1">
    <w:name w:val="toc 1"/>
    <w:basedOn w:val="a"/>
    <w:next w:val="a"/>
    <w:autoRedefine/>
    <w:uiPriority w:val="39"/>
    <w:unhideWhenUsed/>
    <w:rsid w:val="005237F1"/>
    <w:pPr>
      <w:spacing w:after="100" w:line="259" w:lineRule="auto"/>
    </w:pPr>
    <w:rPr>
      <w:rFonts w:asciiTheme="minorHAnsi" w:eastAsiaTheme="minorEastAsia" w:hAnsiTheme="minorHAnsi"/>
      <w:sz w:val="22"/>
      <w:szCs w:val="22"/>
      <w:rtl/>
      <w:cs/>
    </w:rPr>
  </w:style>
  <w:style w:type="paragraph" w:styleId="TOC3">
    <w:name w:val="toc 3"/>
    <w:basedOn w:val="a"/>
    <w:next w:val="a"/>
    <w:autoRedefine/>
    <w:uiPriority w:val="39"/>
    <w:unhideWhenUsed/>
    <w:rsid w:val="005237F1"/>
    <w:pPr>
      <w:spacing w:after="100" w:line="259" w:lineRule="auto"/>
      <w:ind w:left="440"/>
    </w:pPr>
    <w:rPr>
      <w:rFonts w:asciiTheme="minorHAnsi" w:eastAsiaTheme="minorEastAsia" w:hAnsiTheme="minorHAnsi"/>
      <w:sz w:val="22"/>
      <w:szCs w:val="22"/>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GPROJECT@isa.gov.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oecd.org/cgfi/abou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www3.weforum.org/docs/WEF_NNER_II_The_Future_of_Business_and_Nature_Policy_Companion_2020.pdf" TargetMode="External"/><Relationship Id="rId13" Type="http://schemas.openxmlformats.org/officeDocument/2006/relationships/hyperlink" Target="https://eur-lex.europa.eu/legal-content/EN/TXT/HTML/?uri=CELEX:32014L0095&amp;from=EN" TargetMode="External"/><Relationship Id="rId18" Type="http://schemas.openxmlformats.org/officeDocument/2006/relationships/hyperlink" Target="https://www.boi.org.il/he/BankingSupervision/SupervisorsDirectives/2015/655.pdf" TargetMode="External"/><Relationship Id="rId26" Type="http://schemas.openxmlformats.org/officeDocument/2006/relationships/hyperlink" Target="https://wedocs.unep.org/bitstream/handle/20.500.11822/7664/Frontiers_2016.pdf?sequence=1&amp;isAllowed=y" TargetMode="External"/><Relationship Id="rId3" Type="http://schemas.openxmlformats.org/officeDocument/2006/relationships/hyperlink" Target="https://www.canada.ca/en/environment-climate-change/services/climate-change/expert-panel-sustainable-finance.html" TargetMode="External"/><Relationship Id="rId21" Type="http://schemas.openxmlformats.org/officeDocument/2006/relationships/hyperlink" Target="https://www.gov.il/BlobFolder/dynamiccollectorresultitem/research_0333/he/R0333.pdf?fireglass_rsn=true" TargetMode="External"/><Relationship Id="rId34" Type="http://schemas.openxmlformats.org/officeDocument/2006/relationships/hyperlink" Target="https://eur-lex.europa.eu/legal-content/EN/TXT/?uri=CELEX%3A32013R0575" TargetMode="External"/><Relationship Id="rId7" Type="http://schemas.openxmlformats.org/officeDocument/2006/relationships/hyperlink" Target="https://www.oecd.org/environment/resources/biodiversity/G7-report-Biodiversity-Finance-and-the-Economic-and-Business-Case-for-Action.pdf" TargetMode="External"/><Relationship Id="rId12" Type="http://schemas.openxmlformats.org/officeDocument/2006/relationships/hyperlink" Target="https://eur-lex.europa.eu/legal-content/EN/TXT/?uri=uriserv:OJ.L_.2019.317.01.0001.01.ENG&amp;toc=OJ:L:2019:317:TOChttps://eur-lex.europa.eu/legal-content/EN/TXT/?uri=uriserv:OJ.L_.2019.317.01.0001.01.ENG&amp;toc=OJ:L:2019:317:TOC" TargetMode="External"/><Relationship Id="rId17" Type="http://schemas.openxmlformats.org/officeDocument/2006/relationships/hyperlink" Target="https://www.boi.org.il/he/BankingSupervision/LettersAndCircularsSupervisorOfBanks/HozSup/h2311.pdf" TargetMode="External"/><Relationship Id="rId25" Type="http://schemas.openxmlformats.org/officeDocument/2006/relationships/hyperlink" Target="https://wedocs.unep.org/bitstream/handle/20.500.11822/32316/ZP.pdf?sequence=1&amp;isAllowed=y" TargetMode="External"/><Relationship Id="rId33" Type="http://schemas.openxmlformats.org/officeDocument/2006/relationships/hyperlink" Target="https://eur-lex.europa.eu/legal-content/EN/TXT/?uri=celex%3A32013L0036" TargetMode="External"/><Relationship Id="rId38" Type="http://schemas.openxmlformats.org/officeDocument/2006/relationships/hyperlink" Target="https://www.esma.europa.eu/sites/default/files/library/esma35-43-1737_final_report_on_integrating_sustainability_risks_and_factors_in_the_mifid_ii.pdf" TargetMode="External"/><Relationship Id="rId2" Type="http://schemas.openxmlformats.org/officeDocument/2006/relationships/hyperlink" Target="https://www.dnb.nl/en/about-dnb/co-operation/platform-voor-duurzame-financiering/index.jsp" TargetMode="External"/><Relationship Id="rId16" Type="http://schemas.openxmlformats.org/officeDocument/2006/relationships/hyperlink" Target="https://www.bis.org/bcbs/publ/d455.pdf" TargetMode="External"/><Relationship Id="rId20" Type="http://schemas.openxmlformats.org/officeDocument/2006/relationships/hyperlink" Target="https://www.dnb.nl/binaries/Biodiversity%20opportunities%20risks%20for%20the%20financial%20sector_tcm46-389029.pdf" TargetMode="External"/><Relationship Id="rId29" Type="http://schemas.openxmlformats.org/officeDocument/2006/relationships/hyperlink" Target="file:///C:\Users\galta\Downloads\esma34-45-688_final_report_on_integrating_sustainability_risks_and_factors_in_the_ucits_directive_and_the_aifmd.pdf" TargetMode="External"/><Relationship Id="rId1" Type="http://schemas.openxmlformats.org/officeDocument/2006/relationships/hyperlink" Target="https://www.fca.org.uk/transparency/climate-financial-risk-forum" TargetMode="External"/><Relationship Id="rId6" Type="http://schemas.openxmlformats.org/officeDocument/2006/relationships/hyperlink" Target="https://www.gov.il/he/departments/publications/reports/green_book_external_costs_air_pollutants_greenhouse_gases" TargetMode="External"/><Relationship Id="rId11" Type="http://schemas.openxmlformats.org/officeDocument/2006/relationships/hyperlink" Target="http://documents1.worldbank.org/curated/en/913961524150628959/pdf/125442-REPL-PUBLIC-Incorporating-ESG-Factors-into-Fixed-Income-Investment-Final-April26-LowRes.pdf" TargetMode="External"/><Relationship Id="rId24" Type="http://schemas.openxmlformats.org/officeDocument/2006/relationships/hyperlink" Target="https://www.nature.com/articles/s41586-020-2562-8" TargetMode="External"/><Relationship Id="rId32" Type="http://schemas.openxmlformats.org/officeDocument/2006/relationships/hyperlink" Target="https://ec.europa.eu/info/publications/sustainable-finance-technical-expert-group_en" TargetMode="External"/><Relationship Id="rId37" Type="http://schemas.openxmlformats.org/officeDocument/2006/relationships/hyperlink" Target="https://mof.gov.il/hon/documents/%D7%94%D7%A1%D7%93%D7%A8%D7%94-%D7%95%D7%97%D7%A7%D7%99%D7%A7%D7%94/mosdiym/memos/2007-9-15.doc" TargetMode="External"/><Relationship Id="rId5" Type="http://schemas.openxmlformats.org/officeDocument/2006/relationships/hyperlink" Target="https://ec.europa.eu/info/sites/info/files/business_economy_euro/banking_and_finance/documents/190110-sustainable-finance-teg-report-climate-related-disclosures-summary-of-responses_en.pdf" TargetMode="External"/><Relationship Id="rId15" Type="http://schemas.openxmlformats.org/officeDocument/2006/relationships/hyperlink" Target="https://mof.gov.il/hon/documents/%D7%94%D7%A1%D7%93%D7%A8%D7%94-%D7%95%D7%97%D7%A7%D7%99%D7%A7%D7%94/mosdiym/memos/h_2017-9-24.docx" TargetMode="External"/><Relationship Id="rId23" Type="http://schemas.openxmlformats.org/officeDocument/2006/relationships/hyperlink" Target="https://www.nature.com/articles/d41586-020-02341-1" TargetMode="External"/><Relationship Id="rId28" Type="http://schemas.openxmlformats.org/officeDocument/2006/relationships/hyperlink" Target="https://ec.europa.eu/info/consultations/finance-2020-sustainable-finance-strategy_en" TargetMode="External"/><Relationship Id="rId36" Type="http://schemas.openxmlformats.org/officeDocument/2006/relationships/hyperlink" Target="https://www.boi.org.il/he/BankingSupervision/LettersAndCircularsSupervisorOfBanks/LettersOfTheBankingSupervisionDepartment/200921.pdf" TargetMode="External"/><Relationship Id="rId10" Type="http://schemas.openxmlformats.org/officeDocument/2006/relationships/hyperlink" Target="https://www.gov.il/he/departments/news/06-07-2020" TargetMode="External"/><Relationship Id="rId19" Type="http://schemas.openxmlformats.org/officeDocument/2006/relationships/hyperlink" Target="https://www.climatebonds.net/files/reports/the_green_bond_market_in_europe.pdf" TargetMode="External"/><Relationship Id="rId31" Type="http://schemas.openxmlformats.org/officeDocument/2006/relationships/hyperlink" Target="https://ec.europa.eu/info/publications/sustainable-finance-technical-expert-group_en" TargetMode="External"/><Relationship Id="rId4" Type="http://schemas.openxmlformats.org/officeDocument/2006/relationships/hyperlink" Target="https://www.env.go.jp/en/policy/esg/pdf/ESG_WG_report.pdf" TargetMode="External"/><Relationship Id="rId9" Type="http://schemas.openxmlformats.org/officeDocument/2006/relationships/hyperlink" Target="https://www.weforum.org/reports/new-nature-economy-report-series" TargetMode="External"/><Relationship Id="rId14" Type="http://schemas.openxmlformats.org/officeDocument/2006/relationships/hyperlink" Target="https://www.gov.il/he/departments/guides/environmental_impact_index_public_industry_companies/" TargetMode="External"/><Relationship Id="rId22" Type="http://schemas.openxmlformats.org/officeDocument/2006/relationships/hyperlink" Target="https://www.nature.com/articles/s41559-017-0098" TargetMode="External"/><Relationship Id="rId27" Type="http://schemas.openxmlformats.org/officeDocument/2006/relationships/hyperlink" Target="https://eur-lex.europa.eu/legal-content/EN/TXT/PDF/?uri=CELEX:52018DC0097&amp;from=EN" TargetMode="External"/><Relationship Id="rId30" Type="http://schemas.openxmlformats.org/officeDocument/2006/relationships/hyperlink" Target="https://www.esma.europa.eu/sites/default/files/library/esma35-43-1737_final_report_on_integrating_sustainability_risks_and_factors_in_the_mifid_ii.pdf" TargetMode="External"/><Relationship Id="rId35" Type="http://schemas.openxmlformats.org/officeDocument/2006/relationships/hyperlink" Target="https://www.bankingsupervision.europa.eu/legalframework/publiccons/pdf/climate-related_risks/ssm.202005_draft_guide_on_climate-related_and_environmental_risks.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lanning&amp;Policy\50_Eshkol\&#1491;&#1507;%20&#1500;&#1493;&#1490;&#1493;%20&#1490;&#1500;&#1497;&#1514;%20&#1506;&#1501;%20&#1495;&#1514;&#1497;&#1502;&#1492;%20&#1505;&#1512;&#1493;&#1511;&#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4B6E-8D31-4B09-829F-22640405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לוגו גלית עם חתימה סרוקה</Template>
  <TotalTime>0</TotalTime>
  <Pages>10</Pages>
  <Words>2388</Words>
  <Characters>11945</Characters>
  <Application>Microsoft Office Word</Application>
  <DocSecurity>0</DocSecurity>
  <Lines>99</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MOE</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סתיו גילוץ   Stav Gilutz</dc:creator>
  <cp:lastModifiedBy>חיים שטוקהמר   Chaim Stokhamer</cp:lastModifiedBy>
  <cp:revision>2</cp:revision>
  <cp:lastPrinted>2020-08-26T08:22:00Z</cp:lastPrinted>
  <dcterms:created xsi:type="dcterms:W3CDTF">2020-09-09T07:21:00Z</dcterms:created>
  <dcterms:modified xsi:type="dcterms:W3CDTF">2020-09-09T07:21:00Z</dcterms:modified>
</cp:coreProperties>
</file>