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D7D3" w14:textId="77777777" w:rsidR="00C2217F" w:rsidRPr="00C34322" w:rsidRDefault="00C2217F" w:rsidP="00C2217F">
      <w:pPr>
        <w:rPr>
          <w:rFonts w:ascii="Arial" w:hAnsi="Arial" w:cs="Arial"/>
          <w:rtl/>
        </w:rPr>
      </w:pPr>
    </w:p>
    <w:p w14:paraId="5D1C7897" w14:textId="77777777" w:rsidR="00C2217F" w:rsidRPr="003A144D" w:rsidRDefault="00C2217F" w:rsidP="003A144D">
      <w:pPr>
        <w:rPr>
          <w:rFonts w:ascii="Arial" w:hAnsi="Arial" w:cs="Arial"/>
          <w:b/>
          <w:bCs/>
          <w:rtl/>
        </w:rPr>
      </w:pPr>
      <w:r w:rsidRPr="003A144D">
        <w:rPr>
          <w:rFonts w:ascii="Arial" w:hAnsi="Arial" w:cs="Arial"/>
          <w:b/>
          <w:bCs/>
          <w:rtl/>
        </w:rPr>
        <w:t xml:space="preserve">נספח </w:t>
      </w:r>
      <w:r w:rsidR="003A144D" w:rsidRPr="003A144D">
        <w:rPr>
          <w:rFonts w:ascii="Arial" w:hAnsi="Arial" w:cs="Arial" w:hint="cs"/>
          <w:b/>
          <w:bCs/>
          <w:rtl/>
        </w:rPr>
        <w:t>4</w:t>
      </w:r>
    </w:p>
    <w:p w14:paraId="284B28E0" w14:textId="77777777" w:rsidR="00C2217F" w:rsidRPr="00C34322" w:rsidRDefault="00C2217F" w:rsidP="00C2217F">
      <w:pPr>
        <w:tabs>
          <w:tab w:val="left" w:pos="1466"/>
        </w:tabs>
        <w:spacing w:line="360" w:lineRule="auto"/>
        <w:ind w:left="1440" w:hanging="1440"/>
        <w:rPr>
          <w:rFonts w:ascii="Arial" w:hAnsi="Arial" w:cs="Arial"/>
          <w:rtl/>
        </w:rPr>
      </w:pPr>
      <w:r w:rsidRPr="00C34322">
        <w:rPr>
          <w:rFonts w:ascii="Arial" w:hAnsi="Arial" w:cs="Arial"/>
          <w:rtl/>
        </w:rPr>
        <w:t>יוגש על נייר פירמה עם לוגו של המעבדה</w:t>
      </w:r>
    </w:p>
    <w:p w14:paraId="666BE20E" w14:textId="77777777" w:rsidR="00C2217F" w:rsidRPr="00C34322" w:rsidRDefault="00C2217F" w:rsidP="00C2217F">
      <w:pPr>
        <w:tabs>
          <w:tab w:val="left" w:pos="1466"/>
        </w:tabs>
        <w:spacing w:line="360" w:lineRule="auto"/>
        <w:ind w:left="1440" w:hanging="1440"/>
        <w:rPr>
          <w:rFonts w:ascii="Arial" w:hAnsi="Arial" w:cs="Arial"/>
          <w:b/>
          <w:bCs/>
          <w:u w:val="single"/>
          <w:rtl/>
        </w:rPr>
      </w:pPr>
      <w:r w:rsidRPr="00C34322">
        <w:rPr>
          <w:rFonts w:ascii="Arial" w:hAnsi="Arial" w:cs="Arial"/>
          <w:b/>
          <w:bCs/>
          <w:rtl/>
        </w:rPr>
        <w:t xml:space="preserve">הנדון: </w:t>
      </w:r>
      <w:r w:rsidRPr="00C34322">
        <w:rPr>
          <w:rFonts w:ascii="Arial" w:hAnsi="Arial" w:cs="Arial"/>
          <w:b/>
          <w:bCs/>
          <w:u w:val="single"/>
          <w:rtl/>
        </w:rPr>
        <w:t>הצהרה בדבר עמידת המעבדה בתנאי ה</w:t>
      </w:r>
      <w:r w:rsidR="000E2749">
        <w:rPr>
          <w:rFonts w:ascii="Arial" w:hAnsi="Arial" w:cs="Arial" w:hint="cs"/>
          <w:b/>
          <w:bCs/>
          <w:u w:val="single"/>
          <w:rtl/>
        </w:rPr>
        <w:t>נחיות וה</w:t>
      </w:r>
      <w:r w:rsidRPr="00C34322">
        <w:rPr>
          <w:rFonts w:ascii="Arial" w:hAnsi="Arial" w:cs="Arial"/>
          <w:b/>
          <w:bCs/>
          <w:u w:val="single"/>
          <w:rtl/>
        </w:rPr>
        <w:t>וראות הממונה על התקינה בעניין אישור מעבדות על-פי סעיף 12(א) בחוק התקנים, התשי"ג-1953</w:t>
      </w:r>
    </w:p>
    <w:p w14:paraId="53CC1444" w14:textId="77777777" w:rsidR="00C2217F" w:rsidRPr="00C34322" w:rsidRDefault="00C2217F" w:rsidP="00C2217F">
      <w:pPr>
        <w:tabs>
          <w:tab w:val="left" w:pos="1466"/>
        </w:tabs>
        <w:spacing w:line="360" w:lineRule="auto"/>
        <w:rPr>
          <w:rFonts w:ascii="Arial" w:hAnsi="Arial" w:cs="Arial"/>
          <w:rtl/>
        </w:rPr>
      </w:pPr>
    </w:p>
    <w:p w14:paraId="57326518" w14:textId="77777777" w:rsidR="00C2217F" w:rsidRPr="00C34322" w:rsidRDefault="00C2217F" w:rsidP="00C2217F">
      <w:pPr>
        <w:tabs>
          <w:tab w:val="left" w:pos="1466"/>
        </w:tabs>
        <w:spacing w:line="360" w:lineRule="auto"/>
        <w:rPr>
          <w:rFonts w:ascii="Arial" w:hAnsi="Arial" w:cs="Arial"/>
          <w:rtl/>
        </w:rPr>
      </w:pPr>
      <w:r w:rsidRPr="00C34322">
        <w:rPr>
          <w:rFonts w:ascii="Arial" w:hAnsi="Arial" w:cs="Arial"/>
          <w:rtl/>
        </w:rPr>
        <w:t xml:space="preserve">הרינו להצהיר בזאת בשם __________________ (להלן – המעבדה) כי, בתקופה של שנתיים אחרונות המעבדה עמדה, ועומדת נכון ליום זה, בהוראות הממונה על התקינה (להלן – הוראות הממונה) כדלקמן: </w:t>
      </w:r>
    </w:p>
    <w:p w14:paraId="435D353E" w14:textId="77777777" w:rsidR="00C2217F" w:rsidRPr="00C34322" w:rsidRDefault="00C2217F" w:rsidP="00C2217F">
      <w:pPr>
        <w:numPr>
          <w:ilvl w:val="0"/>
          <w:numId w:val="1"/>
        </w:numPr>
        <w:spacing w:after="200" w:line="360" w:lineRule="auto"/>
        <w:contextualSpacing/>
        <w:rPr>
          <w:rFonts w:ascii="Arial" w:hAnsi="Arial" w:cs="Arial"/>
          <w:lang w:eastAsia="en-US"/>
        </w:rPr>
      </w:pPr>
      <w:r w:rsidRPr="00C34322">
        <w:rPr>
          <w:rFonts w:ascii="Arial" w:hAnsi="Arial" w:cs="Arial"/>
          <w:rtl/>
          <w:lang w:eastAsia="en-US"/>
        </w:rPr>
        <w:t xml:space="preserve">המעבדה רשומה על פי דין כתאגיד בישראל; </w:t>
      </w:r>
    </w:p>
    <w:p w14:paraId="69D05819" w14:textId="77777777" w:rsidR="00C2217F" w:rsidRPr="00C34322" w:rsidRDefault="00C2217F" w:rsidP="002028E5">
      <w:pPr>
        <w:numPr>
          <w:ilvl w:val="0"/>
          <w:numId w:val="1"/>
        </w:numPr>
        <w:spacing w:line="360" w:lineRule="auto"/>
        <w:contextualSpacing/>
        <w:rPr>
          <w:rFonts w:ascii="Arial" w:hAnsi="Arial" w:cs="Arial"/>
          <w:lang w:eastAsia="en-US"/>
        </w:rPr>
      </w:pPr>
      <w:r w:rsidRPr="00C34322">
        <w:rPr>
          <w:rFonts w:ascii="Arial" w:hAnsi="Arial" w:cs="Arial"/>
          <w:rtl/>
          <w:lang w:eastAsia="en-US"/>
        </w:rPr>
        <w:t>המעבדה היא בעלת יכולת  וכשירות מקצועית וערוכה למלא את תפקידה כמעבדה מאושרת, ובכלל זה היא בעלת איתנות פיננסית כנדרש.</w:t>
      </w:r>
    </w:p>
    <w:p w14:paraId="1703858E" w14:textId="46B2A9F0" w:rsidR="008F3378" w:rsidRPr="008F3378" w:rsidRDefault="00C2217F" w:rsidP="002028E5">
      <w:pPr>
        <w:pStyle w:val="4"/>
        <w:numPr>
          <w:ilvl w:val="0"/>
          <w:numId w:val="1"/>
        </w:numPr>
        <w:tabs>
          <w:tab w:val="right" w:pos="992"/>
        </w:tabs>
        <w:spacing w:line="360" w:lineRule="auto"/>
        <w:jc w:val="both"/>
        <w:rPr>
          <w:rFonts w:asciiTheme="minorBidi" w:hAnsiTheme="minorBidi" w:cstheme="minorBidi"/>
          <w:lang w:eastAsia="en-US"/>
        </w:rPr>
      </w:pPr>
      <w:r w:rsidRPr="00C34322">
        <w:rPr>
          <w:rFonts w:ascii="Arial" w:hAnsi="Arial" w:cs="Arial"/>
          <w:rtl/>
          <w:lang w:eastAsia="en-US"/>
        </w:rPr>
        <w:t>המעבדה בעלת תעודת הסמכה בת תוקף מאת הרשות לשמש כמעבדה בתחום מתן האישור</w:t>
      </w:r>
      <w:r w:rsidR="006A4B0B">
        <w:rPr>
          <w:rFonts w:ascii="Arial" w:hAnsi="Arial" w:cs="Arial" w:hint="cs"/>
          <w:rtl/>
          <w:lang w:eastAsia="en-US"/>
        </w:rPr>
        <w:t xml:space="preserve"> / מדובר בתחום או בסוגי בדיקות בהם הרשות להסמכת מעבדות אינה מסמיכה </w:t>
      </w:r>
      <w:r w:rsidR="008F3378">
        <w:rPr>
          <w:rFonts w:ascii="Arial" w:hAnsi="Arial" w:cs="Arial" w:hint="cs"/>
          <w:rtl/>
          <w:lang w:eastAsia="en-US"/>
        </w:rPr>
        <w:t xml:space="preserve">/ </w:t>
      </w:r>
      <w:r w:rsidR="008F3378">
        <w:rPr>
          <w:rFonts w:asciiTheme="minorBidi" w:hAnsiTheme="minorBidi" w:cstheme="minorBidi" w:hint="cs"/>
          <w:rtl/>
          <w:lang w:eastAsia="en-US"/>
        </w:rPr>
        <w:t xml:space="preserve">המעבדה בעלת תעודת הסמכה לתקן או לתקן רשמי שאינו מאמץ תקינה זרה אך הוכיחה כשירות מקצועית </w:t>
      </w:r>
      <w:r w:rsidR="008F3378" w:rsidRPr="008F3378">
        <w:rPr>
          <w:rFonts w:asciiTheme="minorBidi" w:hAnsiTheme="minorBidi" w:cstheme="minorBidi" w:hint="cs"/>
          <w:rtl/>
          <w:lang w:eastAsia="en-US"/>
        </w:rPr>
        <w:t xml:space="preserve">בתחום התקינה הזרה לרבות קיומו של ציוד בדיקה נדרש, אנשי מקצוע שיכולים לבצע את הבדיקה והסמכה או אישור לתקן בעל שיטות בדיקה מאותו התחום, והכל להנחת דעתו של הממונה על התקינה; </w:t>
      </w:r>
      <w:r w:rsidR="008F3378" w:rsidRPr="008F3378">
        <w:rPr>
          <w:rFonts w:ascii="Arial" w:hAnsi="Arial" w:cs="Arial" w:hint="cs"/>
          <w:rtl/>
          <w:lang w:eastAsia="en-US"/>
        </w:rPr>
        <w:t>(מחק את המיותר)</w:t>
      </w:r>
    </w:p>
    <w:p w14:paraId="77FD953E" w14:textId="7E48F357" w:rsidR="00C2217F" w:rsidRPr="00C34322" w:rsidRDefault="00C2217F" w:rsidP="002028E5">
      <w:pPr>
        <w:pStyle w:val="4"/>
        <w:numPr>
          <w:ilvl w:val="0"/>
          <w:numId w:val="1"/>
        </w:numPr>
        <w:tabs>
          <w:tab w:val="right" w:pos="992"/>
        </w:tabs>
        <w:spacing w:line="360" w:lineRule="auto"/>
        <w:jc w:val="both"/>
        <w:rPr>
          <w:rFonts w:ascii="Arial" w:hAnsi="Arial" w:cs="Arial"/>
          <w:lang w:eastAsia="en-US"/>
        </w:rPr>
      </w:pPr>
      <w:r w:rsidRPr="00C34322">
        <w:rPr>
          <w:rFonts w:ascii="Arial" w:hAnsi="Arial" w:cs="Arial"/>
          <w:rtl/>
          <w:lang w:eastAsia="en-US"/>
        </w:rPr>
        <w:t>למעבדה קיימים נהלים להסדרת פעילותה כמעבדה מאושרת בהתאם להוראות הממונה;</w:t>
      </w:r>
    </w:p>
    <w:p w14:paraId="56536A87" w14:textId="77777777" w:rsidR="00C2217F" w:rsidRPr="00C34322" w:rsidRDefault="00C2217F" w:rsidP="002028E5">
      <w:pPr>
        <w:numPr>
          <w:ilvl w:val="0"/>
          <w:numId w:val="1"/>
        </w:numPr>
        <w:spacing w:after="200" w:line="360" w:lineRule="auto"/>
        <w:contextualSpacing/>
        <w:rPr>
          <w:rFonts w:ascii="Arial" w:hAnsi="Arial" w:cs="Arial"/>
          <w:lang w:eastAsia="en-US"/>
        </w:rPr>
      </w:pPr>
      <w:r w:rsidRPr="00C34322">
        <w:rPr>
          <w:rFonts w:ascii="Arial" w:hAnsi="Arial" w:cs="Arial"/>
          <w:rtl/>
          <w:lang w:eastAsia="en-US"/>
        </w:rPr>
        <w:t xml:space="preserve">המעבדה לא פועלת ולא פעלה בתנאים האסורים העלולים לפגוע בתוצאות הבדיקה, ועומדת </w:t>
      </w:r>
      <w:r w:rsidR="006A4B0B">
        <w:rPr>
          <w:rFonts w:ascii="Arial" w:hAnsi="Arial" w:cs="Arial" w:hint="cs"/>
          <w:rtl/>
          <w:lang w:eastAsia="en-US"/>
        </w:rPr>
        <w:t xml:space="preserve">בכל התנאים והדרישות של חוק התקנים ונהלי הממונה, לרבות </w:t>
      </w:r>
      <w:r w:rsidRPr="00C34322">
        <w:rPr>
          <w:rFonts w:ascii="Arial" w:hAnsi="Arial" w:cs="Arial"/>
          <w:rtl/>
          <w:lang w:eastAsia="en-US"/>
        </w:rPr>
        <w:t>בתנאים המפורטים בסעיפים 12(א)(3) ו-12(א2) בחוק התקנים, ובהוראות הממונה, כדלקמן:</w:t>
      </w:r>
    </w:p>
    <w:p w14:paraId="592A9263" w14:textId="146586AF" w:rsidR="00C2217F" w:rsidRPr="00C34322" w:rsidRDefault="008E5F1A" w:rsidP="008E5F1A">
      <w:pPr>
        <w:numPr>
          <w:ilvl w:val="1"/>
          <w:numId w:val="1"/>
        </w:numPr>
        <w:tabs>
          <w:tab w:val="left" w:pos="1466"/>
        </w:tabs>
        <w:spacing w:line="360" w:lineRule="auto"/>
        <w:ind w:hanging="24"/>
        <w:rPr>
          <w:rFonts w:ascii="Arial" w:hAnsi="Arial" w:cs="Arial"/>
        </w:rPr>
      </w:pPr>
      <w:r>
        <w:rPr>
          <w:rFonts w:ascii="Arial" w:hAnsi="Arial" w:cs="Arial" w:hint="cs"/>
          <w:rtl/>
        </w:rPr>
        <w:t xml:space="preserve"> </w:t>
      </w:r>
      <w:r w:rsidR="00C2217F" w:rsidRPr="00C34322">
        <w:rPr>
          <w:rFonts w:ascii="Arial" w:hAnsi="Arial" w:cs="Arial"/>
          <w:rtl/>
        </w:rPr>
        <w:t xml:space="preserve">המעבדה לא פעלה ולא תפעל בתנאי ניגוד עניינים , כנדרש ומפורט בסעיף </w:t>
      </w:r>
      <w:r w:rsidR="003A144D">
        <w:rPr>
          <w:rFonts w:ascii="Arial" w:hAnsi="Arial" w:cs="Arial" w:hint="cs"/>
          <w:rtl/>
        </w:rPr>
        <w:t xml:space="preserve">5.2.1 </w:t>
      </w:r>
      <w:r w:rsidR="00C2217F" w:rsidRPr="00C34322">
        <w:rPr>
          <w:rFonts w:ascii="Arial" w:hAnsi="Arial" w:cs="Arial"/>
          <w:rtl/>
        </w:rPr>
        <w:t xml:space="preserve">של הוראות הממונה. </w:t>
      </w:r>
    </w:p>
    <w:p w14:paraId="513EB588" w14:textId="1E3D5848" w:rsidR="00C2217F" w:rsidRPr="00C34322" w:rsidRDefault="008E5F1A" w:rsidP="008E5F1A">
      <w:pPr>
        <w:numPr>
          <w:ilvl w:val="1"/>
          <w:numId w:val="1"/>
        </w:numPr>
        <w:tabs>
          <w:tab w:val="left" w:pos="1466"/>
        </w:tabs>
        <w:spacing w:line="360" w:lineRule="auto"/>
        <w:ind w:hanging="24"/>
        <w:rPr>
          <w:rFonts w:ascii="Arial" w:hAnsi="Arial" w:cs="Arial"/>
        </w:rPr>
      </w:pPr>
      <w:r>
        <w:rPr>
          <w:rFonts w:ascii="Arial" w:hAnsi="Arial" w:cs="Arial" w:hint="cs"/>
          <w:rtl/>
        </w:rPr>
        <w:t xml:space="preserve"> </w:t>
      </w:r>
      <w:r w:rsidR="00C2217F" w:rsidRPr="00C34322">
        <w:rPr>
          <w:rFonts w:ascii="Arial" w:hAnsi="Arial" w:cs="Arial"/>
          <w:rtl/>
        </w:rPr>
        <w:t xml:space="preserve">המעבדה לא פעלה ולא תפעל בתנאים של יחסי תלות, בהתאם להוראת סעיף </w:t>
      </w:r>
      <w:r w:rsidR="003A144D">
        <w:rPr>
          <w:rFonts w:ascii="Arial" w:hAnsi="Arial" w:cs="Arial" w:hint="cs"/>
          <w:rtl/>
        </w:rPr>
        <w:t xml:space="preserve">5.2.2 </w:t>
      </w:r>
      <w:r w:rsidR="00C2217F" w:rsidRPr="00C34322">
        <w:rPr>
          <w:rFonts w:ascii="Arial" w:hAnsi="Arial" w:cs="Arial"/>
          <w:rtl/>
        </w:rPr>
        <w:t>של הוראות הממונה.</w:t>
      </w:r>
    </w:p>
    <w:p w14:paraId="6DC70CE0" w14:textId="437951AB" w:rsidR="00C2217F" w:rsidRPr="00C34322" w:rsidRDefault="00C2217F" w:rsidP="008E5F1A">
      <w:pPr>
        <w:numPr>
          <w:ilvl w:val="1"/>
          <w:numId w:val="1"/>
        </w:numPr>
        <w:tabs>
          <w:tab w:val="left" w:pos="1466"/>
        </w:tabs>
        <w:spacing w:line="360" w:lineRule="auto"/>
        <w:ind w:left="1366" w:hanging="284"/>
        <w:rPr>
          <w:rFonts w:ascii="Arial" w:hAnsi="Arial" w:cs="Arial"/>
        </w:rPr>
      </w:pPr>
      <w:r w:rsidRPr="00C34322">
        <w:rPr>
          <w:rFonts w:ascii="Arial" w:hAnsi="Arial" w:cs="Arial"/>
          <w:rtl/>
        </w:rPr>
        <w:t xml:space="preserve">המעבדה, בעלי מניות ועובדיה לא נתנו ולא ייתנו שירותי ייעוץ בתחומי האישור ללא אישור לכך של הממונה , בהתאם להוראת סעיף </w:t>
      </w:r>
      <w:r w:rsidR="003A144D">
        <w:rPr>
          <w:rFonts w:ascii="Arial" w:hAnsi="Arial" w:cs="Arial" w:hint="cs"/>
          <w:rtl/>
        </w:rPr>
        <w:t>5.2.3</w:t>
      </w:r>
      <w:r w:rsidRPr="00C34322">
        <w:rPr>
          <w:rFonts w:ascii="Arial" w:hAnsi="Arial" w:cs="Arial"/>
          <w:rtl/>
        </w:rPr>
        <w:t xml:space="preserve"> של הוראות הממונה.</w:t>
      </w:r>
    </w:p>
    <w:p w14:paraId="0845F1DA" w14:textId="00F67992" w:rsidR="00C2217F" w:rsidRPr="008E5F1A" w:rsidRDefault="00C2217F" w:rsidP="008E5F1A">
      <w:pPr>
        <w:numPr>
          <w:ilvl w:val="1"/>
          <w:numId w:val="1"/>
        </w:numPr>
        <w:tabs>
          <w:tab w:val="left" w:pos="1466"/>
        </w:tabs>
        <w:spacing w:line="360" w:lineRule="auto"/>
        <w:ind w:left="1366" w:hanging="284"/>
        <w:rPr>
          <w:rFonts w:ascii="Arial" w:hAnsi="Arial" w:cs="Arial"/>
        </w:rPr>
      </w:pPr>
      <w:r w:rsidRPr="008E5F1A">
        <w:rPr>
          <w:rFonts w:ascii="Arial" w:hAnsi="Arial" w:cs="Arial"/>
          <w:rtl/>
        </w:rPr>
        <w:t xml:space="preserve">המעבדה לא מסרה ולא תימסר ביצוע בדיקה, כולה או מקצתה למעבדה אחרת או לקבלן משנה, שלא אושרו בידי הממונה כמעבדה מאושרת לאותה בדיקה, בהתאם להוראת סעיף </w:t>
      </w:r>
      <w:r w:rsidR="003A144D" w:rsidRPr="008E5F1A">
        <w:rPr>
          <w:rFonts w:ascii="Arial" w:hAnsi="Arial" w:cs="Arial" w:hint="cs"/>
          <w:rtl/>
        </w:rPr>
        <w:t>12.1</w:t>
      </w:r>
      <w:r w:rsidRPr="008E5F1A">
        <w:rPr>
          <w:rFonts w:ascii="Arial" w:hAnsi="Arial" w:cs="Arial"/>
          <w:rtl/>
        </w:rPr>
        <w:t xml:space="preserve"> של הוראות הממונה.</w:t>
      </w:r>
    </w:p>
    <w:p w14:paraId="7E5BF110" w14:textId="77777777" w:rsidR="00C2217F" w:rsidRPr="00C34322" w:rsidRDefault="00C2217F" w:rsidP="003A144D">
      <w:pPr>
        <w:numPr>
          <w:ilvl w:val="1"/>
          <w:numId w:val="1"/>
        </w:numPr>
        <w:tabs>
          <w:tab w:val="left" w:pos="1466"/>
        </w:tabs>
        <w:spacing w:line="360" w:lineRule="auto"/>
        <w:rPr>
          <w:rFonts w:ascii="Arial" w:hAnsi="Arial" w:cs="Arial"/>
        </w:rPr>
      </w:pPr>
      <w:r w:rsidRPr="00C34322">
        <w:rPr>
          <w:rFonts w:ascii="Arial" w:hAnsi="Arial" w:cs="Arial"/>
          <w:rtl/>
        </w:rPr>
        <w:lastRenderedPageBreak/>
        <w:t xml:space="preserve">המעבדה לא שילמה ולא תישלם לעובדיה שכר, כולו או חלקו, או כל תגמול אחר, הנקבע בזיקה למספר הבדיקות שביצע העובד או לתוצאות של בדיקות שבוצעו על ידו , בהתאם להוראת סעיף </w:t>
      </w:r>
      <w:r w:rsidR="003A144D">
        <w:rPr>
          <w:rFonts w:ascii="Arial" w:hAnsi="Arial" w:cs="Arial" w:hint="cs"/>
          <w:rtl/>
        </w:rPr>
        <w:t>13.2</w:t>
      </w:r>
      <w:r w:rsidRPr="00C34322">
        <w:rPr>
          <w:rFonts w:ascii="Arial" w:hAnsi="Arial" w:cs="Arial"/>
          <w:rtl/>
        </w:rPr>
        <w:t xml:space="preserve"> של הוראות הממונה.</w:t>
      </w:r>
    </w:p>
    <w:p w14:paraId="283BEDD9" w14:textId="77777777" w:rsidR="00C2217F" w:rsidRPr="00C34322" w:rsidRDefault="00C2217F" w:rsidP="003A144D">
      <w:pPr>
        <w:numPr>
          <w:ilvl w:val="1"/>
          <w:numId w:val="1"/>
        </w:numPr>
        <w:tabs>
          <w:tab w:val="left" w:pos="1466"/>
        </w:tabs>
        <w:spacing w:line="360" w:lineRule="auto"/>
        <w:rPr>
          <w:rFonts w:ascii="Arial" w:hAnsi="Arial" w:cs="Arial"/>
        </w:rPr>
      </w:pPr>
      <w:r w:rsidRPr="00C34322">
        <w:rPr>
          <w:rFonts w:ascii="Arial" w:hAnsi="Arial" w:cs="Arial"/>
          <w:rtl/>
        </w:rPr>
        <w:t xml:space="preserve">המעבדה לא עשתה ולא תעשה דבר במעשה או במחדל, בכתב, בעל פה או בכל דרך אחרת, העלול להטעות את לקוחותיה או את הציבור הרחב בכל עניין הקשור לפעילותה כמעבדה מאושרת או ממצאי בדיקות שערכה ,בהתאם להוראת סעיף </w:t>
      </w:r>
      <w:r w:rsidR="003A144D">
        <w:rPr>
          <w:rFonts w:ascii="Arial" w:hAnsi="Arial" w:cs="Arial" w:hint="cs"/>
          <w:rtl/>
        </w:rPr>
        <w:t xml:space="preserve">13.3 </w:t>
      </w:r>
      <w:r w:rsidRPr="00C34322">
        <w:rPr>
          <w:rFonts w:ascii="Arial" w:hAnsi="Arial" w:cs="Arial"/>
          <w:rtl/>
        </w:rPr>
        <w:t>של הוראות הממונה.</w:t>
      </w:r>
    </w:p>
    <w:p w14:paraId="1E205B33" w14:textId="77777777" w:rsidR="00C2217F" w:rsidRPr="00C34322" w:rsidRDefault="00C2217F" w:rsidP="003A144D">
      <w:pPr>
        <w:numPr>
          <w:ilvl w:val="1"/>
          <w:numId w:val="1"/>
        </w:numPr>
        <w:tabs>
          <w:tab w:val="left" w:pos="1466"/>
        </w:tabs>
        <w:spacing w:line="360" w:lineRule="auto"/>
        <w:rPr>
          <w:rFonts w:ascii="Arial" w:hAnsi="Arial" w:cs="Arial"/>
        </w:rPr>
      </w:pPr>
      <w:r w:rsidRPr="00C34322">
        <w:rPr>
          <w:rFonts w:ascii="Arial" w:hAnsi="Arial" w:cs="Arial"/>
          <w:rtl/>
        </w:rPr>
        <w:t xml:space="preserve">המעבדה לא סירבה לתת שירותי בדיקה ולא התנתה את מתן השירותים בתנאים בלתי סבירים, בהתאם להוראת סעיף </w:t>
      </w:r>
      <w:r w:rsidR="003A144D">
        <w:rPr>
          <w:rFonts w:ascii="Arial" w:hAnsi="Arial" w:cs="Arial" w:hint="cs"/>
          <w:rtl/>
        </w:rPr>
        <w:t>14</w:t>
      </w:r>
      <w:r w:rsidRPr="00C34322">
        <w:rPr>
          <w:rFonts w:ascii="Arial" w:hAnsi="Arial" w:cs="Arial"/>
          <w:rtl/>
        </w:rPr>
        <w:t xml:space="preserve"> של הוראות הממונה.</w:t>
      </w:r>
    </w:p>
    <w:p w14:paraId="5A57844C" w14:textId="77777777" w:rsidR="00C2217F" w:rsidRPr="00C34322" w:rsidRDefault="00C2217F" w:rsidP="003A144D">
      <w:pPr>
        <w:numPr>
          <w:ilvl w:val="1"/>
          <w:numId w:val="1"/>
        </w:numPr>
        <w:tabs>
          <w:tab w:val="left" w:pos="1466"/>
        </w:tabs>
        <w:spacing w:line="360" w:lineRule="auto"/>
        <w:rPr>
          <w:rFonts w:ascii="Arial" w:hAnsi="Arial" w:cs="Arial"/>
        </w:rPr>
      </w:pPr>
      <w:r w:rsidRPr="00C34322">
        <w:rPr>
          <w:rFonts w:ascii="Arial" w:hAnsi="Arial" w:cs="Arial"/>
          <w:rtl/>
        </w:rPr>
        <w:t xml:space="preserve">המעבדה מבטיחה לבצע דיווחים לממונה, כנדרש בהוראות סעיף </w:t>
      </w:r>
      <w:r w:rsidR="003A144D">
        <w:rPr>
          <w:rFonts w:ascii="Arial" w:hAnsi="Arial" w:cs="Arial" w:hint="cs"/>
          <w:rtl/>
        </w:rPr>
        <w:t>10</w:t>
      </w:r>
      <w:r w:rsidRPr="00C34322">
        <w:rPr>
          <w:rFonts w:ascii="Arial" w:hAnsi="Arial" w:cs="Arial"/>
          <w:rtl/>
        </w:rPr>
        <w:t xml:space="preserve"> של הוראות הממונה.</w:t>
      </w:r>
    </w:p>
    <w:p w14:paraId="6A7B5077" w14:textId="77777777" w:rsidR="00C2217F" w:rsidRPr="00C34322" w:rsidRDefault="00C2217F" w:rsidP="003A144D">
      <w:pPr>
        <w:numPr>
          <w:ilvl w:val="1"/>
          <w:numId w:val="1"/>
        </w:numPr>
        <w:tabs>
          <w:tab w:val="left" w:pos="1466"/>
        </w:tabs>
        <w:spacing w:line="360" w:lineRule="auto"/>
        <w:rPr>
          <w:rFonts w:ascii="Arial" w:hAnsi="Arial" w:cs="Arial"/>
        </w:rPr>
      </w:pPr>
      <w:r w:rsidRPr="00C34322">
        <w:rPr>
          <w:rFonts w:ascii="Arial" w:hAnsi="Arial" w:cs="Arial"/>
          <w:rtl/>
        </w:rPr>
        <w:t xml:space="preserve">המעבדה עמדה ומבטיחה לעמוד בכללי פרסום המפורטים בסעיף </w:t>
      </w:r>
      <w:r w:rsidR="003A144D">
        <w:rPr>
          <w:rFonts w:ascii="Arial" w:hAnsi="Arial" w:cs="Arial" w:hint="cs"/>
          <w:rtl/>
        </w:rPr>
        <w:t>11</w:t>
      </w:r>
      <w:r w:rsidRPr="00C34322">
        <w:rPr>
          <w:rFonts w:ascii="Arial" w:hAnsi="Arial" w:cs="Arial"/>
          <w:rtl/>
        </w:rPr>
        <w:t xml:space="preserve"> של הוראות הממונה.</w:t>
      </w:r>
    </w:p>
    <w:p w14:paraId="17CAE4E9" w14:textId="77777777" w:rsidR="00C2217F" w:rsidRPr="00C34322" w:rsidRDefault="00C2217F" w:rsidP="00C2217F">
      <w:pPr>
        <w:numPr>
          <w:ilvl w:val="0"/>
          <w:numId w:val="1"/>
        </w:numPr>
        <w:tabs>
          <w:tab w:val="left" w:pos="1466"/>
        </w:tabs>
        <w:spacing w:line="360" w:lineRule="auto"/>
        <w:rPr>
          <w:rFonts w:ascii="Arial" w:hAnsi="Arial" w:cs="Arial"/>
        </w:rPr>
      </w:pPr>
      <w:r w:rsidRPr="00C34322">
        <w:rPr>
          <w:rFonts w:ascii="Arial" w:hAnsi="Arial" w:cs="Arial"/>
          <w:rtl/>
        </w:rPr>
        <w:t>למעבדה פוליסת ביטוח אחריות מקצועית בתוקף כמתבקש, המכסה את פעילותיה כנדרש.</w:t>
      </w:r>
    </w:p>
    <w:p w14:paraId="5DBC85E6" w14:textId="77777777" w:rsidR="00C2217F" w:rsidRPr="00C34322" w:rsidRDefault="00C2217F" w:rsidP="00C2217F">
      <w:pPr>
        <w:numPr>
          <w:ilvl w:val="0"/>
          <w:numId w:val="1"/>
        </w:numPr>
        <w:tabs>
          <w:tab w:val="num" w:pos="746"/>
          <w:tab w:val="left" w:pos="1466"/>
        </w:tabs>
        <w:spacing w:line="360" w:lineRule="auto"/>
        <w:rPr>
          <w:rFonts w:ascii="Arial" w:hAnsi="Arial" w:cs="Arial"/>
        </w:rPr>
      </w:pPr>
      <w:r w:rsidRPr="00C34322">
        <w:rPr>
          <w:rFonts w:ascii="Arial" w:hAnsi="Arial" w:cs="Arial"/>
          <w:rtl/>
        </w:rPr>
        <w:t>בתקופה שמיום ______ ועד ליום _________, למעבדה לא קיים לקוח בודד אשר סך ההכנסות ממנו הינו בשיעור העולה על 25% מסך ההכנסות של המעבדה לאותה תקופה.</w:t>
      </w:r>
    </w:p>
    <w:p w14:paraId="2469BECB" w14:textId="77777777" w:rsidR="00C2217F" w:rsidRPr="00C34322" w:rsidRDefault="00C2217F" w:rsidP="00C2217F">
      <w:pPr>
        <w:numPr>
          <w:ilvl w:val="0"/>
          <w:numId w:val="1"/>
        </w:numPr>
        <w:tabs>
          <w:tab w:val="num" w:pos="746"/>
          <w:tab w:val="left" w:pos="1466"/>
        </w:tabs>
        <w:spacing w:line="360" w:lineRule="auto"/>
        <w:rPr>
          <w:rFonts w:ascii="Arial" w:hAnsi="Arial" w:cs="Arial"/>
        </w:rPr>
      </w:pPr>
      <w:r w:rsidRPr="00C34322">
        <w:rPr>
          <w:rFonts w:ascii="Arial" w:hAnsi="Arial" w:cs="Arial"/>
          <w:rtl/>
        </w:rPr>
        <w:t>הדוחות הכספיים הוכנו על בסיס הנחת ה "עסק החי" ונחתמו בתאריך _______, אין בדוחות הכספיים האמורים גילוי לאי ודאויות מהותיות שקשורות לאירועים או למצבים שעשויים להטיל ספקות משמעותיים על יכולתה של הישות להמשיך לפעול כ"עסק חי".</w:t>
      </w:r>
    </w:p>
    <w:p w14:paraId="07C93D5A" w14:textId="77777777" w:rsidR="00C2217F" w:rsidRPr="00C34322" w:rsidRDefault="00C2217F" w:rsidP="003A144D">
      <w:pPr>
        <w:numPr>
          <w:ilvl w:val="0"/>
          <w:numId w:val="1"/>
        </w:numPr>
        <w:tabs>
          <w:tab w:val="num" w:pos="746"/>
          <w:tab w:val="left" w:pos="1466"/>
        </w:tabs>
        <w:spacing w:line="360" w:lineRule="auto"/>
        <w:rPr>
          <w:rFonts w:ascii="Arial" w:hAnsi="Arial" w:cs="Arial"/>
        </w:rPr>
      </w:pPr>
      <w:r w:rsidRPr="00C34322">
        <w:rPr>
          <w:rFonts w:ascii="Arial" w:hAnsi="Arial" w:cs="Arial"/>
          <w:rtl/>
        </w:rPr>
        <w:t xml:space="preserve">הדוחות הכספיים כוללים גילויים בדבר כל הצדדים הקשורים לעניין סעיף </w:t>
      </w:r>
      <w:r w:rsidR="003A144D">
        <w:rPr>
          <w:rFonts w:ascii="Arial" w:hAnsi="Arial" w:cs="Arial" w:hint="cs"/>
          <w:rtl/>
        </w:rPr>
        <w:t>5.2.1</w:t>
      </w:r>
      <w:r w:rsidRPr="00C34322">
        <w:rPr>
          <w:rFonts w:ascii="Arial" w:hAnsi="Arial" w:cs="Arial"/>
          <w:rtl/>
        </w:rPr>
        <w:t xml:space="preserve"> בהוראות הממונה; להלן פירוט לגבי צדדים קשורים לעניין הוראות הממונה בסעיף </w:t>
      </w:r>
      <w:r w:rsidR="003A144D">
        <w:rPr>
          <w:rFonts w:ascii="Arial" w:hAnsi="Arial" w:cs="Arial" w:hint="cs"/>
          <w:rtl/>
        </w:rPr>
        <w:t>5.2.1</w:t>
      </w:r>
      <w:r w:rsidRPr="00C34322">
        <w:rPr>
          <w:rFonts w:ascii="Arial" w:hAnsi="Arial" w:cs="Arial"/>
          <w:rtl/>
        </w:rPr>
        <w:t xml:space="preserve"> [במידה וקיים פירוט כאמור]:</w:t>
      </w:r>
    </w:p>
    <w:p w14:paraId="4E4363BC" w14:textId="77777777" w:rsidR="00C2217F" w:rsidRPr="00C34322" w:rsidRDefault="00C2217F" w:rsidP="00C2217F">
      <w:pPr>
        <w:numPr>
          <w:ilvl w:val="0"/>
          <w:numId w:val="2"/>
        </w:numPr>
        <w:tabs>
          <w:tab w:val="left" w:pos="1466"/>
        </w:tabs>
        <w:spacing w:line="360" w:lineRule="auto"/>
        <w:ind w:right="746"/>
        <w:rPr>
          <w:rFonts w:ascii="Arial" w:hAnsi="Arial" w:cs="Arial"/>
        </w:rPr>
      </w:pPr>
      <w:r w:rsidRPr="00C34322">
        <w:rPr>
          <w:rFonts w:ascii="Arial" w:hAnsi="Arial" w:cs="Arial"/>
          <w:rtl/>
        </w:rPr>
        <w:t>שם הצד הקשור וטיב הקשר___________________</w:t>
      </w:r>
      <w:r w:rsidR="00475715">
        <w:rPr>
          <w:rFonts w:ascii="Arial" w:hAnsi="Arial" w:cs="Arial" w:hint="cs"/>
          <w:rtl/>
        </w:rPr>
        <w:t xml:space="preserve"> </w:t>
      </w:r>
    </w:p>
    <w:p w14:paraId="0A560C6D" w14:textId="77777777" w:rsidR="00C2217F" w:rsidRDefault="00C2217F" w:rsidP="00C2217F">
      <w:pPr>
        <w:numPr>
          <w:ilvl w:val="0"/>
          <w:numId w:val="2"/>
        </w:numPr>
        <w:tabs>
          <w:tab w:val="left" w:pos="1466"/>
        </w:tabs>
        <w:spacing w:line="360" w:lineRule="auto"/>
        <w:ind w:right="746"/>
        <w:rPr>
          <w:rFonts w:ascii="Arial" w:hAnsi="Arial" w:cs="Arial"/>
        </w:rPr>
      </w:pPr>
      <w:r w:rsidRPr="00C34322">
        <w:rPr>
          <w:rFonts w:ascii="Arial" w:hAnsi="Arial" w:cs="Arial"/>
          <w:rtl/>
        </w:rPr>
        <w:t>שם הצד הקשור וטיב הקשר __________________</w:t>
      </w:r>
    </w:p>
    <w:p w14:paraId="22275F02" w14:textId="77777777" w:rsidR="00475715" w:rsidRPr="00C34322" w:rsidRDefault="00475715" w:rsidP="00475715">
      <w:pPr>
        <w:tabs>
          <w:tab w:val="left" w:pos="1466"/>
        </w:tabs>
        <w:spacing w:line="360" w:lineRule="auto"/>
        <w:ind w:left="720" w:right="746"/>
        <w:rPr>
          <w:rFonts w:ascii="Arial" w:hAnsi="Arial" w:cs="Arial"/>
          <w:rtl/>
        </w:rPr>
      </w:pPr>
    </w:p>
    <w:p w14:paraId="5B74860C" w14:textId="77777777" w:rsidR="00C2217F" w:rsidRPr="00C34322" w:rsidRDefault="00475715" w:rsidP="00475715">
      <w:pPr>
        <w:tabs>
          <w:tab w:val="left" w:pos="1466"/>
          <w:tab w:val="center" w:pos="6146"/>
        </w:tabs>
        <w:spacing w:line="360" w:lineRule="auto"/>
        <w:ind w:left="360"/>
        <w:rPr>
          <w:rFonts w:ascii="Arial" w:hAnsi="Arial" w:cs="Arial"/>
        </w:rPr>
      </w:pPr>
      <w:r>
        <w:rPr>
          <w:rFonts w:ascii="Arial" w:hAnsi="Arial" w:cs="Arial"/>
          <w:rtl/>
        </w:rPr>
        <w:t xml:space="preserve">     _________________</w:t>
      </w:r>
      <w:r w:rsidR="00C2217F" w:rsidRPr="00C34322">
        <w:rPr>
          <w:rFonts w:ascii="Arial" w:hAnsi="Arial" w:cs="Arial"/>
          <w:rtl/>
        </w:rPr>
        <w:t xml:space="preserve">  </w:t>
      </w:r>
      <w:r>
        <w:rPr>
          <w:rFonts w:ascii="Arial" w:hAnsi="Arial" w:cs="Arial" w:hint="cs"/>
          <w:rtl/>
        </w:rPr>
        <w:t xml:space="preserve">                                   </w:t>
      </w:r>
      <w:r w:rsidR="00C2217F" w:rsidRPr="00C34322">
        <w:rPr>
          <w:rFonts w:ascii="Arial" w:hAnsi="Arial" w:cs="Arial"/>
          <w:rtl/>
        </w:rPr>
        <w:t>____________________</w:t>
      </w:r>
    </w:p>
    <w:p w14:paraId="20476EA6" w14:textId="77777777" w:rsidR="00C2217F" w:rsidRPr="00C34322" w:rsidRDefault="00C2217F" w:rsidP="00475715">
      <w:pPr>
        <w:spacing w:line="360" w:lineRule="auto"/>
        <w:rPr>
          <w:rFonts w:ascii="Arial" w:hAnsi="Arial" w:cs="Arial"/>
          <w:rtl/>
        </w:rPr>
      </w:pPr>
      <w:r w:rsidRPr="00C34322">
        <w:rPr>
          <w:rFonts w:ascii="Arial" w:hAnsi="Arial" w:cs="Arial"/>
          <w:rtl/>
        </w:rPr>
        <w:tab/>
      </w:r>
      <w:r w:rsidR="00475715">
        <w:rPr>
          <w:rFonts w:ascii="Arial" w:hAnsi="Arial" w:cs="Arial" w:hint="cs"/>
          <w:rtl/>
        </w:rPr>
        <w:t xml:space="preserve">  </w:t>
      </w:r>
      <w:r w:rsidR="00475715">
        <w:rPr>
          <w:rFonts w:ascii="Arial" w:hAnsi="Arial" w:cs="Arial"/>
          <w:rtl/>
        </w:rPr>
        <w:t>סמנכ"ל כספים</w:t>
      </w:r>
      <w:r w:rsidR="00475715">
        <w:rPr>
          <w:rFonts w:ascii="Arial" w:hAnsi="Arial" w:cs="Arial"/>
          <w:rtl/>
        </w:rPr>
        <w:tab/>
      </w:r>
      <w:r w:rsidR="00475715">
        <w:rPr>
          <w:rFonts w:ascii="Arial" w:hAnsi="Arial" w:cs="Arial"/>
          <w:rtl/>
        </w:rPr>
        <w:tab/>
      </w:r>
      <w:r w:rsidR="00475715">
        <w:rPr>
          <w:rFonts w:ascii="Arial" w:hAnsi="Arial" w:cs="Arial"/>
          <w:rtl/>
        </w:rPr>
        <w:tab/>
      </w:r>
      <w:r w:rsidR="00475715">
        <w:rPr>
          <w:rFonts w:ascii="Arial" w:hAnsi="Arial" w:cs="Arial"/>
          <w:rtl/>
        </w:rPr>
        <w:tab/>
      </w:r>
      <w:r w:rsidR="00475715">
        <w:rPr>
          <w:rFonts w:ascii="Arial" w:hAnsi="Arial" w:cs="Arial"/>
          <w:rtl/>
        </w:rPr>
        <w:tab/>
        <w:t xml:space="preserve">       </w:t>
      </w:r>
      <w:r w:rsidRPr="00C34322">
        <w:rPr>
          <w:rFonts w:ascii="Arial" w:hAnsi="Arial" w:cs="Arial"/>
          <w:rtl/>
        </w:rPr>
        <w:t xml:space="preserve">המנהל הכללי </w:t>
      </w:r>
    </w:p>
    <w:p w14:paraId="6F6CAC8B" w14:textId="77777777" w:rsidR="00C2217F" w:rsidRPr="00C34322" w:rsidRDefault="00475715" w:rsidP="00C2217F">
      <w:pPr>
        <w:spacing w:line="360" w:lineRule="auto"/>
        <w:rPr>
          <w:rFonts w:ascii="Arial" w:hAnsi="Arial" w:cs="Arial"/>
          <w:rtl/>
        </w:rPr>
      </w:pPr>
      <w:r>
        <w:rPr>
          <w:rFonts w:ascii="Arial" w:hAnsi="Arial" w:cs="Arial"/>
          <w:rtl/>
        </w:rPr>
        <w:tab/>
        <w:t>שם מלא וחתימה</w:t>
      </w:r>
      <w:r>
        <w:rPr>
          <w:rFonts w:ascii="Arial" w:hAnsi="Arial" w:cs="Arial"/>
          <w:rtl/>
        </w:rPr>
        <w:tab/>
      </w:r>
      <w:r>
        <w:rPr>
          <w:rFonts w:ascii="Arial" w:hAnsi="Arial" w:cs="Arial"/>
          <w:rtl/>
        </w:rPr>
        <w:tab/>
      </w:r>
      <w:r>
        <w:rPr>
          <w:rFonts w:ascii="Arial" w:hAnsi="Arial" w:cs="Arial"/>
          <w:rtl/>
        </w:rPr>
        <w:tab/>
      </w:r>
      <w:r>
        <w:rPr>
          <w:rFonts w:ascii="Arial" w:hAnsi="Arial" w:cs="Arial"/>
          <w:rtl/>
        </w:rPr>
        <w:tab/>
      </w:r>
      <w:r>
        <w:rPr>
          <w:rFonts w:ascii="Arial" w:hAnsi="Arial" w:cs="Arial"/>
          <w:rtl/>
        </w:rPr>
        <w:tab/>
        <w:t xml:space="preserve">    </w:t>
      </w:r>
      <w:r w:rsidR="00C2217F" w:rsidRPr="00C34322">
        <w:rPr>
          <w:rFonts w:ascii="Arial" w:hAnsi="Arial" w:cs="Arial"/>
          <w:rtl/>
        </w:rPr>
        <w:t>שם מלא וחתימה</w:t>
      </w:r>
    </w:p>
    <w:p w14:paraId="37245352" w14:textId="77777777" w:rsidR="00C2217F" w:rsidRPr="00C34322" w:rsidRDefault="00C2217F" w:rsidP="00C2217F">
      <w:pPr>
        <w:rPr>
          <w:rFonts w:ascii="Arial" w:hAnsi="Arial" w:cs="Arial"/>
        </w:rPr>
      </w:pPr>
    </w:p>
    <w:p w14:paraId="079D5054" w14:textId="77777777" w:rsidR="0013508A" w:rsidRDefault="00475715" w:rsidP="0013508A">
      <w:pPr>
        <w:overflowPunct w:val="0"/>
        <w:autoSpaceDE w:val="0"/>
        <w:autoSpaceDN w:val="0"/>
        <w:adjustRightInd w:val="0"/>
        <w:jc w:val="right"/>
        <w:rPr>
          <w:rFonts w:ascii="Arial" w:hAnsi="Arial" w:cs="Arial"/>
          <w:rtl/>
        </w:rPr>
      </w:pPr>
      <w:r>
        <w:rPr>
          <w:rFonts w:ascii="Arial" w:hAnsi="Arial" w:cs="Arial" w:hint="cs"/>
          <w:rtl/>
        </w:rPr>
        <w:t xml:space="preserve">חותמת רואה חשבון לזיהוי בלבד </w:t>
      </w:r>
      <w:r w:rsidR="0013508A" w:rsidRPr="00694779">
        <w:rPr>
          <w:rFonts w:ascii="Arial" w:hAnsi="Arial" w:cs="Arial" w:hint="cs"/>
          <w:highlight w:val="lightGray"/>
          <w:rtl/>
        </w:rPr>
        <w:t>_______________</w:t>
      </w:r>
    </w:p>
    <w:p w14:paraId="391F4A55" w14:textId="77777777" w:rsidR="00D36FAE" w:rsidRPr="00C34322" w:rsidRDefault="00D36FAE" w:rsidP="00C2217F">
      <w:pPr>
        <w:rPr>
          <w:rFonts w:ascii="Arial" w:hAnsi="Arial" w:cs="Arial"/>
        </w:rPr>
      </w:pPr>
    </w:p>
    <w:sectPr w:rsidR="00D36FAE" w:rsidRPr="00C34322" w:rsidSect="00E35F0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077" w:left="1797"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F9EB" w14:textId="77777777" w:rsidR="00CD7EEE" w:rsidRDefault="00CD7EEE">
      <w:r>
        <w:separator/>
      </w:r>
    </w:p>
  </w:endnote>
  <w:endnote w:type="continuationSeparator" w:id="0">
    <w:p w14:paraId="1417B357" w14:textId="77777777" w:rsidR="00CD7EEE" w:rsidRDefault="00CD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59B3" w14:textId="77777777" w:rsidR="00D215F8" w:rsidRDefault="00D215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B7E8" w14:textId="77777777" w:rsidR="00370BAD" w:rsidRPr="00C86732" w:rsidRDefault="00370BAD" w:rsidP="00C8673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C7DC" w14:textId="77777777" w:rsidR="00D215F8" w:rsidRDefault="00D215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71FB" w14:textId="77777777" w:rsidR="00CD7EEE" w:rsidRDefault="00CD7EEE">
      <w:r>
        <w:separator/>
      </w:r>
    </w:p>
  </w:footnote>
  <w:footnote w:type="continuationSeparator" w:id="0">
    <w:p w14:paraId="5524F32F" w14:textId="77777777" w:rsidR="00CD7EEE" w:rsidRDefault="00CD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2307" w14:textId="77777777" w:rsidR="00D215F8" w:rsidRDefault="00D215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44BA" w14:textId="77777777" w:rsidR="00EC35C0" w:rsidRDefault="00EC35C0" w:rsidP="00E35F0B">
    <w:pPr>
      <w:pStyle w:val="a3"/>
      <w:ind w:hanging="1753"/>
      <w:rPr>
        <w:noProof/>
        <w:rtl/>
        <w:lang w:eastAsia="en-US"/>
      </w:rPr>
    </w:pPr>
  </w:p>
  <w:p w14:paraId="70B2823D" w14:textId="77777777" w:rsidR="00D215F8" w:rsidRDefault="00D215F8" w:rsidP="00E35F0B">
    <w:pPr>
      <w:pStyle w:val="a3"/>
      <w:ind w:hanging="1753"/>
      <w:rPr>
        <w:noProof/>
        <w:rtl/>
        <w:lang w:eastAsia="en-US"/>
      </w:rPr>
    </w:pPr>
  </w:p>
  <w:p w14:paraId="0B3B42F1" w14:textId="77777777" w:rsidR="00D215F8" w:rsidRDefault="00D215F8" w:rsidP="00E35F0B">
    <w:pPr>
      <w:pStyle w:val="a3"/>
      <w:ind w:hanging="1753"/>
      <w:rPr>
        <w:rtl/>
      </w:rPr>
    </w:pPr>
  </w:p>
  <w:p w14:paraId="7B83D6DD" w14:textId="77777777" w:rsidR="00D215F8" w:rsidRDefault="00D215F8" w:rsidP="00E35F0B">
    <w:pPr>
      <w:pStyle w:val="a3"/>
      <w:ind w:hanging="1753"/>
      <w:rPr>
        <w:rtl/>
      </w:rPr>
    </w:pPr>
  </w:p>
  <w:p w14:paraId="0BD6C8C9" w14:textId="77777777" w:rsidR="00D215F8" w:rsidRDefault="00D215F8" w:rsidP="00E35F0B">
    <w:pPr>
      <w:pStyle w:val="a3"/>
      <w:ind w:hanging="1753"/>
      <w:rPr>
        <w:rtl/>
      </w:rPr>
    </w:pPr>
  </w:p>
  <w:p w14:paraId="49E17B18" w14:textId="77777777" w:rsidR="00D215F8" w:rsidRDefault="00D215F8" w:rsidP="00E35F0B">
    <w:pPr>
      <w:pStyle w:val="a3"/>
      <w:ind w:hanging="1753"/>
      <w:rPr>
        <w:rtl/>
      </w:rPr>
    </w:pPr>
  </w:p>
  <w:p w14:paraId="6A3C2AC6" w14:textId="77777777" w:rsidR="00D215F8" w:rsidRPr="00097F4B" w:rsidRDefault="00D215F8" w:rsidP="00E35F0B">
    <w:pPr>
      <w:pStyle w:val="a3"/>
      <w:ind w:hanging="175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3C19" w14:textId="77777777" w:rsidR="00D215F8" w:rsidRDefault="00D215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FF"/>
    <w:multiLevelType w:val="multilevel"/>
    <w:tmpl w:val="FB50CC7C"/>
    <w:lvl w:ilvl="0">
      <w:start w:val="1"/>
      <w:numFmt w:val="decimal"/>
      <w:pStyle w:val="2"/>
      <w:lvlText w:val="%1."/>
      <w:lvlJc w:val="left"/>
      <w:pPr>
        <w:ind w:left="360" w:hanging="360"/>
      </w:pPr>
      <w:rPr>
        <w:rFonts w:hint="default"/>
        <w:b/>
        <w:bCs/>
        <w:color w:val="0000FF"/>
        <w:sz w:val="28"/>
        <w:szCs w:val="28"/>
        <w:u w:val="none"/>
        <w:lang w:val="en-US"/>
      </w:rPr>
    </w:lvl>
    <w:lvl w:ilvl="1">
      <w:start w:val="1"/>
      <w:numFmt w:val="decimal"/>
      <w:pStyle w:val="4"/>
      <w:lvlText w:val="%1.%2."/>
      <w:lvlJc w:val="left"/>
      <w:pPr>
        <w:ind w:left="432" w:hanging="432"/>
      </w:pPr>
      <w:rPr>
        <w:rFonts w:asciiTheme="minorBidi" w:hAnsiTheme="minorBidi" w:cstheme="minorBidi" w:hint="default"/>
        <w:b w:val="0"/>
        <w:bCs w:val="0"/>
        <w:i w:val="0"/>
        <w:iCs w:val="0"/>
        <w:color w:val="auto"/>
        <w:sz w:val="24"/>
        <w:szCs w:val="24"/>
        <w:u w:val="none"/>
        <w:lang w:val="en-US"/>
      </w:rPr>
    </w:lvl>
    <w:lvl w:ilvl="2">
      <w:start w:val="1"/>
      <w:numFmt w:val="decimal"/>
      <w:lvlText w:val="%1.%2.%3."/>
      <w:lvlJc w:val="left"/>
      <w:pPr>
        <w:ind w:left="1354" w:hanging="504"/>
      </w:pPr>
      <w:rPr>
        <w:rFonts w:ascii="Arial" w:hAnsi="Arial" w:cs="Arial" w:hint="default"/>
        <w:b w:val="0"/>
        <w:bCs w:val="0"/>
        <w:color w:val="auto"/>
        <w:sz w:val="24"/>
        <w:szCs w:val="24"/>
        <w:u w:val="none"/>
        <w:lang w:val="en-US"/>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sz w:val="24"/>
        <w:szCs w:val="24"/>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1B7CE5"/>
    <w:multiLevelType w:val="multilevel"/>
    <w:tmpl w:val="D5D61342"/>
    <w:lvl w:ilvl="0">
      <w:start w:val="1"/>
      <w:numFmt w:val="decimal"/>
      <w:lvlText w:val="%1."/>
      <w:lvlJc w:val="left"/>
      <w:pPr>
        <w:ind w:left="720" w:hanging="360"/>
      </w:pPr>
      <w:rPr>
        <w:b/>
        <w:bCs/>
      </w:rPr>
    </w:lvl>
    <w:lvl w:ilvl="1">
      <w:start w:val="1"/>
      <w:numFmt w:val="decimal"/>
      <w:isLgl/>
      <w:lvlText w:val="%1.%2"/>
      <w:lvlJc w:val="left"/>
      <w:pPr>
        <w:ind w:left="1106" w:hanging="360"/>
      </w:pPr>
      <w:rPr>
        <w:rFonts w:hint="default"/>
        <w:b/>
        <w:bCs/>
      </w:rPr>
    </w:lvl>
    <w:lvl w:ilvl="2">
      <w:start w:val="1"/>
      <w:numFmt w:val="decimal"/>
      <w:isLgl/>
      <w:lvlText w:val="%1.%2.%3"/>
      <w:lvlJc w:val="left"/>
      <w:pPr>
        <w:ind w:left="1852"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84"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4116" w:hanging="1440"/>
      </w:pPr>
      <w:rPr>
        <w:rFonts w:hint="default"/>
      </w:rPr>
    </w:lvl>
    <w:lvl w:ilvl="7">
      <w:start w:val="1"/>
      <w:numFmt w:val="decimal"/>
      <w:isLgl/>
      <w:lvlText w:val="%1.%2.%3.%4.%5.%6.%7.%8"/>
      <w:lvlJc w:val="left"/>
      <w:pPr>
        <w:ind w:left="4502" w:hanging="1440"/>
      </w:pPr>
      <w:rPr>
        <w:rFonts w:hint="default"/>
      </w:rPr>
    </w:lvl>
    <w:lvl w:ilvl="8">
      <w:start w:val="1"/>
      <w:numFmt w:val="decimal"/>
      <w:isLgl/>
      <w:lvlText w:val="%1.%2.%3.%4.%5.%6.%7.%8.%9"/>
      <w:lvlJc w:val="left"/>
      <w:pPr>
        <w:ind w:left="5248" w:hanging="1800"/>
      </w:pPr>
      <w:rPr>
        <w:rFonts w:hint="default"/>
      </w:rPr>
    </w:lvl>
  </w:abstractNum>
  <w:abstractNum w:abstractNumId="2" w15:restartNumberingAfterBreak="0">
    <w:nsid w:val="79853391"/>
    <w:multiLevelType w:val="hybridMultilevel"/>
    <w:tmpl w:val="63120CCE"/>
    <w:lvl w:ilvl="0" w:tplc="46B4BF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0B"/>
    <w:rsid w:val="00016E24"/>
    <w:rsid w:val="0006527D"/>
    <w:rsid w:val="0008114A"/>
    <w:rsid w:val="00097F4B"/>
    <w:rsid w:val="000A54CC"/>
    <w:rsid w:val="000D3802"/>
    <w:rsid w:val="000E0063"/>
    <w:rsid w:val="000E2749"/>
    <w:rsid w:val="000E3A36"/>
    <w:rsid w:val="001075D7"/>
    <w:rsid w:val="0013508A"/>
    <w:rsid w:val="00164647"/>
    <w:rsid w:val="00165E67"/>
    <w:rsid w:val="0017071E"/>
    <w:rsid w:val="002028E5"/>
    <w:rsid w:val="002702AB"/>
    <w:rsid w:val="002B1543"/>
    <w:rsid w:val="002C194D"/>
    <w:rsid w:val="002E2CBF"/>
    <w:rsid w:val="002F7ACC"/>
    <w:rsid w:val="003567C5"/>
    <w:rsid w:val="00370BAD"/>
    <w:rsid w:val="0038726E"/>
    <w:rsid w:val="003A144D"/>
    <w:rsid w:val="003C5D67"/>
    <w:rsid w:val="003E4AA6"/>
    <w:rsid w:val="00416D77"/>
    <w:rsid w:val="0042237A"/>
    <w:rsid w:val="004534B0"/>
    <w:rsid w:val="004647B3"/>
    <w:rsid w:val="00475715"/>
    <w:rsid w:val="004A2C2F"/>
    <w:rsid w:val="004C5F91"/>
    <w:rsid w:val="004F171B"/>
    <w:rsid w:val="0050317E"/>
    <w:rsid w:val="00516E9C"/>
    <w:rsid w:val="00542AB0"/>
    <w:rsid w:val="00657EB3"/>
    <w:rsid w:val="006732F2"/>
    <w:rsid w:val="00697696"/>
    <w:rsid w:val="006A4B0B"/>
    <w:rsid w:val="006A740C"/>
    <w:rsid w:val="006D36D2"/>
    <w:rsid w:val="006F1F9C"/>
    <w:rsid w:val="007D2F7E"/>
    <w:rsid w:val="007D4972"/>
    <w:rsid w:val="007D7B7F"/>
    <w:rsid w:val="007F4002"/>
    <w:rsid w:val="008647EA"/>
    <w:rsid w:val="008928F0"/>
    <w:rsid w:val="008A6B5B"/>
    <w:rsid w:val="008B007F"/>
    <w:rsid w:val="008B70AD"/>
    <w:rsid w:val="008E5F1A"/>
    <w:rsid w:val="008F3378"/>
    <w:rsid w:val="008F431E"/>
    <w:rsid w:val="00901F71"/>
    <w:rsid w:val="00916E04"/>
    <w:rsid w:val="009F03E8"/>
    <w:rsid w:val="00A23B91"/>
    <w:rsid w:val="00A624E5"/>
    <w:rsid w:val="00AD0017"/>
    <w:rsid w:val="00B01647"/>
    <w:rsid w:val="00B136C6"/>
    <w:rsid w:val="00B63CB2"/>
    <w:rsid w:val="00BD0B38"/>
    <w:rsid w:val="00C2217F"/>
    <w:rsid w:val="00C32880"/>
    <w:rsid w:val="00C34322"/>
    <w:rsid w:val="00C54359"/>
    <w:rsid w:val="00C56826"/>
    <w:rsid w:val="00C66F81"/>
    <w:rsid w:val="00C821A6"/>
    <w:rsid w:val="00C86732"/>
    <w:rsid w:val="00CB4D7C"/>
    <w:rsid w:val="00CC2B44"/>
    <w:rsid w:val="00CC4C6D"/>
    <w:rsid w:val="00CD7EEE"/>
    <w:rsid w:val="00D039F7"/>
    <w:rsid w:val="00D215F8"/>
    <w:rsid w:val="00D258CD"/>
    <w:rsid w:val="00D36FAE"/>
    <w:rsid w:val="00DA5ADA"/>
    <w:rsid w:val="00DD0D67"/>
    <w:rsid w:val="00DD2D93"/>
    <w:rsid w:val="00DE136D"/>
    <w:rsid w:val="00E27CB1"/>
    <w:rsid w:val="00E31BF0"/>
    <w:rsid w:val="00E35F0B"/>
    <w:rsid w:val="00E745E0"/>
    <w:rsid w:val="00E74ABA"/>
    <w:rsid w:val="00E91D4D"/>
    <w:rsid w:val="00EB3D22"/>
    <w:rsid w:val="00EC35C0"/>
    <w:rsid w:val="00F66F4A"/>
    <w:rsid w:val="00F858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CA5E91"/>
  <w15:docId w15:val="{1857BEDA-3EFD-4123-8C00-F1CF1C37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qFormat/>
    <w:rsid w:val="00A624E5"/>
    <w:pPr>
      <w:keepNext/>
      <w:jc w:val="center"/>
      <w:outlineLvl w:val="0"/>
    </w:pPr>
    <w:rPr>
      <w:rFonts w:cs="David"/>
      <w:b/>
      <w:bCs/>
      <w:i/>
      <w:iCs/>
      <w:u w:val="single"/>
    </w:rPr>
  </w:style>
  <w:style w:type="paragraph" w:styleId="20">
    <w:name w:val="heading 2"/>
    <w:basedOn w:val="a"/>
    <w:next w:val="a"/>
    <w:qFormat/>
    <w:rsid w:val="00A624E5"/>
    <w:pPr>
      <w:keepNext/>
      <w:outlineLvl w:val="1"/>
    </w:pPr>
    <w:rPr>
      <w:rFonts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Body Text"/>
    <w:basedOn w:val="a"/>
    <w:rsid w:val="00A624E5"/>
    <w:rPr>
      <w:rFonts w:cs="David"/>
      <w:b/>
      <w:bCs/>
      <w:i/>
      <w:iCs/>
    </w:rPr>
  </w:style>
  <w:style w:type="paragraph" w:styleId="a7">
    <w:name w:val="Balloon Text"/>
    <w:basedOn w:val="a"/>
    <w:semiHidden/>
    <w:rsid w:val="008F431E"/>
    <w:rPr>
      <w:rFonts w:ascii="Tahoma" w:hAnsi="Tahoma" w:cs="Tahoma"/>
      <w:sz w:val="16"/>
      <w:szCs w:val="16"/>
    </w:rPr>
  </w:style>
  <w:style w:type="character" w:styleId="Hyperlink">
    <w:name w:val="Hyperlink"/>
    <w:rsid w:val="00EC35C0"/>
    <w:rPr>
      <w:color w:val="0000FF"/>
      <w:u w:val="single"/>
    </w:rPr>
  </w:style>
  <w:style w:type="character" w:customStyle="1" w:styleId="a5">
    <w:name w:val="כותרת תחתונה תו"/>
    <w:link w:val="a4"/>
    <w:uiPriority w:val="99"/>
    <w:rsid w:val="00C86732"/>
    <w:rPr>
      <w:sz w:val="24"/>
      <w:szCs w:val="24"/>
      <w:lang w:eastAsia="he-IL"/>
    </w:rPr>
  </w:style>
  <w:style w:type="character" w:styleId="a8">
    <w:name w:val="page number"/>
    <w:unhideWhenUsed/>
    <w:rsid w:val="00C86732"/>
  </w:style>
  <w:style w:type="paragraph" w:customStyle="1" w:styleId="2">
    <w:name w:val="סגנון2"/>
    <w:basedOn w:val="a"/>
    <w:rsid w:val="008F3378"/>
    <w:pPr>
      <w:numPr>
        <w:numId w:val="3"/>
      </w:numPr>
    </w:pPr>
  </w:style>
  <w:style w:type="paragraph" w:customStyle="1" w:styleId="4">
    <w:name w:val="סגנון4"/>
    <w:basedOn w:val="a"/>
    <w:rsid w:val="008F3378"/>
    <w:pPr>
      <w:numPr>
        <w:ilvl w:val="1"/>
        <w:numId w:val="3"/>
      </w:numPr>
    </w:pPr>
  </w:style>
  <w:style w:type="paragraph" w:styleId="a9">
    <w:name w:val="List Paragraph"/>
    <w:basedOn w:val="a"/>
    <w:uiPriority w:val="34"/>
    <w:qFormat/>
    <w:rsid w:val="008E5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577">
      <w:bodyDiv w:val="1"/>
      <w:marLeft w:val="0"/>
      <w:marRight w:val="0"/>
      <w:marTop w:val="0"/>
      <w:marBottom w:val="0"/>
      <w:divBdr>
        <w:top w:val="none" w:sz="0" w:space="0" w:color="auto"/>
        <w:left w:val="none" w:sz="0" w:space="0" w:color="auto"/>
        <w:bottom w:val="none" w:sz="0" w:space="0" w:color="auto"/>
        <w:right w:val="none" w:sz="0" w:space="0" w:color="auto"/>
      </w:divBdr>
    </w:div>
    <w:div w:id="56364752">
      <w:bodyDiv w:val="1"/>
      <w:marLeft w:val="0"/>
      <w:marRight w:val="0"/>
      <w:marTop w:val="0"/>
      <w:marBottom w:val="0"/>
      <w:divBdr>
        <w:top w:val="none" w:sz="0" w:space="0" w:color="auto"/>
        <w:left w:val="none" w:sz="0" w:space="0" w:color="auto"/>
        <w:bottom w:val="none" w:sz="0" w:space="0" w:color="auto"/>
        <w:right w:val="none" w:sz="0" w:space="0" w:color="auto"/>
      </w:divBdr>
    </w:div>
    <w:div w:id="936596312">
      <w:bodyDiv w:val="1"/>
      <w:marLeft w:val="0"/>
      <w:marRight w:val="0"/>
      <w:marTop w:val="0"/>
      <w:marBottom w:val="0"/>
      <w:divBdr>
        <w:top w:val="none" w:sz="0" w:space="0" w:color="auto"/>
        <w:left w:val="none" w:sz="0" w:space="0" w:color="auto"/>
        <w:bottom w:val="none" w:sz="0" w:space="0" w:color="auto"/>
        <w:right w:val="none" w:sz="0" w:space="0" w:color="auto"/>
      </w:divBdr>
      <w:divsChild>
        <w:div w:id="253826564">
          <w:marLeft w:val="0"/>
          <w:marRight w:val="0"/>
          <w:marTop w:val="0"/>
          <w:marBottom w:val="0"/>
          <w:divBdr>
            <w:top w:val="none" w:sz="0" w:space="0" w:color="auto"/>
            <w:left w:val="none" w:sz="0" w:space="0" w:color="auto"/>
            <w:bottom w:val="none" w:sz="0" w:space="0" w:color="auto"/>
            <w:right w:val="none" w:sz="0" w:space="0" w:color="auto"/>
          </w:divBdr>
          <w:divsChild>
            <w:div w:id="5730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itY\AppData\Local\Microsoft\Windows\Temporary%20Internet%20Files\Content.Outlook\WS9TSTT0\&#1504;&#1505;&#1508;&#1495;%20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B847-79A0-4B91-91D3-7285234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נספח 4</Template>
  <TotalTime>11</TotalTime>
  <Pages>2</Pages>
  <Words>556</Words>
  <Characters>2717</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‏י"ט כסלו, תשס"ב</vt:lpstr>
    </vt:vector>
  </TitlesOfParts>
  <Company>tamas</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‏י"ט כסלו, תשס"ב</dc:title>
  <dc:creator>גלית יעקובוב</dc:creator>
  <cp:lastModifiedBy>שרית אבירם</cp:lastModifiedBy>
  <cp:revision>4</cp:revision>
  <cp:lastPrinted>2011-11-01T10:54:00Z</cp:lastPrinted>
  <dcterms:created xsi:type="dcterms:W3CDTF">2024-12-02T10:13:00Z</dcterms:created>
  <dcterms:modified xsi:type="dcterms:W3CDTF">2024-12-26T06:34:00Z</dcterms:modified>
</cp:coreProperties>
</file>