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1387C" w14:textId="77777777" w:rsidR="00CB133E" w:rsidRDefault="00CB133E">
      <w:pPr>
        <w:pStyle w:val="a6"/>
        <w:rPr>
          <w:rFonts w:hint="cs"/>
          <w:rtl/>
        </w:rPr>
      </w:pPr>
    </w:p>
    <w:p w14:paraId="76C0BD97" w14:textId="77777777" w:rsidR="00CB133E" w:rsidRDefault="00CB133E">
      <w:pPr>
        <w:pStyle w:val="a6"/>
        <w:rPr>
          <w:rtl/>
        </w:rPr>
      </w:pPr>
      <w:r>
        <w:rPr>
          <w:rtl/>
        </w:rPr>
        <w:t>מדינת ישראל</w:t>
      </w:r>
    </w:p>
    <w:p w14:paraId="5B36542C" w14:textId="77777777" w:rsidR="00CB133E" w:rsidRDefault="00CB133E">
      <w:pPr>
        <w:pStyle w:val="a6"/>
        <w:rPr>
          <w:szCs w:val="24"/>
          <w:rtl/>
        </w:rPr>
      </w:pPr>
      <w:r>
        <w:rPr>
          <w:rtl/>
        </w:rPr>
        <w:t>האוצר - אגף התקציבים</w:t>
      </w:r>
    </w:p>
    <w:p w14:paraId="4E4801D0" w14:textId="77777777" w:rsidR="00CB133E" w:rsidRDefault="00CB133E">
      <w:pPr>
        <w:rPr>
          <w:rtl/>
        </w:rPr>
      </w:pPr>
    </w:p>
    <w:p w14:paraId="3B7A5CA2" w14:textId="77777777" w:rsidR="00CB133E" w:rsidRDefault="00CB133E" w:rsidP="006A7A7A">
      <w:pPr>
        <w:tabs>
          <w:tab w:val="left" w:pos="5613"/>
        </w:tabs>
        <w:rPr>
          <w:rtl/>
        </w:rPr>
      </w:pPr>
    </w:p>
    <w:p w14:paraId="6040850C" w14:textId="18E11EB4" w:rsidR="00CB133E" w:rsidRDefault="00CB133E" w:rsidP="006A7A7A">
      <w:pPr>
        <w:tabs>
          <w:tab w:val="left" w:pos="5613"/>
        </w:tabs>
        <w:rPr>
          <w:rtl/>
        </w:rPr>
      </w:pPr>
      <w:r>
        <w:rPr>
          <w:rtl/>
        </w:rPr>
        <w:tab/>
      </w:r>
      <w:bookmarkStart w:id="0" w:name="TAKZIV8"/>
      <w:r w:rsidR="00C937A4">
        <w:rPr>
          <w:rtl/>
        </w:rPr>
        <w:t>תקציב פיתוח</w:t>
      </w:r>
      <w:bookmarkEnd w:id="0"/>
    </w:p>
    <w:p w14:paraId="263D012A" w14:textId="77777777" w:rsidR="00CB133E" w:rsidRPr="00161010" w:rsidRDefault="00CB133E" w:rsidP="006A7A7A">
      <w:pPr>
        <w:tabs>
          <w:tab w:val="left" w:pos="5613"/>
        </w:tabs>
        <w:rPr>
          <w:rFonts w:cs="FrankRuehl"/>
          <w:sz w:val="26"/>
          <w:szCs w:val="26"/>
          <w:rtl/>
        </w:rPr>
      </w:pPr>
      <w:r>
        <w:rPr>
          <w:rtl/>
        </w:rPr>
        <w:tab/>
      </w:r>
    </w:p>
    <w:p w14:paraId="0D628001"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16D54E61" w14:textId="0672137D"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בקשה מספר </w:t>
      </w:r>
      <w:bookmarkStart w:id="2" w:name="TAKZIV4"/>
      <w:r w:rsidR="00C937A4">
        <w:rPr>
          <w:rFonts w:cs="FrankRuehl"/>
          <w:sz w:val="26"/>
          <w:szCs w:val="26"/>
          <w:rtl/>
        </w:rPr>
        <w:t>209</w:t>
      </w:r>
      <w:bookmarkEnd w:id="2"/>
      <w:r w:rsidRPr="00161010">
        <w:rPr>
          <w:rFonts w:cs="FrankRuehl"/>
          <w:sz w:val="26"/>
          <w:szCs w:val="26"/>
          <w:rtl/>
        </w:rPr>
        <w:t xml:space="preserve"> </w:t>
      </w:r>
      <w:r w:rsidR="000A79C2">
        <w:rPr>
          <w:rFonts w:cs="FrankRuehl" w:hint="cs"/>
          <w:sz w:val="26"/>
          <w:szCs w:val="26"/>
          <w:rtl/>
        </w:rPr>
        <w:t>-</w:t>
      </w:r>
      <w:r w:rsidRPr="00161010">
        <w:rPr>
          <w:rFonts w:cs="FrankRuehl"/>
          <w:sz w:val="26"/>
          <w:szCs w:val="26"/>
          <w:rtl/>
        </w:rPr>
        <w:t xml:space="preserve"> </w:t>
      </w:r>
      <w:bookmarkStart w:id="3" w:name="TAKZIV3"/>
      <w:r w:rsidR="00C937A4">
        <w:rPr>
          <w:rFonts w:cs="FrankRuehl"/>
          <w:sz w:val="26"/>
          <w:szCs w:val="26"/>
          <w:rtl/>
        </w:rPr>
        <w:t>51</w:t>
      </w:r>
      <w:bookmarkEnd w:id="3"/>
      <w:r w:rsidR="000A79C2">
        <w:rPr>
          <w:rFonts w:cs="FrankRuehl" w:hint="cs"/>
          <w:sz w:val="26"/>
          <w:szCs w:val="26"/>
          <w:rtl/>
        </w:rPr>
        <w:t>, 04-220</w:t>
      </w:r>
    </w:p>
    <w:p w14:paraId="102C9291" w14:textId="17C9FF03"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w:t>
      </w:r>
      <w:proofErr w:type="spellStart"/>
      <w:r w:rsidRPr="00161010">
        <w:rPr>
          <w:rFonts w:cs="FrankRuehl"/>
          <w:sz w:val="26"/>
          <w:szCs w:val="26"/>
          <w:rtl/>
        </w:rPr>
        <w:t>לועדה</w:t>
      </w:r>
      <w:proofErr w:type="spellEnd"/>
      <w:r w:rsidRPr="00161010">
        <w:rPr>
          <w:rFonts w:cs="FrankRuehl"/>
          <w:sz w:val="26"/>
          <w:szCs w:val="26"/>
          <w:rtl/>
        </w:rPr>
        <w:t xml:space="preserve">: </w:t>
      </w:r>
      <w:bookmarkStart w:id="4" w:name="TAKZIV11"/>
      <w:r w:rsidR="00C937A4">
        <w:rPr>
          <w:rFonts w:cs="FrankRuehl"/>
          <w:sz w:val="26"/>
          <w:szCs w:val="26"/>
          <w:rtl/>
        </w:rPr>
        <w:t>111</w:t>
      </w:r>
      <w:bookmarkEnd w:id="4"/>
      <w:r w:rsidR="000A79C2">
        <w:rPr>
          <w:rFonts w:cs="FrankRuehl" w:hint="cs"/>
          <w:sz w:val="26"/>
          <w:szCs w:val="26"/>
          <w:rtl/>
        </w:rPr>
        <w:t xml:space="preserve"> עד 112</w:t>
      </w:r>
      <w:r w:rsidRPr="00161010">
        <w:rPr>
          <w:rFonts w:cs="FrankRuehl"/>
          <w:sz w:val="26"/>
          <w:szCs w:val="26"/>
          <w:rtl/>
        </w:rPr>
        <w:tab/>
      </w:r>
    </w:p>
    <w:p w14:paraId="18FF886A" w14:textId="77777777" w:rsidR="00CB133E" w:rsidRPr="00161010" w:rsidRDefault="00CB133E">
      <w:pPr>
        <w:rPr>
          <w:rFonts w:cs="FrankRuehl"/>
          <w:sz w:val="26"/>
          <w:szCs w:val="26"/>
          <w:rtl/>
        </w:rPr>
      </w:pPr>
      <w:r w:rsidRPr="00161010">
        <w:rPr>
          <w:rFonts w:cs="FrankRuehl"/>
          <w:sz w:val="26"/>
          <w:szCs w:val="26"/>
          <w:rtl/>
        </w:rPr>
        <w:t>לכבוד,</w:t>
      </w:r>
    </w:p>
    <w:p w14:paraId="1E2105C7" w14:textId="77777777" w:rsidR="00CB133E" w:rsidRPr="00161010" w:rsidRDefault="00CB133E">
      <w:pPr>
        <w:rPr>
          <w:rFonts w:cs="FrankRuehl"/>
          <w:sz w:val="26"/>
          <w:szCs w:val="26"/>
          <w:rtl/>
        </w:rPr>
      </w:pPr>
      <w:r w:rsidRPr="00161010">
        <w:rPr>
          <w:rFonts w:cs="FrankRuehl"/>
          <w:sz w:val="26"/>
          <w:szCs w:val="26"/>
          <w:rtl/>
        </w:rPr>
        <w:t>יו"ר ועדת הכספים</w:t>
      </w:r>
    </w:p>
    <w:p w14:paraId="73E770C4" w14:textId="77777777" w:rsidR="00CB133E" w:rsidRPr="00161010" w:rsidRDefault="00CB133E">
      <w:pPr>
        <w:rPr>
          <w:rFonts w:cs="FrankRuehl"/>
          <w:sz w:val="26"/>
          <w:szCs w:val="26"/>
          <w:rtl/>
        </w:rPr>
      </w:pPr>
      <w:r w:rsidRPr="00161010">
        <w:rPr>
          <w:rFonts w:cs="FrankRuehl"/>
          <w:sz w:val="26"/>
          <w:szCs w:val="26"/>
          <w:rtl/>
        </w:rPr>
        <w:t>של הכנסת</w:t>
      </w:r>
    </w:p>
    <w:p w14:paraId="10DE085E" w14:textId="77777777" w:rsidR="00CB133E" w:rsidRPr="00161010" w:rsidRDefault="00CB133E">
      <w:pPr>
        <w:rPr>
          <w:rFonts w:cs="FrankRuehl"/>
          <w:sz w:val="26"/>
          <w:szCs w:val="26"/>
          <w:rtl/>
        </w:rPr>
      </w:pPr>
    </w:p>
    <w:p w14:paraId="30F3A6B0" w14:textId="77777777" w:rsidR="00CB133E" w:rsidRPr="00161010" w:rsidRDefault="00CB133E">
      <w:pPr>
        <w:rPr>
          <w:rFonts w:cs="FrankRuehl"/>
          <w:sz w:val="26"/>
          <w:szCs w:val="26"/>
          <w:rtl/>
        </w:rPr>
      </w:pPr>
      <w:r w:rsidRPr="00161010">
        <w:rPr>
          <w:rFonts w:cs="FrankRuehl"/>
          <w:sz w:val="26"/>
          <w:szCs w:val="26"/>
          <w:rtl/>
        </w:rPr>
        <w:t>א.נ.,</w:t>
      </w:r>
    </w:p>
    <w:p w14:paraId="0E4E6BAF" w14:textId="77777777" w:rsidR="00CB133E" w:rsidRPr="00161010" w:rsidRDefault="00CB133E">
      <w:pPr>
        <w:rPr>
          <w:rFonts w:cs="FrankRuehl"/>
          <w:sz w:val="26"/>
          <w:szCs w:val="26"/>
          <w:rtl/>
        </w:rPr>
      </w:pPr>
    </w:p>
    <w:p w14:paraId="7185BF76" w14:textId="59CACAB2"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C937A4">
        <w:rPr>
          <w:rFonts w:cs="FrankRuehl"/>
          <w:sz w:val="26"/>
          <w:rtl/>
        </w:rPr>
        <w:t>2026</w:t>
      </w:r>
      <w:bookmarkEnd w:id="5"/>
      <w:r w:rsidRPr="00161010">
        <w:rPr>
          <w:rFonts w:cs="FrankRuehl"/>
          <w:sz w:val="26"/>
          <w:rtl/>
        </w:rPr>
        <w:t xml:space="preserve">    </w:t>
      </w:r>
    </w:p>
    <w:p w14:paraId="330EF61F" w14:textId="77777777" w:rsidR="00CB133E" w:rsidRPr="00161010" w:rsidRDefault="00CB133E">
      <w:pPr>
        <w:rPr>
          <w:rFonts w:cs="FrankRuehl"/>
          <w:sz w:val="26"/>
          <w:szCs w:val="26"/>
          <w:rtl/>
        </w:rPr>
      </w:pPr>
    </w:p>
    <w:p w14:paraId="6004DE99" w14:textId="722598B3" w:rsidR="00CB133E" w:rsidRPr="00161010" w:rsidRDefault="00CB133E" w:rsidP="000A79C2">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bookmarkStart w:id="6" w:name="TAKZIV30"/>
      <w:r w:rsidR="00C937A4">
        <w:rPr>
          <w:rFonts w:cs="FrankRuehl"/>
          <w:sz w:val="26"/>
          <w:szCs w:val="26"/>
          <w:rtl/>
        </w:rPr>
        <w:t>125,000</w:t>
      </w:r>
      <w:bookmarkEnd w:id="6"/>
      <w:r w:rsidRPr="00161010">
        <w:rPr>
          <w:rFonts w:cs="FrankRuehl"/>
          <w:sz w:val="26"/>
          <w:szCs w:val="26"/>
          <w:rtl/>
        </w:rPr>
        <w:t xml:space="preserve"> אלפי שקלים חדשים מסעיף </w:t>
      </w:r>
      <w:bookmarkStart w:id="7" w:name="TAKZIV3_1"/>
      <w:bookmarkEnd w:id="7"/>
      <w:r w:rsidR="000A79C2">
        <w:rPr>
          <w:rFonts w:cs="FrankRuehl" w:hint="cs"/>
          <w:sz w:val="26"/>
          <w:szCs w:val="26"/>
          <w:rtl/>
        </w:rPr>
        <w:t>51</w:t>
      </w:r>
      <w:r w:rsidRPr="00161010">
        <w:rPr>
          <w:rFonts w:cs="FrankRuehl"/>
          <w:sz w:val="26"/>
          <w:szCs w:val="26"/>
          <w:rtl/>
        </w:rPr>
        <w:t xml:space="preserve"> - </w:t>
      </w:r>
      <w:bookmarkStart w:id="8" w:name="TAKZIV6"/>
      <w:r w:rsidR="00C937A4">
        <w:rPr>
          <w:rFonts w:cs="FrankRuehl"/>
          <w:sz w:val="26"/>
          <w:szCs w:val="26"/>
          <w:rtl/>
        </w:rPr>
        <w:t>דיור ממשלתי</w:t>
      </w:r>
      <w:bookmarkEnd w:id="8"/>
      <w:r w:rsidRPr="00161010">
        <w:rPr>
          <w:rFonts w:cs="FrankRuehl"/>
          <w:sz w:val="26"/>
          <w:szCs w:val="26"/>
          <w:rtl/>
        </w:rPr>
        <w:t xml:space="preserve">, לסעיף 47 - רזרבה כללית, בהתאם לסעיף 11 (ה) 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w:t>
      </w:r>
    </w:p>
    <w:p w14:paraId="35DC7D88" w14:textId="77777777" w:rsidR="00CB133E" w:rsidRPr="00161010" w:rsidRDefault="00CB133E" w:rsidP="000A79C2">
      <w:pPr>
        <w:jc w:val="both"/>
        <w:rPr>
          <w:rFonts w:cs="FrankRuehl"/>
          <w:sz w:val="26"/>
          <w:szCs w:val="26"/>
          <w:rtl/>
        </w:rPr>
      </w:pPr>
    </w:p>
    <w:p w14:paraId="3966212A" w14:textId="06480B83" w:rsidR="00CB133E" w:rsidRPr="00161010" w:rsidRDefault="00CB133E" w:rsidP="000A79C2">
      <w:pPr>
        <w:jc w:val="both"/>
        <w:rPr>
          <w:rFonts w:cs="FrankRuehl"/>
          <w:sz w:val="26"/>
          <w:szCs w:val="26"/>
          <w:rtl/>
        </w:rPr>
      </w:pPr>
      <w:r w:rsidRPr="00161010">
        <w:rPr>
          <w:rFonts w:cs="FrankRuehl"/>
          <w:sz w:val="26"/>
          <w:szCs w:val="26"/>
          <w:rtl/>
        </w:rPr>
        <w:t xml:space="preserve">כמו כן, מבקש שר האוצר את אישורה של ועדת הכספים של הכנסת להעברת סכום של </w:t>
      </w:r>
      <w:r w:rsidR="000A79C2">
        <w:rPr>
          <w:rFonts w:cs="FrankRuehl"/>
          <w:sz w:val="26"/>
          <w:szCs w:val="26"/>
          <w:rtl/>
        </w:rPr>
        <w:t>125,000</w:t>
      </w:r>
      <w:r w:rsidR="000A79C2" w:rsidRPr="00161010">
        <w:rPr>
          <w:rFonts w:cs="FrankRuehl"/>
          <w:sz w:val="26"/>
          <w:szCs w:val="26"/>
          <w:rtl/>
        </w:rPr>
        <w:t xml:space="preserve"> </w:t>
      </w:r>
      <w:r w:rsidRPr="00161010">
        <w:rPr>
          <w:rFonts w:cs="FrankRuehl"/>
          <w:sz w:val="26"/>
          <w:szCs w:val="26"/>
          <w:rtl/>
        </w:rPr>
        <w:t xml:space="preserve">אלפי שקלים חדשים מסעיף 47 - רזרבה כללית לסעיף </w:t>
      </w:r>
      <w:r w:rsidR="000A79C2">
        <w:rPr>
          <w:rFonts w:ascii="FrankRuehl" w:hAnsi="FrankRuehl" w:cs="FrankRuehl"/>
          <w:sz w:val="26"/>
          <w:szCs w:val="26"/>
          <w:rtl/>
        </w:rPr>
        <w:t xml:space="preserve">04 </w:t>
      </w:r>
      <w:r w:rsidR="000A79C2">
        <w:rPr>
          <w:rFonts w:ascii="FrankRuehl" w:hAnsi="FrankRuehl" w:cs="FrankRuehl" w:hint="cs"/>
          <w:sz w:val="26"/>
          <w:szCs w:val="26"/>
          <w:rtl/>
        </w:rPr>
        <w:t>-</w:t>
      </w:r>
      <w:r w:rsidR="000A79C2">
        <w:rPr>
          <w:rFonts w:ascii="FrankRuehl" w:hAnsi="FrankRuehl" w:cs="FrankRuehl"/>
          <w:sz w:val="26"/>
          <w:szCs w:val="26"/>
          <w:rtl/>
        </w:rPr>
        <w:t xml:space="preserve"> משרד ראש הממשלה</w:t>
      </w:r>
      <w:r w:rsidR="000A79C2">
        <w:rPr>
          <w:rFonts w:cs="FrankRuehl" w:hint="cs"/>
          <w:sz w:val="26"/>
          <w:szCs w:val="26"/>
          <w:rtl/>
        </w:rPr>
        <w:t>,</w:t>
      </w:r>
      <w:r w:rsidRPr="00161010">
        <w:rPr>
          <w:rFonts w:cs="FrankRuehl"/>
          <w:sz w:val="26"/>
          <w:szCs w:val="26"/>
          <w:rtl/>
        </w:rPr>
        <w:t xml:space="preserve"> בהתאם לסעיף 12 (א)</w:t>
      </w:r>
      <w:r w:rsidR="000A79C2">
        <w:rPr>
          <w:rFonts w:cs="FrankRuehl" w:hint="cs"/>
          <w:sz w:val="26"/>
          <w:szCs w:val="26"/>
          <w:rtl/>
        </w:rPr>
        <w:t xml:space="preserve"> </w:t>
      </w:r>
      <w:r w:rsidRPr="00161010">
        <w:rPr>
          <w:rFonts w:cs="FrankRuehl"/>
          <w:sz w:val="26"/>
          <w:szCs w:val="26"/>
          <w:rtl/>
        </w:rPr>
        <w:t xml:space="preserve">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 כמפורט בתדפיס המצורף בזה.</w:t>
      </w:r>
    </w:p>
    <w:p w14:paraId="1E131A4F" w14:textId="0EED6F78" w:rsidR="00CB133E" w:rsidRDefault="00CB133E" w:rsidP="000A79C2">
      <w:pPr>
        <w:jc w:val="both"/>
        <w:rPr>
          <w:rFonts w:cs="FrankRuehl"/>
          <w:sz w:val="26"/>
          <w:szCs w:val="26"/>
          <w:rtl/>
        </w:rPr>
      </w:pPr>
    </w:p>
    <w:p w14:paraId="220A44B5" w14:textId="2BDF9C98" w:rsidR="000A79C2" w:rsidRDefault="000A79C2" w:rsidP="000A79C2">
      <w:pPr>
        <w:contextualSpacing/>
        <w:jc w:val="both"/>
        <w:rPr>
          <w:rFonts w:ascii="FrankRuehl" w:hAnsi="FrankRuehl" w:cs="FrankRuehl"/>
          <w:sz w:val="26"/>
          <w:szCs w:val="26"/>
          <w:lang w:eastAsia="en-US"/>
        </w:rPr>
      </w:pPr>
      <w:bookmarkStart w:id="9" w:name="DIVREY_HESBER"/>
      <w:bookmarkEnd w:id="9"/>
      <w:r>
        <w:rPr>
          <w:rFonts w:ascii="FrankRuehl" w:hAnsi="FrankRuehl" w:cs="FrankRuehl"/>
          <w:b/>
          <w:bCs/>
          <w:sz w:val="26"/>
          <w:szCs w:val="26"/>
          <w:rtl/>
        </w:rPr>
        <w:t xml:space="preserve">הבקשה דנה בסעיף תקציבי: </w:t>
      </w:r>
      <w:r>
        <w:rPr>
          <w:rFonts w:ascii="FrankRuehl" w:hAnsi="FrankRuehl" w:cs="FrankRuehl"/>
          <w:sz w:val="26"/>
          <w:szCs w:val="26"/>
          <w:rtl/>
        </w:rPr>
        <w:t xml:space="preserve">04 </w:t>
      </w:r>
      <w:r>
        <w:rPr>
          <w:rFonts w:ascii="FrankRuehl" w:hAnsi="FrankRuehl" w:cs="FrankRuehl" w:hint="cs"/>
          <w:sz w:val="26"/>
          <w:szCs w:val="26"/>
          <w:rtl/>
        </w:rPr>
        <w:t>-</w:t>
      </w:r>
      <w:r>
        <w:rPr>
          <w:rFonts w:ascii="FrankRuehl" w:hAnsi="FrankRuehl" w:cs="FrankRuehl"/>
          <w:sz w:val="26"/>
          <w:szCs w:val="26"/>
          <w:rtl/>
        </w:rPr>
        <w:t xml:space="preserve"> משרד ראש הממשלה</w:t>
      </w:r>
    </w:p>
    <w:p w14:paraId="7EFAAA98" w14:textId="77777777" w:rsidR="000A79C2" w:rsidRDefault="000A79C2" w:rsidP="000A79C2">
      <w:pPr>
        <w:contextualSpacing/>
        <w:jc w:val="both"/>
        <w:rPr>
          <w:rFonts w:ascii="FrankRuehl" w:hAnsi="FrankRuehl" w:cs="FrankRuehl"/>
          <w:b/>
          <w:bCs/>
          <w:sz w:val="26"/>
          <w:szCs w:val="26"/>
        </w:rPr>
      </w:pPr>
    </w:p>
    <w:p w14:paraId="716F7710" w14:textId="77777777" w:rsidR="000A79C2" w:rsidRDefault="000A79C2" w:rsidP="000A79C2">
      <w:pPr>
        <w:contextualSpacing/>
        <w:jc w:val="both"/>
        <w:rPr>
          <w:rFonts w:ascii="FrankRuehl" w:hAnsi="FrankRuehl" w:cs="FrankRuehl"/>
          <w:sz w:val="26"/>
          <w:szCs w:val="26"/>
          <w:rtl/>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5C3785BD" w14:textId="72C62AD2" w:rsidR="000A79C2" w:rsidRDefault="000A79C2" w:rsidP="000A79C2">
      <w:pPr>
        <w:contextualSpacing/>
        <w:jc w:val="both"/>
        <w:rPr>
          <w:rFonts w:ascii="FrankRuehl" w:hAnsi="FrankRuehl" w:cs="FrankRuehl"/>
          <w:sz w:val="26"/>
          <w:szCs w:val="26"/>
          <w:rtl/>
        </w:rPr>
      </w:pPr>
      <w:r>
        <w:rPr>
          <w:rFonts w:ascii="FrankRuehl" w:hAnsi="FrankRuehl" w:cs="FrankRuehl"/>
          <w:sz w:val="26"/>
          <w:szCs w:val="26"/>
          <w:rtl/>
        </w:rPr>
        <w:t xml:space="preserve">הפניה התקציבית נועדה לתקצוב סך של 125,000 אלפי ש"ח בהוצאה וסך של 132,435 אלפי ש"ח בהרשאה להתחייב בתקציב משרד ראש הממשלה </w:t>
      </w:r>
      <w:r>
        <w:rPr>
          <w:rFonts w:ascii="FrankRuehl" w:hAnsi="FrankRuehl" w:cs="FrankRuehl" w:hint="cs"/>
          <w:sz w:val="26"/>
          <w:szCs w:val="26"/>
          <w:rtl/>
        </w:rPr>
        <w:t>עבור</w:t>
      </w:r>
      <w:r>
        <w:rPr>
          <w:rFonts w:ascii="FrankRuehl" w:hAnsi="FrankRuehl" w:cs="FrankRuehl"/>
          <w:sz w:val="26"/>
          <w:szCs w:val="26"/>
          <w:rtl/>
        </w:rPr>
        <w:t xml:space="preserve"> תקציב משרד ההתיישבות עבור יישום החלטות ממשלה, כמפורט בדברי ההסבר, ביניהן החלטת ממשלה מס' 3971 מיום 10.03.2026 שעניינה "יישום הסכמים קואליציוניים בשנת הכספים 2026", בהתאם להסכמים שהוקראו בוועדה במהלך הדיונים לאישור חוק התקציב לשנת 2026.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1.1801, התקציב טרם הוקצה עד להשלמתן. כעת, משהושלמו הבדיקות המקצועיות והמשפטיות הנחוצות, מוצע להעביר את הסכומים האמורים, בהתאם להחלטות הממשלה האמורות וההסכמים האמורים, כמפורט להלן: סך של 77,947 אלפי ש"ח בהוצאה ו-39,463 אלפי ש"ח בהרשאה להתחייב אלפי ש"ח בהוצאה </w:t>
      </w:r>
      <w:r>
        <w:rPr>
          <w:rFonts w:ascii="FrankRuehl" w:hAnsi="FrankRuehl" w:cs="FrankRuehl" w:hint="cs"/>
          <w:sz w:val="26"/>
          <w:szCs w:val="26"/>
          <w:rtl/>
        </w:rPr>
        <w:t>עבור</w:t>
      </w:r>
      <w:r>
        <w:rPr>
          <w:rFonts w:ascii="FrankRuehl" w:hAnsi="FrankRuehl" w:cs="FrankRuehl"/>
          <w:sz w:val="26"/>
          <w:szCs w:val="26"/>
          <w:rtl/>
        </w:rPr>
        <w:t xml:space="preserve"> תרבות יהודית, החטיבה להתיישבות, וסיוע לרשויות מקומיות בשמירה על שטחי </w:t>
      </w:r>
      <w:r>
        <w:rPr>
          <w:rFonts w:ascii="FrankRuehl" w:hAnsi="FrankRuehl" w:cs="FrankRuehl"/>
          <w:sz w:val="26"/>
          <w:szCs w:val="26"/>
        </w:rPr>
        <w:t>C</w:t>
      </w:r>
      <w:r>
        <w:rPr>
          <w:rFonts w:ascii="FrankRuehl" w:hAnsi="FrankRuehl" w:cs="FrankRuehl"/>
          <w:sz w:val="26"/>
          <w:szCs w:val="26"/>
          <w:rtl/>
        </w:rPr>
        <w:t xml:space="preserve"> ביו"ש.</w:t>
      </w:r>
    </w:p>
    <w:p w14:paraId="59129746" w14:textId="77777777" w:rsidR="000A79C2" w:rsidRDefault="000A79C2" w:rsidP="000A79C2">
      <w:pPr>
        <w:contextualSpacing/>
        <w:jc w:val="both"/>
        <w:rPr>
          <w:rFonts w:ascii="FrankRuehl" w:hAnsi="FrankRuehl" w:cs="FrankRuehl"/>
          <w:sz w:val="26"/>
          <w:szCs w:val="26"/>
        </w:rPr>
      </w:pPr>
    </w:p>
    <w:p w14:paraId="39423CAF" w14:textId="77777777" w:rsidR="000A79C2" w:rsidRDefault="000A79C2" w:rsidP="000A79C2">
      <w:pPr>
        <w:contextualSpacing/>
        <w:jc w:val="both"/>
        <w:rPr>
          <w:rFonts w:ascii="FrankRuehl" w:hAnsi="FrankRuehl" w:cs="FrankRuehl"/>
          <w:b/>
          <w:bCs/>
          <w:sz w:val="26"/>
          <w:szCs w:val="26"/>
          <w:rtl/>
        </w:rPr>
      </w:pPr>
      <w:r>
        <w:rPr>
          <w:rFonts w:ascii="FrankRuehl" w:hAnsi="FrankRuehl" w:cs="FrankRuehl"/>
          <w:b/>
          <w:bCs/>
          <w:sz w:val="26"/>
          <w:szCs w:val="26"/>
          <w:rtl/>
        </w:rPr>
        <w:t>עיקרי הפנייה התקציבית בחלוקה לתוכניות מובאים להלן:</w:t>
      </w:r>
    </w:p>
    <w:p w14:paraId="3D1EE0C3" w14:textId="77777777" w:rsidR="000A79C2" w:rsidRDefault="000A79C2" w:rsidP="000A79C2">
      <w:pPr>
        <w:contextualSpacing/>
        <w:jc w:val="both"/>
        <w:rPr>
          <w:rFonts w:ascii="FrankRuehl" w:hAnsi="FrankRuehl" w:cs="FrankRuehl"/>
          <w:sz w:val="26"/>
          <w:szCs w:val="26"/>
          <w:rtl/>
        </w:rPr>
      </w:pPr>
    </w:p>
    <w:p w14:paraId="64A174DA" w14:textId="77777777" w:rsidR="000A79C2" w:rsidRDefault="000A79C2" w:rsidP="000A79C2">
      <w:pPr>
        <w:contextualSpacing/>
        <w:jc w:val="both"/>
        <w:rPr>
          <w:rFonts w:ascii="FrankRuehl" w:hAnsi="FrankRuehl" w:cs="FrankRuehl"/>
          <w:sz w:val="26"/>
          <w:szCs w:val="26"/>
          <w:rtl/>
        </w:rPr>
      </w:pPr>
      <w:r>
        <w:rPr>
          <w:rFonts w:ascii="FrankRuehl" w:hAnsi="FrankRuehl" w:cs="FrankRuehl"/>
          <w:b/>
          <w:bCs/>
          <w:sz w:val="26"/>
          <w:szCs w:val="26"/>
          <w:rtl/>
        </w:rPr>
        <w:t>045213 – משרד ההתיישבות</w:t>
      </w:r>
      <w:r>
        <w:rPr>
          <w:rFonts w:ascii="FrankRuehl" w:hAnsi="FrankRuehl" w:cs="FrankRuehl"/>
          <w:sz w:val="26"/>
          <w:szCs w:val="26"/>
          <w:rtl/>
        </w:rPr>
        <w:t xml:space="preserve"> – </w:t>
      </w:r>
      <w:r>
        <w:rPr>
          <w:rFonts w:ascii="FrankRuehl" w:hAnsi="FrankRuehl" w:cs="FrankRuehl"/>
          <w:b/>
          <w:bCs/>
          <w:sz w:val="26"/>
          <w:szCs w:val="26"/>
          <w:rtl/>
        </w:rPr>
        <w:t>202,947 אלפי ש"ח בהוצאה ו-132,435 אלפי ש"ח בהרשאה להתחייב</w:t>
      </w:r>
    </w:p>
    <w:p w14:paraId="210CAB22" w14:textId="77777777" w:rsidR="000A79C2" w:rsidRDefault="000A79C2" w:rsidP="000A79C2">
      <w:pPr>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תכנית זו כוללת את תקציב השכר, התפעול, הפעילות והתמיכה של משרד ההתיישבות</w:t>
      </w:r>
      <w:r>
        <w:rPr>
          <w:rFonts w:ascii="FrankRuehl" w:hAnsi="FrankRuehl" w:cs="FrankRuehl"/>
          <w:sz w:val="26"/>
          <w:szCs w:val="26"/>
        </w:rPr>
        <w:t>.</w:t>
      </w:r>
    </w:p>
    <w:p w14:paraId="7E0E0C51" w14:textId="77777777" w:rsidR="000A79C2" w:rsidRDefault="000A79C2" w:rsidP="000A79C2">
      <w:pPr>
        <w:contextualSpacing/>
        <w:jc w:val="both"/>
        <w:rPr>
          <w:rFonts w:ascii="FrankRuehl" w:hAnsi="FrankRuehl" w:cs="FrankRuehl"/>
          <w:sz w:val="26"/>
          <w:szCs w:val="26"/>
          <w:rtl/>
        </w:rPr>
      </w:pPr>
      <w:r>
        <w:rPr>
          <w:rFonts w:ascii="FrankRuehl" w:hAnsi="FrankRuehl" w:cs="FrankRuehl"/>
          <w:b/>
          <w:bCs/>
          <w:sz w:val="26"/>
          <w:szCs w:val="26"/>
          <w:rtl/>
        </w:rPr>
        <w:t>מטרת השינוי</w:t>
      </w:r>
      <w:r>
        <w:rPr>
          <w:rFonts w:ascii="FrankRuehl" w:hAnsi="FrankRuehl" w:cs="FrankRuehl"/>
          <w:sz w:val="26"/>
          <w:szCs w:val="26"/>
          <w:rtl/>
        </w:rPr>
        <w:t>: תקצוב סך של 202,947 אלפי ש"ח בהוצאה ו-132,435 אלפי ש"ח בהרשאה להתחייב בעבור התכליות הבאות:</w:t>
      </w:r>
    </w:p>
    <w:p w14:paraId="7BFB7EE0" w14:textId="77777777" w:rsidR="000A79C2" w:rsidRDefault="000A79C2" w:rsidP="000A79C2">
      <w:pPr>
        <w:pStyle w:val="aa"/>
        <w:numPr>
          <w:ilvl w:val="0"/>
          <w:numId w:val="1"/>
        </w:numPr>
        <w:spacing w:before="0" w:after="0" w:line="240" w:lineRule="auto"/>
        <w:rPr>
          <w:rFonts w:ascii="FrankRuehl" w:hAnsi="FrankRuehl" w:cs="FrankRuehl"/>
          <w:sz w:val="26"/>
          <w:szCs w:val="26"/>
          <w:rtl/>
        </w:rPr>
      </w:pPr>
      <w:r>
        <w:rPr>
          <w:rFonts w:ascii="FrankRuehl" w:hAnsi="FrankRuehl" w:cs="FrankRuehl"/>
          <w:sz w:val="26"/>
          <w:szCs w:val="26"/>
          <w:rtl/>
        </w:rPr>
        <w:t xml:space="preserve">סך של 114,850 </w:t>
      </w:r>
      <w:proofErr w:type="spellStart"/>
      <w:r>
        <w:rPr>
          <w:rFonts w:ascii="FrankRuehl" w:hAnsi="FrankRuehl" w:cs="FrankRuehl"/>
          <w:sz w:val="26"/>
          <w:szCs w:val="26"/>
          <w:rtl/>
        </w:rPr>
        <w:t>אלש"ח</w:t>
      </w:r>
      <w:proofErr w:type="spellEnd"/>
      <w:r>
        <w:rPr>
          <w:rFonts w:ascii="FrankRuehl" w:hAnsi="FrankRuehl" w:cs="FrankRuehl"/>
          <w:sz w:val="26"/>
          <w:szCs w:val="26"/>
          <w:rtl/>
        </w:rPr>
        <w:t xml:space="preserve"> בהוצאה עבור התחייבויות עבר בהתקשרות המשרד עם החטיבה להתיישבות. </w:t>
      </w:r>
    </w:p>
    <w:p w14:paraId="7A3F5686" w14:textId="223681D0" w:rsidR="000A79C2" w:rsidRDefault="000A79C2" w:rsidP="000A79C2">
      <w:pPr>
        <w:pStyle w:val="aa"/>
        <w:numPr>
          <w:ilvl w:val="0"/>
          <w:numId w:val="1"/>
        </w:numPr>
        <w:spacing w:before="0" w:after="0" w:line="240" w:lineRule="auto"/>
        <w:rPr>
          <w:rFonts w:ascii="FrankRuehl" w:hAnsi="FrankRuehl" w:cs="FrankRuehl"/>
          <w:sz w:val="26"/>
          <w:szCs w:val="26"/>
        </w:rPr>
      </w:pPr>
      <w:r>
        <w:rPr>
          <w:rFonts w:ascii="FrankRuehl" w:hAnsi="FrankRuehl" w:cs="FrankRuehl"/>
          <w:sz w:val="26"/>
          <w:szCs w:val="26"/>
          <w:rtl/>
        </w:rPr>
        <w:lastRenderedPageBreak/>
        <w:t xml:space="preserve">סך של 4,000 אלפי ש"ח בהוצאה נטו ו-37,700 אלפי ש"ח בהרשאה להתחייב </w:t>
      </w:r>
      <w:r>
        <w:rPr>
          <w:rFonts w:ascii="FrankRuehl" w:hAnsi="FrankRuehl" w:cs="FrankRuehl" w:hint="cs"/>
          <w:sz w:val="26"/>
          <w:szCs w:val="26"/>
          <w:rtl/>
        </w:rPr>
        <w:t>עבור</w:t>
      </w:r>
      <w:r>
        <w:rPr>
          <w:rFonts w:ascii="FrankRuehl" w:hAnsi="FrankRuehl" w:cs="FrankRuehl"/>
          <w:sz w:val="26"/>
          <w:szCs w:val="26"/>
          <w:rtl/>
        </w:rPr>
        <w:t xml:space="preserve"> יישום החלטת ממשלה מס' 3303 מיום 4 באוגוסט 2025 שעניינה "תוכנית לשיקום ופיתוח יישובי הנגב המערבי לשנים 2025-2029 ותיקון החלטת ממשלה". </w:t>
      </w:r>
    </w:p>
    <w:p w14:paraId="6AE75C52" w14:textId="4F0CCE21" w:rsidR="000A79C2" w:rsidRDefault="000A79C2" w:rsidP="000A79C2">
      <w:pPr>
        <w:pStyle w:val="aa"/>
        <w:numPr>
          <w:ilvl w:val="0"/>
          <w:numId w:val="1"/>
        </w:numPr>
        <w:spacing w:before="0" w:after="0" w:line="240" w:lineRule="auto"/>
        <w:rPr>
          <w:rFonts w:ascii="FrankRuehl" w:hAnsi="FrankRuehl" w:cs="FrankRuehl"/>
          <w:sz w:val="26"/>
          <w:szCs w:val="26"/>
        </w:rPr>
      </w:pPr>
      <w:r>
        <w:rPr>
          <w:rFonts w:ascii="FrankRuehl" w:hAnsi="FrankRuehl" w:cs="FrankRuehl"/>
          <w:sz w:val="26"/>
          <w:szCs w:val="26"/>
          <w:rtl/>
        </w:rPr>
        <w:t xml:space="preserve">סך של 17,907 אלפי ש"ח בהרשאה להתחייב </w:t>
      </w:r>
      <w:r>
        <w:rPr>
          <w:rFonts w:ascii="FrankRuehl" w:hAnsi="FrankRuehl" w:cs="FrankRuehl" w:hint="cs"/>
          <w:sz w:val="26"/>
          <w:szCs w:val="26"/>
          <w:rtl/>
        </w:rPr>
        <w:t>עבור</w:t>
      </w:r>
      <w:r>
        <w:rPr>
          <w:rFonts w:ascii="FrankRuehl" w:hAnsi="FrankRuehl" w:cs="FrankRuehl"/>
          <w:sz w:val="26"/>
          <w:szCs w:val="26"/>
          <w:rtl/>
        </w:rPr>
        <w:t xml:space="preserve"> יישום החלטת ממשלה מס' 4027 מיום 24 במרץ 2026 שעניינה "תוכנית לחיזוק החוסן של יישובי הטווח המכונה 0-9 ק"מ להתמודדות עם האיום הביטחוני הנובע ממבצע "שאגת הארי" ותיקון החלטת ממשלה". </w:t>
      </w:r>
    </w:p>
    <w:p w14:paraId="48CDA98E" w14:textId="0E19366A" w:rsidR="000A79C2" w:rsidRDefault="000A79C2" w:rsidP="000A79C2">
      <w:pPr>
        <w:pStyle w:val="aa"/>
        <w:numPr>
          <w:ilvl w:val="0"/>
          <w:numId w:val="1"/>
        </w:numPr>
        <w:spacing w:before="0" w:after="0" w:line="240" w:lineRule="auto"/>
        <w:rPr>
          <w:rFonts w:ascii="FrankRuehl" w:hAnsi="FrankRuehl" w:cs="FrankRuehl"/>
          <w:sz w:val="26"/>
          <w:szCs w:val="26"/>
        </w:rPr>
      </w:pPr>
      <w:r>
        <w:rPr>
          <w:rFonts w:ascii="FrankRuehl" w:hAnsi="FrankRuehl" w:cs="FrankRuehl"/>
          <w:sz w:val="26"/>
          <w:szCs w:val="26"/>
          <w:rtl/>
        </w:rPr>
        <w:t xml:space="preserve">סך של 27,365 אלפי ש"ח בהרשאה להתחייב </w:t>
      </w:r>
      <w:r>
        <w:rPr>
          <w:rFonts w:ascii="FrankRuehl" w:hAnsi="FrankRuehl" w:cs="FrankRuehl" w:hint="cs"/>
          <w:sz w:val="26"/>
          <w:szCs w:val="26"/>
          <w:rtl/>
        </w:rPr>
        <w:t>עבור</w:t>
      </w:r>
      <w:r>
        <w:rPr>
          <w:rFonts w:ascii="FrankRuehl" w:hAnsi="FrankRuehl" w:cs="FrankRuehl"/>
          <w:sz w:val="26"/>
          <w:szCs w:val="26"/>
          <w:rtl/>
        </w:rPr>
        <w:t xml:space="preserve"> יישום החלטת ממשלה מס' 4242 מיום 11 ביוני 2026 שעניינה "תוכנית לחיזוק החוסן של יישובי הטווח המכונה 0 - 9 ק"מ להתמודדות עם האיום הביטחוני הנובע מהתמשכות המערכה ותיקון החלטת ממשלה". </w:t>
      </w:r>
    </w:p>
    <w:p w14:paraId="14EE787E" w14:textId="77777777" w:rsidR="000A79C2" w:rsidRDefault="000A79C2" w:rsidP="000A79C2">
      <w:pPr>
        <w:pStyle w:val="aa"/>
        <w:numPr>
          <w:ilvl w:val="0"/>
          <w:numId w:val="1"/>
        </w:numPr>
        <w:spacing w:before="0" w:line="240" w:lineRule="auto"/>
        <w:rPr>
          <w:rFonts w:ascii="FrankRuehl" w:hAnsi="FrankRuehl" w:cs="FrankRuehl"/>
          <w:sz w:val="26"/>
          <w:szCs w:val="26"/>
        </w:rPr>
      </w:pPr>
      <w:r>
        <w:rPr>
          <w:rFonts w:ascii="FrankRuehl" w:hAnsi="FrankRuehl" w:cs="FrankRuehl"/>
          <w:sz w:val="26"/>
          <w:szCs w:val="26"/>
          <w:rtl/>
        </w:rPr>
        <w:t xml:space="preserve">סך של 10,000 אלפי ש"ח בהרשאה להתחייב עבור יישום החלטת ממשלה מס' 4178 מיום </w:t>
      </w:r>
      <w:proofErr w:type="spellStart"/>
      <w:r>
        <w:rPr>
          <w:rFonts w:ascii="FrankRuehl" w:hAnsi="FrankRuehl" w:cs="FrankRuehl"/>
          <w:sz w:val="26"/>
          <w:szCs w:val="26"/>
          <w:rtl/>
        </w:rPr>
        <w:t>מיום</w:t>
      </w:r>
      <w:proofErr w:type="spellEnd"/>
      <w:r>
        <w:rPr>
          <w:rFonts w:ascii="FrankRuehl" w:hAnsi="FrankRuehl" w:cs="FrankRuehl"/>
          <w:sz w:val="26"/>
          <w:szCs w:val="26"/>
          <w:rtl/>
        </w:rPr>
        <w:t xml:space="preserve"> 31 במאי 2026 שעניינה "הקמת שכונה זמנית ביישוב שיבולת ותיקון החלטת ממשלה".</w:t>
      </w:r>
    </w:p>
    <w:p w14:paraId="1B912D54" w14:textId="77A31DEF" w:rsidR="000A79C2" w:rsidRDefault="000A79C2" w:rsidP="000A79C2">
      <w:pPr>
        <w:pStyle w:val="aa"/>
        <w:numPr>
          <w:ilvl w:val="0"/>
          <w:numId w:val="1"/>
        </w:numPr>
        <w:spacing w:before="0" w:line="240" w:lineRule="auto"/>
        <w:rPr>
          <w:rFonts w:ascii="FrankRuehl" w:hAnsi="FrankRuehl" w:cs="FrankRuehl"/>
          <w:sz w:val="26"/>
          <w:szCs w:val="26"/>
        </w:rPr>
      </w:pPr>
      <w:r>
        <w:rPr>
          <w:rFonts w:ascii="FrankRuehl" w:hAnsi="FrankRuehl" w:cs="FrankRuehl"/>
          <w:sz w:val="26"/>
          <w:szCs w:val="26"/>
          <w:rtl/>
        </w:rPr>
        <w:t xml:space="preserve">סך של 1,650 אלפי ש"ח בהוצאה </w:t>
      </w:r>
      <w:r>
        <w:rPr>
          <w:rFonts w:ascii="FrankRuehl" w:hAnsi="FrankRuehl" w:cs="FrankRuehl" w:hint="cs"/>
          <w:sz w:val="26"/>
          <w:szCs w:val="26"/>
          <w:rtl/>
        </w:rPr>
        <w:t>עבור</w:t>
      </w:r>
      <w:r>
        <w:rPr>
          <w:rFonts w:ascii="FrankRuehl" w:hAnsi="FrankRuehl" w:cs="FrankRuehl"/>
          <w:sz w:val="26"/>
          <w:szCs w:val="26"/>
          <w:rtl/>
        </w:rPr>
        <w:t xml:space="preserve"> יישום החלטת ממשלה מס' 3243 מיום 15 ביולי 2025 שעניינה "מדיניות ממשלתית לשילובם של אזרחי ישראל ממוצא אתיופי בחברה הישראלית - המשך הפעלת תוכניות משרדי הממשלה, הארכת תקופת פעילותו של מטה היישום ותיקון החלטות ממשלה".</w:t>
      </w:r>
    </w:p>
    <w:p w14:paraId="2B84A1CB" w14:textId="38815958" w:rsidR="000A79C2" w:rsidRDefault="000A79C2" w:rsidP="000A79C2">
      <w:pPr>
        <w:pStyle w:val="aa"/>
        <w:numPr>
          <w:ilvl w:val="0"/>
          <w:numId w:val="1"/>
        </w:numPr>
        <w:spacing w:before="0" w:line="240" w:lineRule="auto"/>
        <w:rPr>
          <w:rFonts w:ascii="FrankRuehl" w:hAnsi="FrankRuehl" w:cs="FrankRuehl"/>
          <w:sz w:val="26"/>
          <w:szCs w:val="26"/>
        </w:rPr>
      </w:pPr>
      <w:r>
        <w:rPr>
          <w:rFonts w:ascii="FrankRuehl" w:hAnsi="FrankRuehl" w:cs="FrankRuehl"/>
          <w:sz w:val="26"/>
          <w:szCs w:val="26"/>
          <w:rtl/>
        </w:rPr>
        <w:t xml:space="preserve">סך של 1,500 אלפי ש"ח בהוצאה </w:t>
      </w:r>
      <w:r>
        <w:rPr>
          <w:rFonts w:ascii="FrankRuehl" w:hAnsi="FrankRuehl" w:cs="FrankRuehl" w:hint="cs"/>
          <w:sz w:val="26"/>
          <w:szCs w:val="26"/>
          <w:rtl/>
        </w:rPr>
        <w:t>עבור</w:t>
      </w:r>
      <w:r>
        <w:rPr>
          <w:rFonts w:ascii="FrankRuehl" w:hAnsi="FrankRuehl" w:cs="FrankRuehl"/>
          <w:sz w:val="26"/>
          <w:szCs w:val="26"/>
          <w:rtl/>
        </w:rPr>
        <w:t xml:space="preserve"> יישום החלטת ממשלה מס' 3474 מיום 09 בנובמבר 2025 שעניינה "פיתוח וחיזוק באר שבע כעיר הליבה של מטרופולין הדרום ותיקון החלטת ממשלה".</w:t>
      </w:r>
    </w:p>
    <w:p w14:paraId="1A3FBE04" w14:textId="3EF8FD67" w:rsidR="000A79C2" w:rsidRDefault="000A79C2" w:rsidP="000A79C2">
      <w:pPr>
        <w:pStyle w:val="aa"/>
        <w:numPr>
          <w:ilvl w:val="0"/>
          <w:numId w:val="1"/>
        </w:numPr>
        <w:spacing w:before="0" w:line="240" w:lineRule="auto"/>
        <w:rPr>
          <w:rFonts w:ascii="FrankRuehl" w:hAnsi="FrankRuehl" w:cs="FrankRuehl"/>
          <w:sz w:val="26"/>
          <w:szCs w:val="26"/>
        </w:rPr>
      </w:pPr>
      <w:r>
        <w:rPr>
          <w:rFonts w:ascii="FrankRuehl" w:hAnsi="FrankRuehl" w:cs="FrankRuehl"/>
          <w:sz w:val="26"/>
          <w:szCs w:val="26"/>
          <w:rtl/>
        </w:rPr>
        <w:t xml:space="preserve">סך של 1,000 אלפי ש"ח בהוצאה </w:t>
      </w:r>
      <w:r>
        <w:rPr>
          <w:rFonts w:ascii="FrankRuehl" w:hAnsi="FrankRuehl" w:cs="FrankRuehl" w:hint="cs"/>
          <w:sz w:val="26"/>
          <w:szCs w:val="26"/>
          <w:rtl/>
        </w:rPr>
        <w:t>עבור</w:t>
      </w:r>
      <w:r>
        <w:rPr>
          <w:rFonts w:ascii="FrankRuehl" w:hAnsi="FrankRuehl" w:cs="FrankRuehl"/>
          <w:sz w:val="26"/>
          <w:szCs w:val="26"/>
          <w:rtl/>
        </w:rPr>
        <w:t xml:space="preserve"> יישום החלטת ממשלה מס' 3304 מיום 04 באוגוסט 2025 שעניינה "תוכנית לשיקום ופיתוח העיר אשקלון לשנים 2025 - 2029 ותיקון החלטת ממשלה".</w:t>
      </w:r>
    </w:p>
    <w:p w14:paraId="1A696E0E" w14:textId="1271F170" w:rsidR="000A79C2" w:rsidRDefault="000A79C2" w:rsidP="000A79C2">
      <w:pPr>
        <w:pStyle w:val="aa"/>
        <w:numPr>
          <w:ilvl w:val="0"/>
          <w:numId w:val="1"/>
        </w:numPr>
        <w:spacing w:before="0" w:line="240" w:lineRule="auto"/>
        <w:rPr>
          <w:rFonts w:ascii="FrankRuehl" w:hAnsi="FrankRuehl" w:cs="FrankRuehl"/>
          <w:sz w:val="26"/>
          <w:szCs w:val="26"/>
        </w:rPr>
      </w:pPr>
      <w:r>
        <w:rPr>
          <w:rFonts w:ascii="FrankRuehl" w:hAnsi="FrankRuehl" w:cs="FrankRuehl"/>
          <w:sz w:val="26"/>
          <w:szCs w:val="26"/>
          <w:rtl/>
        </w:rPr>
        <w:t xml:space="preserve">סך של 2,000 אלפי ש"ח בהוצאה </w:t>
      </w:r>
      <w:r>
        <w:rPr>
          <w:rFonts w:ascii="FrankRuehl" w:hAnsi="FrankRuehl" w:cs="FrankRuehl" w:hint="cs"/>
          <w:sz w:val="26"/>
          <w:szCs w:val="26"/>
          <w:rtl/>
        </w:rPr>
        <w:t>עבור</w:t>
      </w:r>
      <w:r>
        <w:rPr>
          <w:rFonts w:ascii="FrankRuehl" w:hAnsi="FrankRuehl" w:cs="FrankRuehl"/>
          <w:sz w:val="26"/>
          <w:szCs w:val="26"/>
          <w:rtl/>
        </w:rPr>
        <w:t xml:space="preserve"> יישום החלטת ממשלה מס' 3630 מיום 14 בדצמבר 2025 שעניינה "תוכנית לעידוד צמיחה דמוגרפית ופיתוח כלכלי בר-קיימא ביישובים באזור הנגב המזרחי - תיקון החלטת ממשלה".</w:t>
      </w:r>
    </w:p>
    <w:p w14:paraId="59AFD751" w14:textId="77777777" w:rsidR="000A79C2" w:rsidRDefault="000A79C2" w:rsidP="000A79C2">
      <w:pPr>
        <w:pStyle w:val="aa"/>
        <w:numPr>
          <w:ilvl w:val="0"/>
          <w:numId w:val="1"/>
        </w:numPr>
        <w:spacing w:before="0" w:line="240" w:lineRule="auto"/>
        <w:rPr>
          <w:rFonts w:ascii="FrankRuehl" w:hAnsi="FrankRuehl" w:cs="FrankRuehl"/>
          <w:sz w:val="26"/>
          <w:szCs w:val="26"/>
        </w:rPr>
      </w:pPr>
      <w:r>
        <w:rPr>
          <w:rFonts w:ascii="FrankRuehl" w:hAnsi="FrankRuehl" w:cs="FrankRuehl"/>
          <w:sz w:val="26"/>
          <w:szCs w:val="26"/>
          <w:rtl/>
        </w:rPr>
        <w:t xml:space="preserve">מימוש הסכמים פוליטיים בהתאם להחלטה החלטת ממשלה מס' 3971 מיום 10.03.2026 שעניינה "יישום הסכמים קואליציוניים בשנת הכספים 2026". ההסכמים כוללים את הקצאת התמיכות הבאות: </w:t>
      </w:r>
    </w:p>
    <w:p w14:paraId="49E41C29" w14:textId="77777777" w:rsidR="000A79C2" w:rsidRDefault="000A79C2" w:rsidP="000A79C2">
      <w:pPr>
        <w:pStyle w:val="aa"/>
        <w:numPr>
          <w:ilvl w:val="1"/>
          <w:numId w:val="1"/>
        </w:numPr>
        <w:spacing w:before="0" w:after="0" w:line="240" w:lineRule="auto"/>
        <w:rPr>
          <w:rFonts w:ascii="FrankRuehl" w:hAnsi="FrankRuehl" w:cs="FrankRuehl"/>
          <w:sz w:val="26"/>
          <w:szCs w:val="26"/>
        </w:rPr>
      </w:pPr>
      <w:r>
        <w:rPr>
          <w:rFonts w:ascii="FrankRuehl" w:hAnsi="FrankRuehl" w:cs="FrankRuehl"/>
          <w:sz w:val="26"/>
          <w:szCs w:val="26"/>
          <w:rtl/>
        </w:rPr>
        <w:t>פעילויות החטיבה להתיישבות – 39,463 אלפי ש"ח בהרשאה להתחייב</w:t>
      </w:r>
    </w:p>
    <w:p w14:paraId="4F1933A6" w14:textId="77777777" w:rsidR="000A79C2" w:rsidRDefault="000A79C2" w:rsidP="000A79C2">
      <w:pPr>
        <w:pStyle w:val="aa"/>
        <w:numPr>
          <w:ilvl w:val="1"/>
          <w:numId w:val="1"/>
        </w:numPr>
        <w:spacing w:before="0" w:after="0" w:line="240" w:lineRule="auto"/>
        <w:rPr>
          <w:rFonts w:ascii="FrankRuehl" w:hAnsi="FrankRuehl" w:cs="FrankRuehl"/>
          <w:sz w:val="26"/>
          <w:szCs w:val="26"/>
        </w:rPr>
      </w:pPr>
      <w:r>
        <w:rPr>
          <w:rFonts w:ascii="FrankRuehl" w:hAnsi="FrankRuehl" w:cs="FrankRuehl"/>
          <w:sz w:val="26"/>
          <w:szCs w:val="26"/>
          <w:rtl/>
        </w:rPr>
        <w:t xml:space="preserve">סיוע לרשויות המקומיות בשמירה על שטחי </w:t>
      </w:r>
      <w:r>
        <w:rPr>
          <w:rFonts w:ascii="FrankRuehl" w:hAnsi="FrankRuehl" w:cs="FrankRuehl"/>
          <w:sz w:val="26"/>
          <w:szCs w:val="26"/>
        </w:rPr>
        <w:t>C</w:t>
      </w:r>
      <w:r>
        <w:rPr>
          <w:rFonts w:ascii="FrankRuehl" w:hAnsi="FrankRuehl" w:cs="FrankRuehl"/>
          <w:sz w:val="26"/>
          <w:szCs w:val="26"/>
          <w:rtl/>
        </w:rPr>
        <w:t xml:space="preserve"> ביו"ש -5,672 אלפי ש"ח בהוצאה</w:t>
      </w:r>
    </w:p>
    <w:p w14:paraId="14DF5095" w14:textId="77777777" w:rsidR="000A79C2" w:rsidRDefault="000A79C2" w:rsidP="000A79C2">
      <w:pPr>
        <w:pStyle w:val="aa"/>
        <w:numPr>
          <w:ilvl w:val="1"/>
          <w:numId w:val="1"/>
        </w:numPr>
        <w:spacing w:before="0" w:after="0" w:line="240" w:lineRule="auto"/>
        <w:rPr>
          <w:rFonts w:ascii="FrankRuehl" w:hAnsi="FrankRuehl" w:cs="FrankRuehl"/>
          <w:sz w:val="26"/>
          <w:szCs w:val="26"/>
        </w:rPr>
      </w:pPr>
      <w:r>
        <w:rPr>
          <w:rFonts w:ascii="FrankRuehl" w:hAnsi="FrankRuehl" w:cs="FrankRuehl"/>
          <w:sz w:val="26"/>
          <w:szCs w:val="26"/>
          <w:rtl/>
        </w:rPr>
        <w:t>מדרשות ליהדות וללימודי ארץ ישראל – 13,987 אלפי ש"ח בהוצאה</w:t>
      </w:r>
    </w:p>
    <w:p w14:paraId="56231F79" w14:textId="77777777" w:rsidR="000A79C2" w:rsidRDefault="000A79C2" w:rsidP="000A79C2">
      <w:pPr>
        <w:pStyle w:val="aa"/>
        <w:numPr>
          <w:ilvl w:val="1"/>
          <w:numId w:val="1"/>
        </w:numPr>
        <w:spacing w:before="0" w:after="0" w:line="240" w:lineRule="auto"/>
        <w:rPr>
          <w:rFonts w:ascii="FrankRuehl" w:hAnsi="FrankRuehl" w:cs="FrankRuehl"/>
          <w:sz w:val="26"/>
          <w:szCs w:val="26"/>
        </w:rPr>
      </w:pPr>
      <w:r>
        <w:rPr>
          <w:rFonts w:ascii="FrankRuehl" w:hAnsi="FrankRuehl" w:cs="FrankRuehl"/>
          <w:sz w:val="26"/>
          <w:szCs w:val="26"/>
          <w:rtl/>
        </w:rPr>
        <w:t>מרכזים להעמקת החינוך – 15,200 אלפי ש"ח בהוצאה</w:t>
      </w:r>
    </w:p>
    <w:p w14:paraId="1C7B3967" w14:textId="77777777" w:rsidR="000A79C2" w:rsidRDefault="000A79C2" w:rsidP="000A79C2">
      <w:pPr>
        <w:pStyle w:val="aa"/>
        <w:numPr>
          <w:ilvl w:val="1"/>
          <w:numId w:val="1"/>
        </w:numPr>
        <w:spacing w:before="0" w:after="0" w:line="240" w:lineRule="auto"/>
        <w:rPr>
          <w:rFonts w:ascii="FrankRuehl" w:hAnsi="FrankRuehl" w:cs="FrankRuehl"/>
          <w:sz w:val="26"/>
          <w:szCs w:val="26"/>
        </w:rPr>
      </w:pPr>
      <w:r>
        <w:rPr>
          <w:rFonts w:ascii="FrankRuehl" w:hAnsi="FrankRuehl" w:cs="FrankRuehl"/>
          <w:sz w:val="26"/>
          <w:szCs w:val="26"/>
          <w:rtl/>
        </w:rPr>
        <w:t>עמותות תרבות יהודית – 28,612 אלפי ש"ח בהוצאה</w:t>
      </w:r>
    </w:p>
    <w:p w14:paraId="3E55F318" w14:textId="77777777" w:rsidR="000A79C2" w:rsidRDefault="000A79C2" w:rsidP="000A79C2">
      <w:pPr>
        <w:pStyle w:val="aa"/>
        <w:numPr>
          <w:ilvl w:val="1"/>
          <w:numId w:val="1"/>
        </w:numPr>
        <w:spacing w:before="0" w:after="0" w:line="240" w:lineRule="auto"/>
        <w:rPr>
          <w:rFonts w:ascii="FrankRuehl" w:hAnsi="FrankRuehl" w:cs="FrankRuehl"/>
          <w:sz w:val="26"/>
          <w:szCs w:val="26"/>
        </w:rPr>
      </w:pPr>
      <w:r>
        <w:rPr>
          <w:rFonts w:ascii="FrankRuehl" w:hAnsi="FrankRuehl" w:cs="FrankRuehl"/>
          <w:sz w:val="26"/>
          <w:szCs w:val="26"/>
          <w:rtl/>
        </w:rPr>
        <w:t>תרבות יהודית ברשויות המקומיות – 14,384 אלפי ש"ח בהוצאה</w:t>
      </w:r>
    </w:p>
    <w:p w14:paraId="025BAEEC" w14:textId="77777777" w:rsidR="000A79C2" w:rsidRDefault="000A79C2" w:rsidP="000A79C2">
      <w:pPr>
        <w:rPr>
          <w:rFonts w:ascii="FrankRuehl" w:hAnsi="FrankRuehl" w:cs="FrankRuehl"/>
          <w:sz w:val="26"/>
          <w:szCs w:val="26"/>
        </w:rPr>
      </w:pPr>
    </w:p>
    <w:p w14:paraId="125246FD" w14:textId="33B9C584" w:rsidR="000A79C2" w:rsidRDefault="000A79C2" w:rsidP="000A79C2">
      <w:pPr>
        <w:tabs>
          <w:tab w:val="center" w:pos="6888"/>
        </w:tabs>
        <w:rPr>
          <w:rFonts w:ascii="FrankRuehl" w:hAnsi="FrankRuehl" w:cs="FrankRuehl"/>
          <w:sz w:val="26"/>
          <w:szCs w:val="26"/>
          <w:rtl/>
        </w:rPr>
      </w:pPr>
      <w:r>
        <w:rPr>
          <w:rFonts w:ascii="FrankRuehl" w:hAnsi="FrankRuehl" w:cs="FrankRuehl"/>
          <w:sz w:val="26"/>
          <w:szCs w:val="26"/>
          <w:rtl/>
        </w:rPr>
        <w:tab/>
      </w:r>
    </w:p>
    <w:p w14:paraId="797A14AD" w14:textId="761B46CC" w:rsidR="000A79C2" w:rsidRDefault="000A79C2" w:rsidP="000A79C2">
      <w:pPr>
        <w:rPr>
          <w:rFonts w:ascii="FrankRuehl" w:hAnsi="FrankRuehl" w:cs="FrankRuehl"/>
          <w:b/>
          <w:bCs/>
          <w:sz w:val="26"/>
          <w:szCs w:val="26"/>
          <w:u w:val="single"/>
          <w:rtl/>
        </w:rPr>
      </w:pPr>
      <w:r>
        <w:rPr>
          <w:rFonts w:ascii="FrankRuehl" w:hAnsi="FrankRuehl" w:cs="FrankRuehl"/>
          <w:b/>
          <w:bCs/>
          <w:sz w:val="26"/>
          <w:szCs w:val="26"/>
          <w:u w:val="single"/>
          <w:rtl/>
        </w:rPr>
        <w:t xml:space="preserve">פירוט החלטות ממשלה </w:t>
      </w:r>
      <w:r>
        <w:rPr>
          <w:rFonts w:ascii="FrankRuehl" w:hAnsi="FrankRuehl" w:cs="FrankRuehl" w:hint="cs"/>
          <w:b/>
          <w:bCs/>
          <w:sz w:val="26"/>
          <w:szCs w:val="26"/>
          <w:u w:val="single"/>
          <w:rtl/>
        </w:rPr>
        <w:t>-</w:t>
      </w:r>
      <w:r>
        <w:rPr>
          <w:rFonts w:ascii="FrankRuehl" w:hAnsi="FrankRuehl" w:cs="FrankRuehl"/>
          <w:b/>
          <w:bCs/>
          <w:sz w:val="26"/>
          <w:szCs w:val="26"/>
          <w:u w:val="single"/>
          <w:rtl/>
        </w:rPr>
        <w:t xml:space="preserve"> ללא תקציב קואליציוני</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2410"/>
        <w:gridCol w:w="3398"/>
      </w:tblGrid>
      <w:tr w:rsidR="000A79C2" w14:paraId="661F596A"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5B782D9A" w14:textId="77777777" w:rsidR="000A79C2" w:rsidRDefault="000A79C2">
            <w:pPr>
              <w:rPr>
                <w:rFonts w:ascii="FrankRuehl" w:hAnsi="FrankRuehl" w:cs="FrankRuehl"/>
                <w:sz w:val="26"/>
                <w:szCs w:val="26"/>
                <w:rtl/>
              </w:rPr>
            </w:pPr>
            <w:r>
              <w:rPr>
                <w:rFonts w:ascii="FrankRuehl" w:hAnsi="FrankRuehl" w:cs="FrankRuehl"/>
                <w:sz w:val="26"/>
                <w:szCs w:val="26"/>
                <w:rtl/>
              </w:rPr>
              <w:t>מספר החלטת ממשלה</w:t>
            </w:r>
          </w:p>
        </w:tc>
        <w:tc>
          <w:tcPr>
            <w:tcW w:w="2410" w:type="dxa"/>
            <w:tcBorders>
              <w:top w:val="single" w:sz="4" w:space="0" w:color="auto"/>
              <w:left w:val="single" w:sz="4" w:space="0" w:color="auto"/>
              <w:bottom w:val="single" w:sz="4" w:space="0" w:color="auto"/>
              <w:right w:val="single" w:sz="4" w:space="0" w:color="auto"/>
            </w:tcBorders>
            <w:hideMark/>
          </w:tcPr>
          <w:p w14:paraId="2C7A576C" w14:textId="77777777" w:rsidR="000A79C2" w:rsidRDefault="000A79C2">
            <w:pPr>
              <w:rPr>
                <w:rFonts w:ascii="FrankRuehl" w:hAnsi="FrankRuehl" w:cs="FrankRuehl"/>
                <w:sz w:val="26"/>
                <w:szCs w:val="26"/>
                <w:rtl/>
              </w:rPr>
            </w:pPr>
            <w:r>
              <w:rPr>
                <w:rFonts w:ascii="FrankRuehl" w:hAnsi="FrankRuehl" w:cs="FrankRuehl"/>
                <w:sz w:val="26"/>
                <w:szCs w:val="26"/>
                <w:rtl/>
              </w:rPr>
              <w:t>סעיפים בהחלטה</w:t>
            </w:r>
          </w:p>
        </w:tc>
        <w:tc>
          <w:tcPr>
            <w:tcW w:w="3398" w:type="dxa"/>
            <w:tcBorders>
              <w:top w:val="single" w:sz="4" w:space="0" w:color="auto"/>
              <w:left w:val="single" w:sz="4" w:space="0" w:color="auto"/>
              <w:bottom w:val="single" w:sz="4" w:space="0" w:color="auto"/>
              <w:right w:val="single" w:sz="4" w:space="0" w:color="auto"/>
            </w:tcBorders>
            <w:hideMark/>
          </w:tcPr>
          <w:p w14:paraId="6C7881FB" w14:textId="77777777" w:rsidR="000A79C2" w:rsidRDefault="000A79C2">
            <w:pPr>
              <w:rPr>
                <w:rFonts w:ascii="FrankRuehl" w:hAnsi="FrankRuehl" w:cs="FrankRuehl"/>
                <w:sz w:val="26"/>
                <w:szCs w:val="26"/>
                <w:rtl/>
              </w:rPr>
            </w:pPr>
            <w:r>
              <w:rPr>
                <w:rFonts w:ascii="FrankRuehl" w:hAnsi="FrankRuehl" w:cs="FrankRuehl"/>
                <w:sz w:val="26"/>
                <w:szCs w:val="26"/>
                <w:rtl/>
              </w:rPr>
              <w:t>סך תקצוב בפנייה זאת</w:t>
            </w:r>
          </w:p>
        </w:tc>
      </w:tr>
      <w:tr w:rsidR="000A79C2" w14:paraId="0EFF3472"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5BB6329D" w14:textId="77777777" w:rsidR="000A79C2" w:rsidRDefault="000A79C2">
            <w:pPr>
              <w:rPr>
                <w:rFonts w:ascii="FrankRuehl" w:hAnsi="FrankRuehl" w:cs="FrankRuehl"/>
                <w:sz w:val="26"/>
                <w:szCs w:val="26"/>
                <w:rtl/>
              </w:rPr>
            </w:pPr>
            <w:r>
              <w:rPr>
                <w:rFonts w:ascii="FrankRuehl" w:hAnsi="FrankRuehl" w:cs="FrankRuehl"/>
                <w:sz w:val="26"/>
                <w:szCs w:val="26"/>
                <w:rtl/>
              </w:rPr>
              <w:t>3303</w:t>
            </w:r>
          </w:p>
        </w:tc>
        <w:tc>
          <w:tcPr>
            <w:tcW w:w="2410" w:type="dxa"/>
            <w:tcBorders>
              <w:top w:val="single" w:sz="4" w:space="0" w:color="auto"/>
              <w:left w:val="single" w:sz="4" w:space="0" w:color="auto"/>
              <w:bottom w:val="single" w:sz="4" w:space="0" w:color="auto"/>
              <w:right w:val="single" w:sz="4" w:space="0" w:color="auto"/>
            </w:tcBorders>
            <w:hideMark/>
          </w:tcPr>
          <w:p w14:paraId="77C09B95" w14:textId="77777777" w:rsidR="000A79C2" w:rsidRDefault="000A79C2">
            <w:pPr>
              <w:rPr>
                <w:rFonts w:ascii="FrankRuehl" w:hAnsi="FrankRuehl" w:cs="FrankRuehl"/>
                <w:sz w:val="26"/>
                <w:szCs w:val="26"/>
                <w:rtl/>
              </w:rPr>
            </w:pPr>
            <w:r>
              <w:rPr>
                <w:rFonts w:ascii="FrankRuehl" w:hAnsi="FrankRuehl" w:cs="FrankRuehl"/>
                <w:sz w:val="26"/>
                <w:szCs w:val="26"/>
                <w:rtl/>
              </w:rPr>
              <w:t xml:space="preserve">א.1.6.ב </w:t>
            </w:r>
            <w:r>
              <w:rPr>
                <w:rFonts w:ascii="FrankRuehl" w:hAnsi="FrankRuehl" w:cs="FrankRuehl"/>
                <w:sz w:val="26"/>
                <w:szCs w:val="26"/>
                <w:rtl/>
              </w:rPr>
              <w:br/>
              <w:t>א.1.6.ד</w:t>
            </w:r>
            <w:r>
              <w:rPr>
                <w:rFonts w:ascii="FrankRuehl" w:hAnsi="FrankRuehl" w:cs="FrankRuehl"/>
                <w:sz w:val="26"/>
                <w:szCs w:val="26"/>
                <w:rtl/>
              </w:rPr>
              <w:br/>
              <w:t>א.2.2.ג</w:t>
            </w:r>
          </w:p>
        </w:tc>
        <w:tc>
          <w:tcPr>
            <w:tcW w:w="3398" w:type="dxa"/>
            <w:tcBorders>
              <w:top w:val="single" w:sz="4" w:space="0" w:color="auto"/>
              <w:left w:val="single" w:sz="4" w:space="0" w:color="auto"/>
              <w:bottom w:val="single" w:sz="4" w:space="0" w:color="auto"/>
              <w:right w:val="single" w:sz="4" w:space="0" w:color="auto"/>
            </w:tcBorders>
            <w:hideMark/>
          </w:tcPr>
          <w:p w14:paraId="331D8835" w14:textId="77777777" w:rsidR="000A79C2" w:rsidRDefault="000A79C2">
            <w:pPr>
              <w:rPr>
                <w:rFonts w:ascii="FrankRuehl" w:hAnsi="FrankRuehl" w:cs="FrankRuehl"/>
                <w:sz w:val="26"/>
                <w:szCs w:val="26"/>
                <w:rtl/>
              </w:rPr>
            </w:pPr>
            <w:r>
              <w:rPr>
                <w:rFonts w:ascii="FrankRuehl" w:hAnsi="FrankRuehl" w:cs="FrankRuehl"/>
                <w:sz w:val="26"/>
                <w:szCs w:val="26"/>
                <w:rtl/>
              </w:rPr>
              <w:t>4,000 אלפי ש"ח בהוצאה ו-37,700 אלפי ש"ח בהרשאה להתחייב</w:t>
            </w:r>
          </w:p>
        </w:tc>
      </w:tr>
      <w:tr w:rsidR="000A79C2" w14:paraId="328DB1CE"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6F8BAF0F" w14:textId="77777777" w:rsidR="000A79C2" w:rsidRDefault="000A79C2">
            <w:pPr>
              <w:rPr>
                <w:rFonts w:ascii="FrankRuehl" w:hAnsi="FrankRuehl" w:cs="FrankRuehl"/>
                <w:sz w:val="26"/>
                <w:szCs w:val="26"/>
                <w:rtl/>
              </w:rPr>
            </w:pPr>
            <w:r>
              <w:rPr>
                <w:rFonts w:ascii="FrankRuehl" w:hAnsi="FrankRuehl" w:cs="FrankRuehl"/>
                <w:sz w:val="26"/>
                <w:szCs w:val="26"/>
                <w:rtl/>
              </w:rPr>
              <w:t>4027</w:t>
            </w:r>
          </w:p>
        </w:tc>
        <w:tc>
          <w:tcPr>
            <w:tcW w:w="2410" w:type="dxa"/>
            <w:tcBorders>
              <w:top w:val="single" w:sz="4" w:space="0" w:color="auto"/>
              <w:left w:val="single" w:sz="4" w:space="0" w:color="auto"/>
              <w:bottom w:val="single" w:sz="4" w:space="0" w:color="auto"/>
              <w:right w:val="single" w:sz="4" w:space="0" w:color="auto"/>
            </w:tcBorders>
            <w:hideMark/>
          </w:tcPr>
          <w:p w14:paraId="5CC7D4C0" w14:textId="77777777" w:rsidR="000A79C2" w:rsidRDefault="000A79C2">
            <w:pPr>
              <w:rPr>
                <w:rFonts w:ascii="FrankRuehl" w:hAnsi="FrankRuehl" w:cs="FrankRuehl"/>
                <w:sz w:val="26"/>
                <w:szCs w:val="26"/>
                <w:rtl/>
              </w:rPr>
            </w:pPr>
            <w:r>
              <w:rPr>
                <w:rFonts w:ascii="FrankRuehl" w:hAnsi="FrankRuehl" w:cs="FrankRuehl"/>
                <w:sz w:val="26"/>
                <w:szCs w:val="26"/>
                <w:rtl/>
              </w:rPr>
              <w:t>2</w:t>
            </w:r>
          </w:p>
        </w:tc>
        <w:tc>
          <w:tcPr>
            <w:tcW w:w="3398" w:type="dxa"/>
            <w:tcBorders>
              <w:top w:val="single" w:sz="4" w:space="0" w:color="auto"/>
              <w:left w:val="single" w:sz="4" w:space="0" w:color="auto"/>
              <w:bottom w:val="single" w:sz="4" w:space="0" w:color="auto"/>
              <w:right w:val="single" w:sz="4" w:space="0" w:color="auto"/>
            </w:tcBorders>
            <w:hideMark/>
          </w:tcPr>
          <w:p w14:paraId="79399ECA" w14:textId="77777777" w:rsidR="000A79C2" w:rsidRDefault="000A79C2">
            <w:pPr>
              <w:rPr>
                <w:rFonts w:ascii="FrankRuehl" w:hAnsi="FrankRuehl" w:cs="FrankRuehl"/>
                <w:sz w:val="26"/>
                <w:szCs w:val="26"/>
                <w:rtl/>
              </w:rPr>
            </w:pPr>
            <w:r>
              <w:rPr>
                <w:rFonts w:ascii="FrankRuehl" w:hAnsi="FrankRuehl" w:cs="FrankRuehl"/>
                <w:sz w:val="26"/>
                <w:szCs w:val="26"/>
                <w:rtl/>
              </w:rPr>
              <w:t>17,907 אלפי ש"ח בהרשאה להתחייב</w:t>
            </w:r>
          </w:p>
        </w:tc>
      </w:tr>
      <w:tr w:rsidR="000A79C2" w14:paraId="60853DA7"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00EB0096" w14:textId="77777777" w:rsidR="000A79C2" w:rsidRDefault="000A79C2">
            <w:pPr>
              <w:rPr>
                <w:rFonts w:ascii="FrankRuehl" w:hAnsi="FrankRuehl" w:cs="FrankRuehl"/>
                <w:sz w:val="26"/>
                <w:szCs w:val="26"/>
                <w:rtl/>
              </w:rPr>
            </w:pPr>
            <w:r>
              <w:rPr>
                <w:rFonts w:ascii="FrankRuehl" w:hAnsi="FrankRuehl" w:cs="FrankRuehl"/>
                <w:sz w:val="26"/>
                <w:szCs w:val="26"/>
                <w:rtl/>
              </w:rPr>
              <w:t>4242</w:t>
            </w:r>
          </w:p>
        </w:tc>
        <w:tc>
          <w:tcPr>
            <w:tcW w:w="2410" w:type="dxa"/>
            <w:tcBorders>
              <w:top w:val="single" w:sz="4" w:space="0" w:color="auto"/>
              <w:left w:val="single" w:sz="4" w:space="0" w:color="auto"/>
              <w:bottom w:val="single" w:sz="4" w:space="0" w:color="auto"/>
              <w:right w:val="single" w:sz="4" w:space="0" w:color="auto"/>
            </w:tcBorders>
            <w:hideMark/>
          </w:tcPr>
          <w:p w14:paraId="52821850" w14:textId="77777777" w:rsidR="000A79C2" w:rsidRDefault="000A79C2">
            <w:pPr>
              <w:rPr>
                <w:rFonts w:ascii="FrankRuehl" w:hAnsi="FrankRuehl" w:cs="FrankRuehl"/>
                <w:sz w:val="26"/>
                <w:szCs w:val="26"/>
                <w:rtl/>
              </w:rPr>
            </w:pPr>
            <w:r>
              <w:rPr>
                <w:rFonts w:ascii="FrankRuehl" w:hAnsi="FrankRuehl" w:cs="FrankRuehl"/>
                <w:sz w:val="26"/>
                <w:szCs w:val="26"/>
                <w:rtl/>
              </w:rPr>
              <w:t>2</w:t>
            </w:r>
          </w:p>
        </w:tc>
        <w:tc>
          <w:tcPr>
            <w:tcW w:w="3398" w:type="dxa"/>
            <w:tcBorders>
              <w:top w:val="single" w:sz="4" w:space="0" w:color="auto"/>
              <w:left w:val="single" w:sz="4" w:space="0" w:color="auto"/>
              <w:bottom w:val="single" w:sz="4" w:space="0" w:color="auto"/>
              <w:right w:val="single" w:sz="4" w:space="0" w:color="auto"/>
            </w:tcBorders>
            <w:hideMark/>
          </w:tcPr>
          <w:p w14:paraId="63EB9A24" w14:textId="77777777" w:rsidR="000A79C2" w:rsidRDefault="000A79C2">
            <w:pPr>
              <w:rPr>
                <w:rFonts w:ascii="FrankRuehl" w:hAnsi="FrankRuehl" w:cs="FrankRuehl"/>
                <w:sz w:val="26"/>
                <w:szCs w:val="26"/>
                <w:rtl/>
              </w:rPr>
            </w:pPr>
            <w:r>
              <w:rPr>
                <w:rFonts w:ascii="FrankRuehl" w:hAnsi="FrankRuehl" w:cs="FrankRuehl"/>
                <w:sz w:val="26"/>
                <w:szCs w:val="26"/>
                <w:rtl/>
              </w:rPr>
              <w:t>27,365 אלפי ש"ח בהרשאה להתחייב</w:t>
            </w:r>
          </w:p>
        </w:tc>
      </w:tr>
      <w:tr w:rsidR="000A79C2" w14:paraId="0571B028"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729B230E" w14:textId="77777777" w:rsidR="000A79C2" w:rsidRDefault="000A79C2">
            <w:pPr>
              <w:rPr>
                <w:rFonts w:ascii="FrankRuehl" w:hAnsi="FrankRuehl" w:cs="FrankRuehl"/>
                <w:sz w:val="26"/>
                <w:szCs w:val="26"/>
                <w:rtl/>
              </w:rPr>
            </w:pPr>
            <w:r>
              <w:rPr>
                <w:rFonts w:ascii="FrankRuehl" w:hAnsi="FrankRuehl" w:cs="FrankRuehl"/>
                <w:sz w:val="26"/>
                <w:szCs w:val="26"/>
                <w:rtl/>
              </w:rPr>
              <w:t>4178</w:t>
            </w:r>
          </w:p>
        </w:tc>
        <w:tc>
          <w:tcPr>
            <w:tcW w:w="2410" w:type="dxa"/>
            <w:tcBorders>
              <w:top w:val="single" w:sz="4" w:space="0" w:color="auto"/>
              <w:left w:val="single" w:sz="4" w:space="0" w:color="auto"/>
              <w:bottom w:val="single" w:sz="4" w:space="0" w:color="auto"/>
              <w:right w:val="single" w:sz="4" w:space="0" w:color="auto"/>
            </w:tcBorders>
            <w:hideMark/>
          </w:tcPr>
          <w:p w14:paraId="449CC5CC" w14:textId="77777777" w:rsidR="000A79C2" w:rsidRDefault="000A79C2">
            <w:pPr>
              <w:rPr>
                <w:rFonts w:ascii="FrankRuehl" w:hAnsi="FrankRuehl" w:cs="FrankRuehl"/>
                <w:sz w:val="26"/>
                <w:szCs w:val="26"/>
                <w:rtl/>
              </w:rPr>
            </w:pPr>
            <w:r>
              <w:rPr>
                <w:rFonts w:ascii="FrankRuehl" w:hAnsi="FrankRuehl" w:cs="FrankRuehl"/>
                <w:sz w:val="26"/>
                <w:szCs w:val="26"/>
                <w:rtl/>
              </w:rPr>
              <w:t>2</w:t>
            </w:r>
          </w:p>
        </w:tc>
        <w:tc>
          <w:tcPr>
            <w:tcW w:w="3398" w:type="dxa"/>
            <w:tcBorders>
              <w:top w:val="single" w:sz="4" w:space="0" w:color="auto"/>
              <w:left w:val="single" w:sz="4" w:space="0" w:color="auto"/>
              <w:bottom w:val="single" w:sz="4" w:space="0" w:color="auto"/>
              <w:right w:val="single" w:sz="4" w:space="0" w:color="auto"/>
            </w:tcBorders>
            <w:hideMark/>
          </w:tcPr>
          <w:p w14:paraId="4D5D0ABC" w14:textId="77777777" w:rsidR="000A79C2" w:rsidRDefault="000A79C2">
            <w:pPr>
              <w:rPr>
                <w:rFonts w:ascii="FrankRuehl" w:hAnsi="FrankRuehl" w:cs="FrankRuehl"/>
                <w:sz w:val="26"/>
                <w:szCs w:val="26"/>
                <w:rtl/>
              </w:rPr>
            </w:pPr>
            <w:r>
              <w:rPr>
                <w:rFonts w:ascii="FrankRuehl" w:hAnsi="FrankRuehl" w:cs="FrankRuehl"/>
                <w:sz w:val="26"/>
                <w:szCs w:val="26"/>
                <w:rtl/>
              </w:rPr>
              <w:t>10,000 אלפי ש"ח בהרשאה להתחייב</w:t>
            </w:r>
          </w:p>
        </w:tc>
      </w:tr>
      <w:tr w:rsidR="000A79C2" w14:paraId="6FDEACC1"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757FAA8C" w14:textId="77777777" w:rsidR="000A79C2" w:rsidRDefault="000A79C2">
            <w:pPr>
              <w:rPr>
                <w:rFonts w:ascii="FrankRuehl" w:hAnsi="FrankRuehl" w:cs="FrankRuehl"/>
                <w:sz w:val="26"/>
                <w:szCs w:val="26"/>
                <w:rtl/>
              </w:rPr>
            </w:pPr>
            <w:r>
              <w:rPr>
                <w:rFonts w:ascii="FrankRuehl" w:hAnsi="FrankRuehl" w:cs="FrankRuehl"/>
                <w:sz w:val="26"/>
                <w:szCs w:val="26"/>
                <w:rtl/>
              </w:rPr>
              <w:t>3243</w:t>
            </w:r>
          </w:p>
        </w:tc>
        <w:tc>
          <w:tcPr>
            <w:tcW w:w="2410" w:type="dxa"/>
            <w:tcBorders>
              <w:top w:val="single" w:sz="4" w:space="0" w:color="auto"/>
              <w:left w:val="single" w:sz="4" w:space="0" w:color="auto"/>
              <w:bottom w:val="single" w:sz="4" w:space="0" w:color="auto"/>
              <w:right w:val="single" w:sz="4" w:space="0" w:color="auto"/>
            </w:tcBorders>
            <w:hideMark/>
          </w:tcPr>
          <w:p w14:paraId="3DBEA9A8" w14:textId="77777777" w:rsidR="000A79C2" w:rsidRDefault="000A79C2">
            <w:pPr>
              <w:rPr>
                <w:rFonts w:ascii="FrankRuehl" w:hAnsi="FrankRuehl" w:cs="FrankRuehl"/>
                <w:sz w:val="26"/>
                <w:szCs w:val="26"/>
                <w:rtl/>
              </w:rPr>
            </w:pPr>
            <w:r>
              <w:rPr>
                <w:rFonts w:ascii="FrankRuehl" w:hAnsi="FrankRuehl" w:cs="FrankRuehl"/>
                <w:sz w:val="26"/>
                <w:szCs w:val="26"/>
                <w:rtl/>
              </w:rPr>
              <w:t>ז.4</w:t>
            </w:r>
          </w:p>
        </w:tc>
        <w:tc>
          <w:tcPr>
            <w:tcW w:w="3398" w:type="dxa"/>
            <w:tcBorders>
              <w:top w:val="single" w:sz="4" w:space="0" w:color="auto"/>
              <w:left w:val="single" w:sz="4" w:space="0" w:color="auto"/>
              <w:bottom w:val="single" w:sz="4" w:space="0" w:color="auto"/>
              <w:right w:val="single" w:sz="4" w:space="0" w:color="auto"/>
            </w:tcBorders>
            <w:hideMark/>
          </w:tcPr>
          <w:p w14:paraId="567F61FB" w14:textId="77777777" w:rsidR="000A79C2" w:rsidRDefault="000A79C2">
            <w:pPr>
              <w:rPr>
                <w:rFonts w:ascii="FrankRuehl" w:hAnsi="FrankRuehl" w:cs="FrankRuehl"/>
                <w:sz w:val="26"/>
                <w:szCs w:val="26"/>
                <w:rtl/>
              </w:rPr>
            </w:pPr>
            <w:r>
              <w:rPr>
                <w:rFonts w:ascii="FrankRuehl" w:hAnsi="FrankRuehl" w:cs="FrankRuehl"/>
                <w:sz w:val="26"/>
                <w:szCs w:val="26"/>
                <w:rtl/>
              </w:rPr>
              <w:t>1,650 אלפי ש"ח בהוצאה</w:t>
            </w:r>
          </w:p>
        </w:tc>
      </w:tr>
      <w:tr w:rsidR="000A79C2" w14:paraId="0EA880B3"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4C964865" w14:textId="77777777" w:rsidR="000A79C2" w:rsidRDefault="000A79C2">
            <w:pPr>
              <w:rPr>
                <w:rFonts w:ascii="FrankRuehl" w:hAnsi="FrankRuehl" w:cs="FrankRuehl"/>
                <w:sz w:val="26"/>
                <w:szCs w:val="26"/>
                <w:rtl/>
              </w:rPr>
            </w:pPr>
            <w:r>
              <w:rPr>
                <w:rFonts w:ascii="FrankRuehl" w:hAnsi="FrankRuehl" w:cs="FrankRuehl"/>
                <w:sz w:val="26"/>
                <w:szCs w:val="26"/>
                <w:rtl/>
              </w:rPr>
              <w:t>3474</w:t>
            </w:r>
          </w:p>
        </w:tc>
        <w:tc>
          <w:tcPr>
            <w:tcW w:w="2410" w:type="dxa"/>
            <w:tcBorders>
              <w:top w:val="single" w:sz="4" w:space="0" w:color="auto"/>
              <w:left w:val="single" w:sz="4" w:space="0" w:color="auto"/>
              <w:bottom w:val="single" w:sz="4" w:space="0" w:color="auto"/>
              <w:right w:val="single" w:sz="4" w:space="0" w:color="auto"/>
            </w:tcBorders>
            <w:hideMark/>
          </w:tcPr>
          <w:p w14:paraId="3C643444" w14:textId="77777777" w:rsidR="000A79C2" w:rsidRDefault="000A79C2">
            <w:pPr>
              <w:rPr>
                <w:rFonts w:ascii="FrankRuehl" w:hAnsi="FrankRuehl" w:cs="FrankRuehl"/>
                <w:sz w:val="26"/>
                <w:szCs w:val="26"/>
                <w:rtl/>
              </w:rPr>
            </w:pPr>
            <w:r>
              <w:rPr>
                <w:rFonts w:ascii="FrankRuehl" w:hAnsi="FrankRuehl" w:cs="FrankRuehl"/>
                <w:sz w:val="26"/>
                <w:szCs w:val="26"/>
                <w:rtl/>
              </w:rPr>
              <w:t>34</w:t>
            </w:r>
          </w:p>
        </w:tc>
        <w:tc>
          <w:tcPr>
            <w:tcW w:w="3398" w:type="dxa"/>
            <w:tcBorders>
              <w:top w:val="single" w:sz="4" w:space="0" w:color="auto"/>
              <w:left w:val="single" w:sz="4" w:space="0" w:color="auto"/>
              <w:bottom w:val="single" w:sz="4" w:space="0" w:color="auto"/>
              <w:right w:val="single" w:sz="4" w:space="0" w:color="auto"/>
            </w:tcBorders>
            <w:hideMark/>
          </w:tcPr>
          <w:p w14:paraId="6B35EBEB" w14:textId="77777777" w:rsidR="000A79C2" w:rsidRDefault="000A79C2">
            <w:pPr>
              <w:rPr>
                <w:rFonts w:ascii="FrankRuehl" w:hAnsi="FrankRuehl" w:cs="FrankRuehl"/>
                <w:sz w:val="26"/>
                <w:szCs w:val="26"/>
                <w:rtl/>
              </w:rPr>
            </w:pPr>
            <w:r>
              <w:rPr>
                <w:rFonts w:ascii="FrankRuehl" w:hAnsi="FrankRuehl" w:cs="FrankRuehl"/>
                <w:sz w:val="26"/>
                <w:szCs w:val="26"/>
                <w:rtl/>
              </w:rPr>
              <w:t>1,500 אלפי ש"ח בהוצאה</w:t>
            </w:r>
          </w:p>
        </w:tc>
      </w:tr>
      <w:tr w:rsidR="000A79C2" w14:paraId="4448C9E8"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715DFCE9" w14:textId="77777777" w:rsidR="000A79C2" w:rsidRDefault="000A79C2">
            <w:pPr>
              <w:rPr>
                <w:rFonts w:ascii="FrankRuehl" w:hAnsi="FrankRuehl" w:cs="FrankRuehl"/>
                <w:sz w:val="26"/>
                <w:szCs w:val="26"/>
                <w:rtl/>
              </w:rPr>
            </w:pPr>
            <w:r>
              <w:rPr>
                <w:rFonts w:ascii="FrankRuehl" w:hAnsi="FrankRuehl" w:cs="FrankRuehl"/>
                <w:sz w:val="26"/>
                <w:szCs w:val="26"/>
                <w:rtl/>
              </w:rPr>
              <w:t>3304</w:t>
            </w:r>
          </w:p>
        </w:tc>
        <w:tc>
          <w:tcPr>
            <w:tcW w:w="2410" w:type="dxa"/>
            <w:tcBorders>
              <w:top w:val="single" w:sz="4" w:space="0" w:color="auto"/>
              <w:left w:val="single" w:sz="4" w:space="0" w:color="auto"/>
              <w:bottom w:val="single" w:sz="4" w:space="0" w:color="auto"/>
              <w:right w:val="single" w:sz="4" w:space="0" w:color="auto"/>
            </w:tcBorders>
            <w:hideMark/>
          </w:tcPr>
          <w:p w14:paraId="3DBC6517" w14:textId="77777777" w:rsidR="000A79C2" w:rsidRDefault="000A79C2">
            <w:pPr>
              <w:rPr>
                <w:rFonts w:ascii="FrankRuehl" w:hAnsi="FrankRuehl" w:cs="FrankRuehl"/>
                <w:sz w:val="26"/>
                <w:szCs w:val="26"/>
                <w:rtl/>
              </w:rPr>
            </w:pPr>
            <w:r>
              <w:rPr>
                <w:rFonts w:ascii="FrankRuehl" w:hAnsi="FrankRuehl" w:cs="FrankRuehl"/>
                <w:sz w:val="26"/>
                <w:szCs w:val="26"/>
                <w:rtl/>
              </w:rPr>
              <w:t>24</w:t>
            </w:r>
          </w:p>
        </w:tc>
        <w:tc>
          <w:tcPr>
            <w:tcW w:w="3398" w:type="dxa"/>
            <w:tcBorders>
              <w:top w:val="single" w:sz="4" w:space="0" w:color="auto"/>
              <w:left w:val="single" w:sz="4" w:space="0" w:color="auto"/>
              <w:bottom w:val="single" w:sz="4" w:space="0" w:color="auto"/>
              <w:right w:val="single" w:sz="4" w:space="0" w:color="auto"/>
            </w:tcBorders>
            <w:hideMark/>
          </w:tcPr>
          <w:p w14:paraId="7F7EF34D" w14:textId="77777777" w:rsidR="000A79C2" w:rsidRDefault="000A79C2">
            <w:pPr>
              <w:rPr>
                <w:rFonts w:ascii="FrankRuehl" w:hAnsi="FrankRuehl" w:cs="FrankRuehl"/>
                <w:sz w:val="26"/>
                <w:szCs w:val="26"/>
                <w:rtl/>
              </w:rPr>
            </w:pPr>
            <w:r>
              <w:rPr>
                <w:rFonts w:ascii="FrankRuehl" w:hAnsi="FrankRuehl" w:cs="FrankRuehl"/>
                <w:sz w:val="26"/>
                <w:szCs w:val="26"/>
                <w:rtl/>
              </w:rPr>
              <w:t>1,000 אלפי ש"ח בהוצאה</w:t>
            </w:r>
          </w:p>
        </w:tc>
      </w:tr>
      <w:tr w:rsidR="000A79C2" w14:paraId="23B7350D" w14:textId="77777777" w:rsidTr="000A79C2">
        <w:tc>
          <w:tcPr>
            <w:tcW w:w="2488" w:type="dxa"/>
            <w:tcBorders>
              <w:top w:val="single" w:sz="4" w:space="0" w:color="auto"/>
              <w:left w:val="single" w:sz="4" w:space="0" w:color="auto"/>
              <w:bottom w:val="single" w:sz="4" w:space="0" w:color="auto"/>
              <w:right w:val="single" w:sz="4" w:space="0" w:color="auto"/>
            </w:tcBorders>
            <w:hideMark/>
          </w:tcPr>
          <w:p w14:paraId="3776A9B7" w14:textId="77777777" w:rsidR="000A79C2" w:rsidRDefault="000A79C2">
            <w:pPr>
              <w:rPr>
                <w:rFonts w:ascii="FrankRuehl" w:hAnsi="FrankRuehl" w:cs="FrankRuehl"/>
                <w:sz w:val="26"/>
                <w:szCs w:val="26"/>
                <w:rtl/>
              </w:rPr>
            </w:pPr>
            <w:r>
              <w:rPr>
                <w:rFonts w:ascii="FrankRuehl" w:hAnsi="FrankRuehl" w:cs="FrankRuehl"/>
                <w:sz w:val="26"/>
                <w:szCs w:val="26"/>
                <w:rtl/>
              </w:rPr>
              <w:t>3630</w:t>
            </w:r>
          </w:p>
        </w:tc>
        <w:tc>
          <w:tcPr>
            <w:tcW w:w="2410" w:type="dxa"/>
            <w:tcBorders>
              <w:top w:val="single" w:sz="4" w:space="0" w:color="auto"/>
              <w:left w:val="single" w:sz="4" w:space="0" w:color="auto"/>
              <w:bottom w:val="single" w:sz="4" w:space="0" w:color="auto"/>
              <w:right w:val="single" w:sz="4" w:space="0" w:color="auto"/>
            </w:tcBorders>
            <w:hideMark/>
          </w:tcPr>
          <w:p w14:paraId="5E59A28D" w14:textId="77777777" w:rsidR="000A79C2" w:rsidRDefault="000A79C2">
            <w:pPr>
              <w:rPr>
                <w:rFonts w:ascii="FrankRuehl" w:hAnsi="FrankRuehl" w:cs="FrankRuehl"/>
                <w:sz w:val="26"/>
                <w:szCs w:val="26"/>
                <w:rtl/>
              </w:rPr>
            </w:pPr>
            <w:r>
              <w:rPr>
                <w:rFonts w:ascii="FrankRuehl" w:hAnsi="FrankRuehl" w:cs="FrankRuehl"/>
                <w:sz w:val="26"/>
                <w:szCs w:val="26"/>
                <w:rtl/>
              </w:rPr>
              <w:t>11.ה</w:t>
            </w:r>
          </w:p>
        </w:tc>
        <w:tc>
          <w:tcPr>
            <w:tcW w:w="3398" w:type="dxa"/>
            <w:tcBorders>
              <w:top w:val="single" w:sz="4" w:space="0" w:color="auto"/>
              <w:left w:val="single" w:sz="4" w:space="0" w:color="auto"/>
              <w:bottom w:val="single" w:sz="4" w:space="0" w:color="auto"/>
              <w:right w:val="single" w:sz="4" w:space="0" w:color="auto"/>
            </w:tcBorders>
            <w:hideMark/>
          </w:tcPr>
          <w:p w14:paraId="2FBDE998" w14:textId="77777777" w:rsidR="000A79C2" w:rsidRDefault="000A79C2">
            <w:pPr>
              <w:rPr>
                <w:rFonts w:ascii="FrankRuehl" w:hAnsi="FrankRuehl" w:cs="FrankRuehl"/>
                <w:sz w:val="26"/>
                <w:szCs w:val="26"/>
                <w:rtl/>
              </w:rPr>
            </w:pPr>
            <w:r>
              <w:rPr>
                <w:rFonts w:ascii="FrankRuehl" w:hAnsi="FrankRuehl" w:cs="FrankRuehl"/>
                <w:sz w:val="26"/>
                <w:szCs w:val="26"/>
                <w:rtl/>
              </w:rPr>
              <w:t>2,000 אלפי ש"ח בהוצאה</w:t>
            </w:r>
          </w:p>
        </w:tc>
      </w:tr>
    </w:tbl>
    <w:p w14:paraId="467AFC7A" w14:textId="77777777" w:rsidR="000A79C2" w:rsidRDefault="000A79C2" w:rsidP="000A79C2">
      <w:pPr>
        <w:rPr>
          <w:rFonts w:ascii="FrankRuehl" w:hAnsi="FrankRuehl" w:cs="FrankRuehl"/>
          <w:sz w:val="26"/>
          <w:szCs w:val="26"/>
          <w:rtl/>
        </w:rPr>
      </w:pPr>
    </w:p>
    <w:p w14:paraId="3412C2E0" w14:textId="77777777" w:rsidR="00CB133E" w:rsidRPr="00161010" w:rsidRDefault="00CB133E">
      <w:pPr>
        <w:rPr>
          <w:rFonts w:cs="FrankRuehl"/>
          <w:sz w:val="26"/>
          <w:szCs w:val="26"/>
          <w:rtl/>
        </w:rPr>
      </w:pPr>
      <w:r w:rsidRPr="00161010">
        <w:rPr>
          <w:rFonts w:cs="FrankRuehl"/>
          <w:sz w:val="26"/>
          <w:szCs w:val="26"/>
          <w:rtl/>
        </w:rPr>
        <w:t>בשינוי זה אין שימוש ברזרבה כללית.</w:t>
      </w:r>
    </w:p>
    <w:p w14:paraId="4ECAD900" w14:textId="77777777" w:rsidR="00CB133E" w:rsidRPr="00161010" w:rsidRDefault="00CB133E">
      <w:pPr>
        <w:rPr>
          <w:rFonts w:cs="FrankRuehl"/>
          <w:sz w:val="26"/>
          <w:szCs w:val="26"/>
          <w:rtl/>
        </w:rPr>
      </w:pPr>
    </w:p>
    <w:p w14:paraId="56F3B5BB" w14:textId="77777777" w:rsidR="00CB133E" w:rsidRPr="00161010" w:rsidRDefault="00CB133E">
      <w:pPr>
        <w:rPr>
          <w:rFonts w:cs="FrankRuehl"/>
          <w:sz w:val="26"/>
          <w:szCs w:val="26"/>
          <w:rtl/>
        </w:rPr>
      </w:pPr>
    </w:p>
    <w:p w14:paraId="5E8FB3E1"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49F49CA0" w14:textId="77777777" w:rsidR="00462897" w:rsidRDefault="00462897">
      <w:pPr>
        <w:tabs>
          <w:tab w:val="center" w:pos="6867"/>
        </w:tabs>
        <w:rPr>
          <w:rFonts w:cs="FrankRuehl"/>
          <w:sz w:val="26"/>
          <w:szCs w:val="26"/>
          <w:rtl/>
        </w:rPr>
      </w:pPr>
      <w:r>
        <w:rPr>
          <w:rFonts w:cs="FrankRuehl"/>
          <w:sz w:val="26"/>
          <w:szCs w:val="26"/>
          <w:rtl/>
        </w:rPr>
        <w:lastRenderedPageBreak/>
        <w:tab/>
      </w:r>
    </w:p>
    <w:p w14:paraId="48297074" w14:textId="77777777" w:rsidR="00462897" w:rsidRPr="00161010" w:rsidRDefault="00462897">
      <w:pPr>
        <w:tabs>
          <w:tab w:val="center" w:pos="6867"/>
        </w:tabs>
        <w:rPr>
          <w:rFonts w:cs="FrankRuehl"/>
          <w:sz w:val="26"/>
          <w:szCs w:val="26"/>
        </w:rPr>
      </w:pPr>
      <w:r>
        <w:rPr>
          <w:rFonts w:cs="FrankRuehl"/>
          <w:sz w:val="26"/>
          <w:szCs w:val="26"/>
          <w:rtl/>
        </w:rPr>
        <w:tab/>
      </w:r>
      <w:bookmarkStart w:id="10" w:name="Sign_Image"/>
      <w:bookmarkEnd w:id="10"/>
    </w:p>
    <w:p w14:paraId="78CBF32B"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433CC171"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0CD5D99B"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0309C2B7" w14:textId="77777777" w:rsidR="00CB133E" w:rsidRPr="00161010" w:rsidRDefault="00CB133E">
      <w:pPr>
        <w:rPr>
          <w:rFonts w:cs="FrankRuehl"/>
          <w:sz w:val="26"/>
          <w:szCs w:val="26"/>
          <w:rtl/>
        </w:rPr>
      </w:pPr>
    </w:p>
    <w:p w14:paraId="287F8AD3" w14:textId="77777777" w:rsidR="00CB133E" w:rsidRPr="00161010" w:rsidRDefault="00CB133E">
      <w:pPr>
        <w:rPr>
          <w:rFonts w:cs="FrankRuehl"/>
          <w:sz w:val="26"/>
          <w:szCs w:val="26"/>
          <w:rtl/>
        </w:rPr>
      </w:pPr>
      <w:r w:rsidRPr="00161010">
        <w:rPr>
          <w:rFonts w:cs="FrankRuehl"/>
          <w:sz w:val="26"/>
          <w:szCs w:val="26"/>
          <w:rtl/>
        </w:rPr>
        <w:t>העתק:</w:t>
      </w:r>
    </w:p>
    <w:p w14:paraId="3FFD77CD" w14:textId="77777777" w:rsidR="00CB133E" w:rsidRPr="00161010" w:rsidRDefault="00CB133E">
      <w:pPr>
        <w:rPr>
          <w:rFonts w:cs="FrankRuehl"/>
          <w:sz w:val="26"/>
          <w:szCs w:val="26"/>
          <w:rtl/>
        </w:rPr>
      </w:pPr>
      <w:r w:rsidRPr="00161010">
        <w:rPr>
          <w:rFonts w:cs="FrankRuehl"/>
          <w:sz w:val="26"/>
          <w:szCs w:val="26"/>
          <w:rtl/>
        </w:rPr>
        <w:t>החשב הכללי</w:t>
      </w:r>
    </w:p>
    <w:p w14:paraId="79E9D853" w14:textId="77777777" w:rsidR="00CB133E" w:rsidRPr="00161010" w:rsidRDefault="00CB133E">
      <w:pPr>
        <w:rPr>
          <w:rFonts w:cs="FrankRuehl"/>
          <w:sz w:val="26"/>
          <w:szCs w:val="26"/>
          <w:rtl/>
        </w:rPr>
      </w:pPr>
      <w:r w:rsidRPr="00161010">
        <w:rPr>
          <w:rFonts w:cs="FrankRuehl"/>
          <w:sz w:val="26"/>
          <w:szCs w:val="26"/>
          <w:rtl/>
        </w:rPr>
        <w:t>מבקר המדינה (2)</w:t>
      </w:r>
    </w:p>
    <w:p w14:paraId="1B1CD4BA" w14:textId="1CC8852F" w:rsidR="00CB133E" w:rsidRPr="00161010" w:rsidRDefault="00C937A4">
      <w:pPr>
        <w:rPr>
          <w:rFonts w:cs="FrankRuehl"/>
          <w:sz w:val="26"/>
          <w:szCs w:val="26"/>
          <w:rtl/>
        </w:rPr>
      </w:pPr>
      <w:bookmarkStart w:id="11" w:name="TAKZIV22"/>
      <w:r>
        <w:rPr>
          <w:rFonts w:cs="FrankRuehl"/>
          <w:sz w:val="26"/>
          <w:szCs w:val="26"/>
          <w:rtl/>
        </w:rPr>
        <w:t>חשב החשב הכללי</w:t>
      </w:r>
      <w:bookmarkEnd w:id="11"/>
    </w:p>
    <w:p w14:paraId="3C199EB0" w14:textId="24302336" w:rsidR="00CB133E" w:rsidRPr="00161010" w:rsidRDefault="00CB133E">
      <w:pPr>
        <w:rPr>
          <w:rFonts w:cs="FrankRuehl"/>
          <w:sz w:val="26"/>
          <w:szCs w:val="26"/>
          <w:rtl/>
        </w:rPr>
      </w:pPr>
      <w:r w:rsidRPr="00161010">
        <w:rPr>
          <w:rFonts w:cs="FrankRuehl"/>
          <w:sz w:val="26"/>
          <w:szCs w:val="26"/>
          <w:rtl/>
        </w:rPr>
        <w:t xml:space="preserve">קצין תקציבים </w:t>
      </w:r>
      <w:bookmarkStart w:id="12" w:name="TAKZIV6_1"/>
      <w:r w:rsidR="00C937A4">
        <w:rPr>
          <w:rFonts w:cs="FrankRuehl"/>
          <w:sz w:val="26"/>
          <w:szCs w:val="26"/>
          <w:rtl/>
        </w:rPr>
        <w:t>דיור ממשלתי</w:t>
      </w:r>
      <w:bookmarkEnd w:id="12"/>
    </w:p>
    <w:p w14:paraId="3DE9ABD7" w14:textId="65C38563" w:rsidR="00CB133E" w:rsidRPr="00161010" w:rsidRDefault="00CB133E">
      <w:pPr>
        <w:rPr>
          <w:rFonts w:cs="FrankRuehl"/>
          <w:sz w:val="26"/>
          <w:szCs w:val="26"/>
          <w:rtl/>
        </w:rPr>
      </w:pPr>
      <w:r w:rsidRPr="00161010">
        <w:rPr>
          <w:rFonts w:cs="FrankRuehl"/>
          <w:sz w:val="26"/>
          <w:szCs w:val="26"/>
          <w:rtl/>
        </w:rPr>
        <w:t xml:space="preserve">רפרנט </w:t>
      </w:r>
      <w:bookmarkStart w:id="13" w:name="TAKZIV6_2"/>
      <w:r w:rsidR="00C937A4">
        <w:rPr>
          <w:rFonts w:cs="FrankRuehl"/>
          <w:sz w:val="26"/>
          <w:szCs w:val="26"/>
          <w:rtl/>
        </w:rPr>
        <w:t>דיור ממשלתי</w:t>
      </w:r>
      <w:bookmarkEnd w:id="13"/>
    </w:p>
    <w:p w14:paraId="48723225" w14:textId="77777777" w:rsidR="00CB133E" w:rsidRPr="00161010" w:rsidRDefault="00CB133E">
      <w:pPr>
        <w:rPr>
          <w:rFonts w:cs="FrankRuehl"/>
          <w:sz w:val="26"/>
          <w:szCs w:val="26"/>
          <w:rtl/>
        </w:rPr>
      </w:pPr>
      <w:bookmarkStart w:id="14" w:name="TAKZIV23"/>
      <w:bookmarkEnd w:id="14"/>
    </w:p>
    <w:p w14:paraId="5FFA8384" w14:textId="77777777" w:rsidR="00CB133E" w:rsidRPr="00161010" w:rsidRDefault="00CB133E">
      <w:pPr>
        <w:rPr>
          <w:rFonts w:cs="FrankRuehl"/>
          <w:sz w:val="26"/>
          <w:szCs w:val="26"/>
          <w:rtl/>
        </w:rPr>
      </w:pPr>
    </w:p>
    <w:p w14:paraId="28944322" w14:textId="26CBB024" w:rsidR="00CB133E" w:rsidRDefault="00CB133E">
      <w:pPr>
        <w:rPr>
          <w:rFonts w:cs="FrankRuehl"/>
          <w:sz w:val="26"/>
          <w:szCs w:val="26"/>
          <w:rtl/>
        </w:rPr>
      </w:pPr>
      <w:bookmarkStart w:id="15" w:name="TAKZIV25"/>
      <w:bookmarkEnd w:id="15"/>
    </w:p>
    <w:p w14:paraId="6F311DD5" w14:textId="4A525C87" w:rsidR="000A79C2" w:rsidRDefault="000A79C2">
      <w:pPr>
        <w:rPr>
          <w:rFonts w:cs="FrankRuehl"/>
          <w:sz w:val="26"/>
          <w:szCs w:val="26"/>
          <w:rtl/>
        </w:rPr>
      </w:pPr>
    </w:p>
    <w:p w14:paraId="54B49377" w14:textId="2E8A0FB4" w:rsidR="000A79C2" w:rsidRDefault="000A79C2">
      <w:pPr>
        <w:rPr>
          <w:rFonts w:cs="FrankRuehl"/>
          <w:sz w:val="26"/>
          <w:szCs w:val="26"/>
          <w:rtl/>
        </w:rPr>
      </w:pPr>
    </w:p>
    <w:p w14:paraId="01892D35" w14:textId="0698024E" w:rsidR="000A79C2" w:rsidRDefault="000A79C2">
      <w:pPr>
        <w:rPr>
          <w:rFonts w:cs="FrankRuehl"/>
          <w:sz w:val="26"/>
          <w:szCs w:val="26"/>
          <w:rtl/>
        </w:rPr>
      </w:pPr>
    </w:p>
    <w:p w14:paraId="109D18B9" w14:textId="75CA1A86" w:rsidR="000A79C2" w:rsidRDefault="000A79C2">
      <w:pPr>
        <w:rPr>
          <w:rFonts w:cs="FrankRuehl"/>
          <w:sz w:val="26"/>
          <w:szCs w:val="26"/>
          <w:rtl/>
        </w:rPr>
      </w:pPr>
    </w:p>
    <w:p w14:paraId="656872C8" w14:textId="7308487B" w:rsidR="000A79C2" w:rsidRDefault="000A79C2">
      <w:pPr>
        <w:rPr>
          <w:rFonts w:cs="FrankRuehl"/>
          <w:sz w:val="26"/>
          <w:szCs w:val="26"/>
          <w:rtl/>
        </w:rPr>
      </w:pPr>
    </w:p>
    <w:p w14:paraId="1FD1911E" w14:textId="45B8FE3F" w:rsidR="000A79C2" w:rsidRDefault="000A79C2">
      <w:pPr>
        <w:rPr>
          <w:rFonts w:cs="FrankRuehl"/>
          <w:sz w:val="26"/>
          <w:szCs w:val="26"/>
          <w:rtl/>
        </w:rPr>
      </w:pPr>
    </w:p>
    <w:p w14:paraId="64FE8243" w14:textId="12D83A35" w:rsidR="000A79C2" w:rsidRDefault="000A79C2">
      <w:pPr>
        <w:rPr>
          <w:rFonts w:cs="FrankRuehl"/>
          <w:sz w:val="26"/>
          <w:szCs w:val="26"/>
          <w:rtl/>
        </w:rPr>
      </w:pPr>
    </w:p>
    <w:p w14:paraId="0C3DAC05" w14:textId="34FCE81A" w:rsidR="000A79C2" w:rsidRDefault="000A79C2">
      <w:pPr>
        <w:rPr>
          <w:rFonts w:cs="FrankRuehl"/>
          <w:sz w:val="26"/>
          <w:szCs w:val="26"/>
          <w:rtl/>
        </w:rPr>
      </w:pPr>
    </w:p>
    <w:p w14:paraId="6560EE55" w14:textId="52A41842" w:rsidR="000A79C2" w:rsidRDefault="000A79C2">
      <w:pPr>
        <w:rPr>
          <w:rFonts w:cs="FrankRuehl"/>
          <w:sz w:val="26"/>
          <w:szCs w:val="26"/>
          <w:rtl/>
        </w:rPr>
      </w:pPr>
    </w:p>
    <w:p w14:paraId="7C436C99" w14:textId="41AA1481" w:rsidR="000A79C2" w:rsidRDefault="000A79C2">
      <w:pPr>
        <w:rPr>
          <w:rFonts w:cs="FrankRuehl"/>
          <w:sz w:val="26"/>
          <w:szCs w:val="26"/>
          <w:rtl/>
        </w:rPr>
      </w:pPr>
    </w:p>
    <w:p w14:paraId="34E17A7F" w14:textId="4925279D" w:rsidR="000A79C2" w:rsidRDefault="000A79C2">
      <w:pPr>
        <w:rPr>
          <w:rFonts w:cs="FrankRuehl"/>
          <w:sz w:val="26"/>
          <w:szCs w:val="26"/>
          <w:rtl/>
        </w:rPr>
      </w:pPr>
    </w:p>
    <w:p w14:paraId="316D84D5" w14:textId="518DAE34" w:rsidR="000A79C2" w:rsidRDefault="000A79C2">
      <w:pPr>
        <w:rPr>
          <w:rFonts w:cs="FrankRuehl"/>
          <w:sz w:val="26"/>
          <w:szCs w:val="26"/>
          <w:rtl/>
        </w:rPr>
      </w:pPr>
    </w:p>
    <w:p w14:paraId="4360DE07" w14:textId="763283EA" w:rsidR="000A79C2" w:rsidRDefault="000A79C2">
      <w:pPr>
        <w:rPr>
          <w:rFonts w:cs="FrankRuehl"/>
          <w:sz w:val="26"/>
          <w:szCs w:val="26"/>
          <w:rtl/>
        </w:rPr>
      </w:pPr>
    </w:p>
    <w:p w14:paraId="0AFB8BE4" w14:textId="6F32623F" w:rsidR="000A79C2" w:rsidRDefault="000A79C2">
      <w:pPr>
        <w:rPr>
          <w:rFonts w:cs="FrankRuehl"/>
          <w:sz w:val="26"/>
          <w:szCs w:val="26"/>
          <w:rtl/>
        </w:rPr>
      </w:pPr>
    </w:p>
    <w:p w14:paraId="7AF00278" w14:textId="649BB1E6" w:rsidR="000A79C2" w:rsidRDefault="000A79C2">
      <w:pPr>
        <w:rPr>
          <w:rFonts w:cs="FrankRuehl"/>
          <w:sz w:val="26"/>
          <w:szCs w:val="26"/>
          <w:rtl/>
        </w:rPr>
      </w:pPr>
    </w:p>
    <w:p w14:paraId="4404AB95" w14:textId="0237439B" w:rsidR="000A79C2" w:rsidRDefault="000A79C2">
      <w:pPr>
        <w:rPr>
          <w:rFonts w:cs="FrankRuehl"/>
          <w:sz w:val="26"/>
          <w:szCs w:val="26"/>
          <w:rtl/>
        </w:rPr>
      </w:pPr>
    </w:p>
    <w:p w14:paraId="1D2947EF" w14:textId="53B95F43" w:rsidR="000A79C2" w:rsidRDefault="000A79C2">
      <w:pPr>
        <w:rPr>
          <w:rFonts w:cs="FrankRuehl"/>
          <w:sz w:val="26"/>
          <w:szCs w:val="26"/>
          <w:rtl/>
        </w:rPr>
      </w:pPr>
    </w:p>
    <w:p w14:paraId="09886A1B" w14:textId="515B3C57" w:rsidR="000A79C2" w:rsidRDefault="000A79C2">
      <w:pPr>
        <w:rPr>
          <w:rFonts w:cs="FrankRuehl"/>
          <w:sz w:val="26"/>
          <w:szCs w:val="26"/>
          <w:rtl/>
        </w:rPr>
      </w:pPr>
    </w:p>
    <w:p w14:paraId="3426A7BA" w14:textId="49FD6768" w:rsidR="000A79C2" w:rsidRDefault="000A79C2">
      <w:pPr>
        <w:rPr>
          <w:rFonts w:cs="FrankRuehl"/>
          <w:sz w:val="26"/>
          <w:szCs w:val="26"/>
          <w:rtl/>
        </w:rPr>
      </w:pPr>
    </w:p>
    <w:p w14:paraId="1974DCA5" w14:textId="334173F1" w:rsidR="000A79C2" w:rsidRDefault="000A79C2">
      <w:pPr>
        <w:rPr>
          <w:rFonts w:cs="FrankRuehl"/>
          <w:sz w:val="26"/>
          <w:szCs w:val="26"/>
          <w:rtl/>
        </w:rPr>
      </w:pPr>
    </w:p>
    <w:p w14:paraId="7109C1C2" w14:textId="1E5B2E2F" w:rsidR="000A79C2" w:rsidRDefault="000A79C2">
      <w:pPr>
        <w:rPr>
          <w:rFonts w:cs="FrankRuehl"/>
          <w:sz w:val="26"/>
          <w:szCs w:val="26"/>
          <w:rtl/>
        </w:rPr>
      </w:pPr>
    </w:p>
    <w:p w14:paraId="2B077A8C" w14:textId="58F50C8C" w:rsidR="000A79C2" w:rsidRDefault="000A79C2">
      <w:pPr>
        <w:rPr>
          <w:rFonts w:cs="FrankRuehl"/>
          <w:sz w:val="26"/>
          <w:szCs w:val="26"/>
          <w:rtl/>
        </w:rPr>
      </w:pPr>
    </w:p>
    <w:p w14:paraId="4BEF3FD5" w14:textId="3470BA94" w:rsidR="000A79C2" w:rsidRDefault="000A79C2">
      <w:pPr>
        <w:rPr>
          <w:rFonts w:cs="FrankRuehl"/>
          <w:sz w:val="26"/>
          <w:szCs w:val="26"/>
          <w:rtl/>
        </w:rPr>
      </w:pPr>
    </w:p>
    <w:p w14:paraId="63B27E54" w14:textId="51A5500E" w:rsidR="000A79C2" w:rsidRDefault="000A79C2">
      <w:pPr>
        <w:rPr>
          <w:rFonts w:cs="FrankRuehl"/>
          <w:sz w:val="26"/>
          <w:szCs w:val="26"/>
          <w:rtl/>
        </w:rPr>
      </w:pPr>
    </w:p>
    <w:p w14:paraId="4DFD065F" w14:textId="7EEA49D1" w:rsidR="000A79C2" w:rsidRDefault="000A79C2">
      <w:pPr>
        <w:rPr>
          <w:rFonts w:cs="FrankRuehl"/>
          <w:sz w:val="26"/>
          <w:szCs w:val="26"/>
          <w:rtl/>
        </w:rPr>
      </w:pPr>
    </w:p>
    <w:p w14:paraId="7D1ED8EC" w14:textId="2374DBA2" w:rsidR="000A79C2" w:rsidRDefault="000A79C2">
      <w:pPr>
        <w:rPr>
          <w:rFonts w:cs="FrankRuehl"/>
          <w:sz w:val="26"/>
          <w:szCs w:val="26"/>
          <w:rtl/>
        </w:rPr>
      </w:pPr>
    </w:p>
    <w:p w14:paraId="551AA01B" w14:textId="797D05DF" w:rsidR="000A79C2" w:rsidRDefault="000A79C2">
      <w:pPr>
        <w:rPr>
          <w:rFonts w:cs="FrankRuehl"/>
          <w:sz w:val="26"/>
          <w:szCs w:val="26"/>
          <w:rtl/>
        </w:rPr>
      </w:pPr>
    </w:p>
    <w:p w14:paraId="4C572297" w14:textId="45D6C7F5" w:rsidR="000A79C2" w:rsidRDefault="000A79C2">
      <w:pPr>
        <w:rPr>
          <w:rFonts w:cs="FrankRuehl"/>
          <w:sz w:val="26"/>
          <w:szCs w:val="26"/>
          <w:rtl/>
        </w:rPr>
      </w:pPr>
    </w:p>
    <w:p w14:paraId="5BC1D852" w14:textId="3694A538" w:rsidR="000A79C2" w:rsidRDefault="000A79C2">
      <w:pPr>
        <w:rPr>
          <w:rFonts w:cs="FrankRuehl"/>
          <w:sz w:val="26"/>
          <w:szCs w:val="26"/>
          <w:rtl/>
        </w:rPr>
      </w:pPr>
    </w:p>
    <w:p w14:paraId="7F93309A" w14:textId="4CBC8D4A" w:rsidR="000A79C2" w:rsidRDefault="000A79C2">
      <w:pPr>
        <w:rPr>
          <w:rFonts w:cs="FrankRuehl"/>
          <w:sz w:val="26"/>
          <w:szCs w:val="26"/>
          <w:rtl/>
        </w:rPr>
      </w:pPr>
    </w:p>
    <w:p w14:paraId="788527C5" w14:textId="0F77F2C1" w:rsidR="000A79C2" w:rsidRDefault="000A79C2">
      <w:pPr>
        <w:rPr>
          <w:rFonts w:cs="FrankRuehl"/>
          <w:sz w:val="26"/>
          <w:szCs w:val="26"/>
          <w:rtl/>
        </w:rPr>
      </w:pPr>
    </w:p>
    <w:p w14:paraId="07A8864C" w14:textId="6734BD37" w:rsidR="000A79C2" w:rsidRDefault="000A79C2">
      <w:pPr>
        <w:rPr>
          <w:rFonts w:cs="FrankRuehl"/>
          <w:sz w:val="26"/>
          <w:szCs w:val="26"/>
          <w:rtl/>
        </w:rPr>
      </w:pPr>
    </w:p>
    <w:p w14:paraId="6D4BDC3E" w14:textId="124D1AA1" w:rsidR="000A79C2" w:rsidRDefault="000A79C2">
      <w:pPr>
        <w:rPr>
          <w:rFonts w:cs="FrankRuehl"/>
          <w:sz w:val="26"/>
          <w:szCs w:val="26"/>
          <w:rtl/>
        </w:rPr>
      </w:pPr>
    </w:p>
    <w:p w14:paraId="33035FBE" w14:textId="77777777" w:rsidR="000A79C2" w:rsidRDefault="000A79C2">
      <w:pPr>
        <w:rPr>
          <w:rFonts w:cs="FrankRuehl"/>
          <w:sz w:val="26"/>
          <w:szCs w:val="26"/>
          <w:rtl/>
        </w:rPr>
      </w:pPr>
    </w:p>
    <w:p w14:paraId="511022F8" w14:textId="731A6EF0" w:rsidR="000A79C2" w:rsidRDefault="000A79C2">
      <w:pPr>
        <w:rPr>
          <w:rFonts w:cs="FrankRuehl"/>
          <w:sz w:val="26"/>
          <w:szCs w:val="26"/>
          <w:rtl/>
        </w:rPr>
      </w:pPr>
    </w:p>
    <w:p w14:paraId="581EEE23" w14:textId="35A2A5C8" w:rsidR="000A79C2" w:rsidRDefault="000A79C2">
      <w:pPr>
        <w:rPr>
          <w:rFonts w:cs="FrankRuehl"/>
          <w:sz w:val="26"/>
          <w:szCs w:val="26"/>
          <w:rtl/>
        </w:rPr>
      </w:pPr>
    </w:p>
    <w:p w14:paraId="3BBEC72B" w14:textId="20EB8A79" w:rsidR="000A79C2" w:rsidRDefault="000A79C2">
      <w:pPr>
        <w:rPr>
          <w:rFonts w:cs="FrankRuehl"/>
          <w:sz w:val="26"/>
          <w:szCs w:val="26"/>
          <w:rtl/>
        </w:rPr>
      </w:pPr>
    </w:p>
    <w:p w14:paraId="072C133C" w14:textId="67A600BE" w:rsidR="000A79C2" w:rsidRPr="000A79C2" w:rsidRDefault="000A79C2" w:rsidP="000A79C2">
      <w:pPr>
        <w:jc w:val="center"/>
        <w:rPr>
          <w:rFonts w:cs="FrankRuehl"/>
          <w:b/>
          <w:bCs/>
          <w:sz w:val="26"/>
          <w:szCs w:val="26"/>
          <w:u w:val="single"/>
          <w:rtl/>
        </w:rPr>
      </w:pPr>
      <w:r w:rsidRPr="000A79C2">
        <w:rPr>
          <w:rFonts w:cs="FrankRuehl" w:hint="cs"/>
          <w:b/>
          <w:bCs/>
          <w:sz w:val="26"/>
          <w:szCs w:val="26"/>
          <w:u w:val="single"/>
          <w:rtl/>
        </w:rPr>
        <w:lastRenderedPageBreak/>
        <w:t>נספח לדברי ההסבר</w:t>
      </w:r>
    </w:p>
    <w:p w14:paraId="03E33B77" w14:textId="66777A6C" w:rsidR="000A79C2" w:rsidRDefault="000A79C2">
      <w:pPr>
        <w:rPr>
          <w:rFonts w:cs="FrankRuehl"/>
          <w:sz w:val="26"/>
          <w:szCs w:val="26"/>
          <w:rtl/>
        </w:rPr>
      </w:pPr>
    </w:p>
    <w:p w14:paraId="04CAECFB" w14:textId="0DD2FA90" w:rsidR="000A79C2" w:rsidRDefault="000A79C2" w:rsidP="000A79C2">
      <w:pPr>
        <w:rPr>
          <w:rFonts w:ascii="FrankRuehl" w:hAnsi="FrankRuehl" w:cs="FrankRuehl"/>
          <w:b/>
          <w:bCs/>
          <w:sz w:val="26"/>
          <w:szCs w:val="26"/>
          <w:rtl/>
        </w:rPr>
      </w:pPr>
      <w:r>
        <w:rPr>
          <w:rFonts w:ascii="FrankRuehl" w:hAnsi="FrankRuehl" w:cs="FrankRuehl"/>
          <w:b/>
          <w:bCs/>
          <w:sz w:val="26"/>
          <w:szCs w:val="26"/>
          <w:rtl/>
        </w:rPr>
        <w:t xml:space="preserve">היסטוריה תקציבית </w:t>
      </w:r>
      <w:r>
        <w:rPr>
          <w:rFonts w:ascii="FrankRuehl" w:hAnsi="FrankRuehl" w:cs="FrankRuehl" w:hint="cs"/>
          <w:b/>
          <w:bCs/>
          <w:sz w:val="26"/>
          <w:szCs w:val="26"/>
          <w:rtl/>
        </w:rPr>
        <w:t>-</w:t>
      </w:r>
      <w:r>
        <w:rPr>
          <w:rFonts w:ascii="FrankRuehl" w:hAnsi="FrankRuehl" w:cs="FrankRuehl"/>
          <w:b/>
          <w:bCs/>
          <w:sz w:val="26"/>
          <w:szCs w:val="26"/>
          <w:rtl/>
        </w:rPr>
        <w:t xml:space="preserve"> הוצאה נטו</w:t>
      </w:r>
    </w:p>
    <w:tbl>
      <w:tblPr>
        <w:bidiVisual/>
        <w:tblW w:w="5000" w:type="pct"/>
        <w:tblLook w:val="04A0" w:firstRow="1" w:lastRow="0" w:firstColumn="1" w:lastColumn="0" w:noHBand="0" w:noVBand="1"/>
      </w:tblPr>
      <w:tblGrid>
        <w:gridCol w:w="864"/>
        <w:gridCol w:w="1046"/>
        <w:gridCol w:w="1087"/>
        <w:gridCol w:w="921"/>
        <w:gridCol w:w="921"/>
        <w:gridCol w:w="921"/>
        <w:gridCol w:w="921"/>
        <w:gridCol w:w="921"/>
        <w:gridCol w:w="921"/>
      </w:tblGrid>
      <w:tr w:rsidR="000A79C2" w14:paraId="6A5AB704" w14:textId="77777777" w:rsidTr="000A79C2">
        <w:trPr>
          <w:trHeight w:val="1980"/>
        </w:trPr>
        <w:tc>
          <w:tcPr>
            <w:tcW w:w="569" w:type="pct"/>
            <w:tcBorders>
              <w:top w:val="single" w:sz="4" w:space="0" w:color="979991"/>
              <w:left w:val="single" w:sz="4" w:space="0" w:color="979991"/>
              <w:bottom w:val="single" w:sz="4" w:space="0" w:color="808080"/>
              <w:right w:val="nil"/>
            </w:tcBorders>
            <w:shd w:val="clear" w:color="auto" w:fill="F0F4FA"/>
            <w:vAlign w:val="center"/>
            <w:hideMark/>
          </w:tcPr>
          <w:p w14:paraId="77F212F3"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קוד תוכנית</w:t>
            </w:r>
          </w:p>
        </w:tc>
        <w:tc>
          <w:tcPr>
            <w:tcW w:w="704" w:type="pct"/>
            <w:tcBorders>
              <w:top w:val="single" w:sz="4" w:space="0" w:color="979991"/>
              <w:left w:val="single" w:sz="4" w:space="0" w:color="979991"/>
              <w:bottom w:val="single" w:sz="4" w:space="0" w:color="808080"/>
              <w:right w:val="nil"/>
            </w:tcBorders>
            <w:shd w:val="clear" w:color="auto" w:fill="F0F4FA"/>
            <w:vAlign w:val="center"/>
            <w:hideMark/>
          </w:tcPr>
          <w:p w14:paraId="1CCDF635" w14:textId="77777777" w:rsidR="000A79C2" w:rsidRDefault="000A79C2" w:rsidP="00BB14E1">
            <w:pPr>
              <w:jc w:val="center"/>
              <w:rPr>
                <w:rFonts w:ascii="FrankRuehl" w:hAnsi="FrankRuehl" w:cs="FrankRuehl"/>
                <w:b/>
                <w:bCs/>
                <w:color w:val="000000"/>
                <w:sz w:val="26"/>
                <w:szCs w:val="26"/>
              </w:rPr>
            </w:pPr>
            <w:r>
              <w:rPr>
                <w:rFonts w:ascii="FrankRuehl" w:hAnsi="FrankRuehl" w:cs="FrankRuehl"/>
                <w:b/>
                <w:bCs/>
                <w:color w:val="000000"/>
                <w:sz w:val="26"/>
                <w:szCs w:val="26"/>
                <w:rtl/>
              </w:rPr>
              <w:t>השינוי התקציב המוצע בפנייה הוצאות נטו</w:t>
            </w:r>
          </w:p>
        </w:tc>
        <w:tc>
          <w:tcPr>
            <w:tcW w:w="552" w:type="pct"/>
            <w:tcBorders>
              <w:top w:val="single" w:sz="4" w:space="0" w:color="979991"/>
              <w:left w:val="single" w:sz="4" w:space="0" w:color="979991"/>
              <w:bottom w:val="single" w:sz="4" w:space="0" w:color="808080"/>
              <w:right w:val="nil"/>
            </w:tcBorders>
            <w:shd w:val="clear" w:color="auto" w:fill="F0F4FA"/>
            <w:vAlign w:val="center"/>
            <w:hideMark/>
          </w:tcPr>
          <w:p w14:paraId="246B0188"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2026</w:t>
            </w:r>
          </w:p>
        </w:tc>
        <w:tc>
          <w:tcPr>
            <w:tcW w:w="572" w:type="pct"/>
            <w:tcBorders>
              <w:top w:val="single" w:sz="4" w:space="0" w:color="979991"/>
              <w:left w:val="single" w:sz="4" w:space="0" w:color="979991"/>
              <w:bottom w:val="single" w:sz="4" w:space="0" w:color="808080"/>
              <w:right w:val="nil"/>
            </w:tcBorders>
            <w:shd w:val="clear" w:color="auto" w:fill="F0F4FA"/>
            <w:vAlign w:val="center"/>
            <w:hideMark/>
          </w:tcPr>
          <w:p w14:paraId="382693AD"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 xml:space="preserve">מאושר 2025 בניכוי עודפים שעברו ב-2025 </w:t>
            </w:r>
          </w:p>
        </w:tc>
        <w:tc>
          <w:tcPr>
            <w:tcW w:w="496" w:type="pct"/>
            <w:tcBorders>
              <w:top w:val="single" w:sz="4" w:space="0" w:color="979991"/>
              <w:left w:val="single" w:sz="4" w:space="0" w:color="979991"/>
              <w:bottom w:val="single" w:sz="4" w:space="0" w:color="808080"/>
              <w:right w:val="nil"/>
            </w:tcBorders>
            <w:shd w:val="clear" w:color="auto" w:fill="F0F4FA"/>
            <w:vAlign w:val="center"/>
            <w:hideMark/>
          </w:tcPr>
          <w:p w14:paraId="3AFC2273"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2025</w:t>
            </w:r>
          </w:p>
        </w:tc>
        <w:tc>
          <w:tcPr>
            <w:tcW w:w="572" w:type="pct"/>
            <w:tcBorders>
              <w:top w:val="single" w:sz="4" w:space="0" w:color="979991"/>
              <w:left w:val="single" w:sz="4" w:space="0" w:color="979991"/>
              <w:bottom w:val="single" w:sz="4" w:space="0" w:color="808080"/>
              <w:right w:val="nil"/>
            </w:tcBorders>
            <w:shd w:val="clear" w:color="auto" w:fill="F0F4FA"/>
            <w:vAlign w:val="center"/>
            <w:hideMark/>
          </w:tcPr>
          <w:p w14:paraId="75C25E01"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2024 בניכוי עודפים שעברו ב-2024</w:t>
            </w:r>
          </w:p>
        </w:tc>
        <w:tc>
          <w:tcPr>
            <w:tcW w:w="496" w:type="pct"/>
            <w:tcBorders>
              <w:top w:val="single" w:sz="4" w:space="0" w:color="979991"/>
              <w:left w:val="single" w:sz="4" w:space="0" w:color="979991"/>
              <w:bottom w:val="single" w:sz="4" w:space="0" w:color="808080"/>
              <w:right w:val="nil"/>
            </w:tcBorders>
            <w:shd w:val="clear" w:color="auto" w:fill="F0F4FA"/>
            <w:vAlign w:val="center"/>
            <w:hideMark/>
          </w:tcPr>
          <w:p w14:paraId="3C9D5076"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2024</w:t>
            </w:r>
          </w:p>
        </w:tc>
        <w:tc>
          <w:tcPr>
            <w:tcW w:w="572" w:type="pct"/>
            <w:tcBorders>
              <w:top w:val="single" w:sz="4" w:space="0" w:color="979991"/>
              <w:left w:val="single" w:sz="4" w:space="0" w:color="979991"/>
              <w:bottom w:val="single" w:sz="4" w:space="0" w:color="808080"/>
              <w:right w:val="nil"/>
            </w:tcBorders>
            <w:shd w:val="clear" w:color="auto" w:fill="F0F4FA"/>
            <w:vAlign w:val="center"/>
            <w:hideMark/>
          </w:tcPr>
          <w:p w14:paraId="7A24A1B2"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2023 בניכוי עודפים שעברו ב-2023</w:t>
            </w:r>
          </w:p>
        </w:tc>
        <w:tc>
          <w:tcPr>
            <w:tcW w:w="468" w:type="pct"/>
            <w:tcBorders>
              <w:top w:val="single" w:sz="4" w:space="0" w:color="979991"/>
              <w:left w:val="single" w:sz="4" w:space="0" w:color="979991"/>
              <w:bottom w:val="single" w:sz="4" w:space="0" w:color="808080"/>
              <w:right w:val="single" w:sz="4" w:space="0" w:color="979991"/>
            </w:tcBorders>
            <w:shd w:val="clear" w:color="auto" w:fill="F0F4FA"/>
            <w:vAlign w:val="center"/>
            <w:hideMark/>
          </w:tcPr>
          <w:p w14:paraId="6A5C19E8"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2023</w:t>
            </w:r>
          </w:p>
        </w:tc>
      </w:tr>
      <w:tr w:rsidR="000A79C2" w14:paraId="0DB343E0" w14:textId="77777777" w:rsidTr="000A79C2">
        <w:trPr>
          <w:trHeight w:val="330"/>
        </w:trPr>
        <w:tc>
          <w:tcPr>
            <w:tcW w:w="569" w:type="pct"/>
            <w:tcBorders>
              <w:top w:val="single" w:sz="4" w:space="0" w:color="808080"/>
              <w:left w:val="single" w:sz="4" w:space="0" w:color="808080"/>
              <w:bottom w:val="single" w:sz="4" w:space="0" w:color="808080"/>
              <w:right w:val="single" w:sz="4" w:space="0" w:color="808080"/>
            </w:tcBorders>
            <w:shd w:val="clear" w:color="auto" w:fill="F0F4FA"/>
            <w:vAlign w:val="center"/>
            <w:hideMark/>
          </w:tcPr>
          <w:p w14:paraId="352BF736" w14:textId="77777777" w:rsidR="000A79C2" w:rsidRDefault="000A79C2" w:rsidP="00BB14E1">
            <w:pPr>
              <w:bidi w:val="0"/>
              <w:jc w:val="center"/>
              <w:rPr>
                <w:rFonts w:ascii="FrankRuehl" w:hAnsi="FrankRuehl" w:cs="FrankRuehl"/>
                <w:color w:val="000000"/>
                <w:sz w:val="26"/>
                <w:szCs w:val="26"/>
                <w:rtl/>
              </w:rPr>
            </w:pPr>
            <w:r>
              <w:rPr>
                <w:rFonts w:ascii="FrankRuehl" w:hAnsi="FrankRuehl" w:cs="FrankRuehl"/>
                <w:color w:val="000000"/>
                <w:sz w:val="26"/>
                <w:szCs w:val="26"/>
              </w:rPr>
              <w:t>045213</w:t>
            </w:r>
          </w:p>
        </w:tc>
        <w:tc>
          <w:tcPr>
            <w:tcW w:w="704"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72B79586" w14:textId="77777777" w:rsidR="000A79C2" w:rsidRDefault="000A79C2" w:rsidP="00BB14E1">
            <w:pPr>
              <w:bidi w:val="0"/>
              <w:jc w:val="center"/>
              <w:rPr>
                <w:rFonts w:ascii="FrankRuehl" w:hAnsi="FrankRuehl" w:cs="FrankRuehl"/>
                <w:color w:val="000000"/>
                <w:sz w:val="26"/>
                <w:szCs w:val="26"/>
                <w:rtl/>
              </w:rPr>
            </w:pPr>
            <w:r>
              <w:rPr>
                <w:rFonts w:ascii="FrankRuehl" w:hAnsi="FrankRuehl" w:cs="FrankRuehl"/>
                <w:color w:val="000000"/>
                <w:sz w:val="26"/>
                <w:szCs w:val="26"/>
              </w:rPr>
              <w:t>202,947</w:t>
            </w:r>
          </w:p>
        </w:tc>
        <w:tc>
          <w:tcPr>
            <w:tcW w:w="55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07F03DC1"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580,602</w:t>
            </w:r>
          </w:p>
        </w:tc>
        <w:tc>
          <w:tcPr>
            <w:tcW w:w="57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267DC332"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646,820</w:t>
            </w:r>
          </w:p>
        </w:tc>
        <w:tc>
          <w:tcPr>
            <w:tcW w:w="496"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41B623D7"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390,955</w:t>
            </w:r>
          </w:p>
        </w:tc>
        <w:tc>
          <w:tcPr>
            <w:tcW w:w="57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0389BE4F"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145,290</w:t>
            </w:r>
          </w:p>
        </w:tc>
        <w:tc>
          <w:tcPr>
            <w:tcW w:w="496"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56568FF3"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331,045</w:t>
            </w:r>
          </w:p>
        </w:tc>
        <w:tc>
          <w:tcPr>
            <w:tcW w:w="57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51DD4068"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633,199</w:t>
            </w:r>
          </w:p>
        </w:tc>
        <w:tc>
          <w:tcPr>
            <w:tcW w:w="468"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2FFCBB89"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133,763</w:t>
            </w:r>
          </w:p>
        </w:tc>
      </w:tr>
      <w:tr w:rsidR="000A79C2" w14:paraId="7F63D415" w14:textId="77777777" w:rsidTr="000A79C2">
        <w:trPr>
          <w:trHeight w:val="330"/>
        </w:trPr>
        <w:tc>
          <w:tcPr>
            <w:tcW w:w="569" w:type="pct"/>
            <w:tcBorders>
              <w:top w:val="single" w:sz="4" w:space="0" w:color="808080"/>
              <w:left w:val="single" w:sz="4" w:space="0" w:color="808080"/>
              <w:bottom w:val="single" w:sz="4" w:space="0" w:color="808080"/>
              <w:right w:val="single" w:sz="4" w:space="0" w:color="808080"/>
            </w:tcBorders>
            <w:shd w:val="clear" w:color="auto" w:fill="F0F4FA"/>
            <w:vAlign w:val="center"/>
            <w:hideMark/>
          </w:tcPr>
          <w:p w14:paraId="313F9855"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047001</w:t>
            </w:r>
          </w:p>
        </w:tc>
        <w:tc>
          <w:tcPr>
            <w:tcW w:w="704"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6FC3B1F1"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-77,947</w:t>
            </w:r>
          </w:p>
        </w:tc>
        <w:tc>
          <w:tcPr>
            <w:tcW w:w="55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418E6C2D"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tl/>
              </w:rPr>
              <w:t>1,303,334</w:t>
            </w:r>
          </w:p>
        </w:tc>
        <w:tc>
          <w:tcPr>
            <w:tcW w:w="57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0FD8DD7B" w14:textId="77777777" w:rsidR="000A79C2" w:rsidRDefault="000A79C2" w:rsidP="00BB14E1">
            <w:pPr>
              <w:bidi w:val="0"/>
              <w:jc w:val="center"/>
              <w:rPr>
                <w:rFonts w:ascii="FrankRuehl" w:hAnsi="FrankRuehl" w:cs="FrankRuehl"/>
                <w:color w:val="000000"/>
                <w:sz w:val="26"/>
                <w:szCs w:val="26"/>
                <w:rtl/>
              </w:rPr>
            </w:pPr>
            <w:r>
              <w:rPr>
                <w:rFonts w:ascii="FrankRuehl" w:hAnsi="FrankRuehl" w:cs="FrankRuehl"/>
                <w:color w:val="000000"/>
                <w:sz w:val="26"/>
                <w:szCs w:val="26"/>
              </w:rPr>
              <w:t>-266,698</w:t>
            </w:r>
          </w:p>
        </w:tc>
        <w:tc>
          <w:tcPr>
            <w:tcW w:w="496"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0DB57714"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124,086</w:t>
            </w:r>
          </w:p>
        </w:tc>
        <w:tc>
          <w:tcPr>
            <w:tcW w:w="57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05A5E102"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-122,563</w:t>
            </w:r>
          </w:p>
        </w:tc>
        <w:tc>
          <w:tcPr>
            <w:tcW w:w="496"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47B5B9AE"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282,629</w:t>
            </w:r>
          </w:p>
        </w:tc>
        <w:tc>
          <w:tcPr>
            <w:tcW w:w="572"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21A12BA5"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-267,159</w:t>
            </w:r>
          </w:p>
        </w:tc>
        <w:tc>
          <w:tcPr>
            <w:tcW w:w="468" w:type="pct"/>
            <w:tcBorders>
              <w:top w:val="single" w:sz="4" w:space="0" w:color="808080"/>
              <w:left w:val="single" w:sz="4" w:space="0" w:color="808080"/>
              <w:bottom w:val="single" w:sz="4" w:space="0" w:color="808080"/>
              <w:right w:val="single" w:sz="4" w:space="0" w:color="808080"/>
            </w:tcBorders>
            <w:shd w:val="clear" w:color="auto" w:fill="FFFFFF"/>
            <w:vAlign w:val="center"/>
            <w:hideMark/>
          </w:tcPr>
          <w:p w14:paraId="3F140DD7"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686,900</w:t>
            </w:r>
          </w:p>
        </w:tc>
      </w:tr>
    </w:tbl>
    <w:p w14:paraId="1FA82234" w14:textId="77777777" w:rsidR="000A79C2" w:rsidRDefault="000A79C2" w:rsidP="000A79C2">
      <w:pPr>
        <w:rPr>
          <w:rFonts w:ascii="FrankRuehl" w:hAnsi="FrankRuehl" w:cs="FrankRuehl"/>
          <w:b/>
          <w:bCs/>
          <w:sz w:val="26"/>
          <w:szCs w:val="26"/>
          <w:rtl/>
        </w:rPr>
      </w:pPr>
    </w:p>
    <w:p w14:paraId="33CC27CF" w14:textId="594E7DF0" w:rsidR="000A79C2" w:rsidRDefault="000A79C2" w:rsidP="000A79C2">
      <w:pPr>
        <w:rPr>
          <w:rFonts w:ascii="FrankRuehl" w:eastAsia="Calibri" w:hAnsi="FrankRuehl" w:cs="FrankRuehl"/>
          <w:b/>
          <w:bCs/>
          <w:sz w:val="26"/>
          <w:szCs w:val="26"/>
        </w:rPr>
      </w:pPr>
      <w:r>
        <w:rPr>
          <w:rFonts w:ascii="FrankRuehl" w:hAnsi="FrankRuehl" w:cs="FrankRuehl"/>
          <w:b/>
          <w:bCs/>
          <w:sz w:val="26"/>
          <w:szCs w:val="26"/>
          <w:rtl/>
        </w:rPr>
        <w:t xml:space="preserve">היסטוריה תקציבית </w:t>
      </w:r>
      <w:r>
        <w:rPr>
          <w:rFonts w:ascii="FrankRuehl" w:hAnsi="FrankRuehl" w:cs="FrankRuehl" w:hint="cs"/>
          <w:b/>
          <w:bCs/>
          <w:sz w:val="26"/>
          <w:szCs w:val="26"/>
          <w:rtl/>
        </w:rPr>
        <w:t>-</w:t>
      </w:r>
      <w:r>
        <w:rPr>
          <w:rFonts w:ascii="FrankRuehl" w:hAnsi="FrankRuehl" w:cs="FrankRuehl"/>
          <w:b/>
          <w:bCs/>
          <w:sz w:val="26"/>
          <w:szCs w:val="26"/>
          <w:rtl/>
        </w:rPr>
        <w:t xml:space="preserve"> הרשאה להתחייב</w:t>
      </w:r>
    </w:p>
    <w:tbl>
      <w:tblPr>
        <w:bidiVisual/>
        <w:tblW w:w="5000" w:type="pct"/>
        <w:tblLook w:val="04A0" w:firstRow="1" w:lastRow="0" w:firstColumn="1" w:lastColumn="0" w:noHBand="0" w:noVBand="1"/>
      </w:tblPr>
      <w:tblGrid>
        <w:gridCol w:w="1071"/>
        <w:gridCol w:w="1071"/>
        <w:gridCol w:w="922"/>
        <w:gridCol w:w="922"/>
        <w:gridCol w:w="922"/>
        <w:gridCol w:w="922"/>
        <w:gridCol w:w="922"/>
        <w:gridCol w:w="922"/>
        <w:gridCol w:w="849"/>
      </w:tblGrid>
      <w:tr w:rsidR="000A79C2" w14:paraId="283F1978" w14:textId="77777777" w:rsidTr="000A79C2">
        <w:trPr>
          <w:trHeight w:val="990"/>
        </w:trPr>
        <w:tc>
          <w:tcPr>
            <w:tcW w:w="628" w:type="pct"/>
            <w:tcBorders>
              <w:top w:val="single" w:sz="4" w:space="0" w:color="979991"/>
              <w:left w:val="single" w:sz="4" w:space="0" w:color="979991"/>
              <w:bottom w:val="nil"/>
              <w:right w:val="nil"/>
            </w:tcBorders>
            <w:shd w:val="clear" w:color="auto" w:fill="F0F4FA"/>
            <w:vAlign w:val="center"/>
            <w:hideMark/>
          </w:tcPr>
          <w:p w14:paraId="3A20058B"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קוד תוכנית</w:t>
            </w:r>
          </w:p>
        </w:tc>
        <w:tc>
          <w:tcPr>
            <w:tcW w:w="628" w:type="pct"/>
            <w:tcBorders>
              <w:top w:val="single" w:sz="4" w:space="0" w:color="979991"/>
              <w:left w:val="single" w:sz="4" w:space="0" w:color="979991"/>
              <w:bottom w:val="single" w:sz="4" w:space="0" w:color="979991"/>
              <w:right w:val="nil"/>
            </w:tcBorders>
            <w:shd w:val="clear" w:color="auto" w:fill="F0F4FA"/>
            <w:vAlign w:val="center"/>
            <w:hideMark/>
          </w:tcPr>
          <w:p w14:paraId="79817B10" w14:textId="77777777" w:rsidR="000A79C2" w:rsidRDefault="000A79C2" w:rsidP="00BB14E1">
            <w:pPr>
              <w:jc w:val="center"/>
              <w:rPr>
                <w:rFonts w:ascii="FrankRuehl" w:hAnsi="FrankRuehl" w:cs="FrankRuehl"/>
                <w:b/>
                <w:bCs/>
                <w:color w:val="000000"/>
                <w:sz w:val="26"/>
                <w:szCs w:val="26"/>
              </w:rPr>
            </w:pPr>
            <w:r>
              <w:rPr>
                <w:rFonts w:ascii="FrankRuehl" w:hAnsi="FrankRuehl" w:cs="FrankRuehl"/>
                <w:b/>
                <w:bCs/>
                <w:color w:val="000000"/>
                <w:sz w:val="26"/>
                <w:szCs w:val="26"/>
                <w:rtl/>
              </w:rPr>
              <w:t>השינוי המוצע בפניה זו</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775AFF48"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תקציב 2026</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790071B4"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2025</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2116ECAC"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2025</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078233B7"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2024</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2906B3EC"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2024</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0131204E"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2023</w:t>
            </w:r>
          </w:p>
        </w:tc>
        <w:tc>
          <w:tcPr>
            <w:tcW w:w="498"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54B11352" w14:textId="77777777" w:rsidR="000A79C2" w:rsidRDefault="000A79C2" w:rsidP="00BB14E1">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2023</w:t>
            </w:r>
          </w:p>
        </w:tc>
      </w:tr>
      <w:tr w:rsidR="000A79C2" w14:paraId="5C4185D3" w14:textId="77777777" w:rsidTr="000A79C2">
        <w:trPr>
          <w:trHeight w:val="330"/>
        </w:trPr>
        <w:tc>
          <w:tcPr>
            <w:tcW w:w="628" w:type="pct"/>
            <w:tcBorders>
              <w:top w:val="single" w:sz="4" w:space="0" w:color="979991"/>
              <w:left w:val="single" w:sz="4" w:space="0" w:color="979991"/>
              <w:bottom w:val="single" w:sz="4" w:space="0" w:color="979991"/>
              <w:right w:val="nil"/>
            </w:tcBorders>
            <w:shd w:val="clear" w:color="auto" w:fill="F0F4FA"/>
            <w:vAlign w:val="center"/>
            <w:hideMark/>
          </w:tcPr>
          <w:p w14:paraId="17C0C605" w14:textId="77777777" w:rsidR="000A79C2" w:rsidRDefault="000A79C2" w:rsidP="00BB14E1">
            <w:pPr>
              <w:bidi w:val="0"/>
              <w:jc w:val="center"/>
              <w:rPr>
                <w:rFonts w:ascii="FrankRuehl" w:hAnsi="FrankRuehl" w:cs="FrankRuehl"/>
                <w:color w:val="000000"/>
                <w:sz w:val="26"/>
                <w:szCs w:val="26"/>
                <w:rtl/>
              </w:rPr>
            </w:pPr>
            <w:r>
              <w:rPr>
                <w:rFonts w:ascii="FrankRuehl" w:hAnsi="FrankRuehl" w:cs="FrankRuehl"/>
                <w:color w:val="000000"/>
                <w:sz w:val="26"/>
                <w:szCs w:val="26"/>
              </w:rPr>
              <w:t>045213</w:t>
            </w:r>
          </w:p>
        </w:tc>
        <w:tc>
          <w:tcPr>
            <w:tcW w:w="628" w:type="pct"/>
            <w:tcBorders>
              <w:top w:val="nil"/>
              <w:left w:val="single" w:sz="4" w:space="0" w:color="979991"/>
              <w:bottom w:val="single" w:sz="4" w:space="0" w:color="979991"/>
              <w:right w:val="nil"/>
            </w:tcBorders>
            <w:shd w:val="clear" w:color="auto" w:fill="FFFFFF"/>
            <w:vAlign w:val="center"/>
            <w:hideMark/>
          </w:tcPr>
          <w:p w14:paraId="597974D9" w14:textId="77777777" w:rsidR="000A79C2" w:rsidRDefault="000A79C2" w:rsidP="00BB14E1">
            <w:pPr>
              <w:bidi w:val="0"/>
              <w:jc w:val="center"/>
              <w:rPr>
                <w:rFonts w:ascii="FrankRuehl" w:hAnsi="FrankRuehl" w:cs="FrankRuehl"/>
                <w:color w:val="000000"/>
                <w:sz w:val="26"/>
                <w:szCs w:val="26"/>
                <w:rtl/>
              </w:rPr>
            </w:pPr>
            <w:r>
              <w:rPr>
                <w:rFonts w:ascii="FrankRuehl" w:hAnsi="FrankRuehl" w:cs="FrankRuehl"/>
                <w:color w:val="000000"/>
                <w:sz w:val="26"/>
                <w:szCs w:val="26"/>
              </w:rPr>
              <w:t>132,435</w:t>
            </w:r>
          </w:p>
        </w:tc>
        <w:tc>
          <w:tcPr>
            <w:tcW w:w="541" w:type="pct"/>
            <w:tcBorders>
              <w:top w:val="nil"/>
              <w:left w:val="single" w:sz="4" w:space="0" w:color="979991"/>
              <w:bottom w:val="single" w:sz="4" w:space="0" w:color="979991"/>
              <w:right w:val="nil"/>
            </w:tcBorders>
            <w:shd w:val="clear" w:color="auto" w:fill="FFFFFF"/>
            <w:vAlign w:val="center"/>
            <w:hideMark/>
          </w:tcPr>
          <w:p w14:paraId="23848A2A"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903,599</w:t>
            </w:r>
          </w:p>
        </w:tc>
        <w:tc>
          <w:tcPr>
            <w:tcW w:w="541" w:type="pct"/>
            <w:tcBorders>
              <w:top w:val="nil"/>
              <w:left w:val="single" w:sz="4" w:space="0" w:color="979991"/>
              <w:bottom w:val="single" w:sz="4" w:space="0" w:color="979991"/>
              <w:right w:val="nil"/>
            </w:tcBorders>
            <w:shd w:val="clear" w:color="auto" w:fill="FFFFFF"/>
            <w:vAlign w:val="center"/>
            <w:hideMark/>
          </w:tcPr>
          <w:p w14:paraId="2EB5453A"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239,910</w:t>
            </w:r>
          </w:p>
        </w:tc>
        <w:tc>
          <w:tcPr>
            <w:tcW w:w="541" w:type="pct"/>
            <w:tcBorders>
              <w:top w:val="nil"/>
              <w:left w:val="single" w:sz="4" w:space="0" w:color="979991"/>
              <w:bottom w:val="single" w:sz="4" w:space="0" w:color="979991"/>
              <w:right w:val="nil"/>
            </w:tcBorders>
            <w:shd w:val="clear" w:color="auto" w:fill="FFFFFF"/>
            <w:vAlign w:val="center"/>
            <w:hideMark/>
          </w:tcPr>
          <w:p w14:paraId="7B2D7EFC"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31,221</w:t>
            </w:r>
          </w:p>
        </w:tc>
        <w:tc>
          <w:tcPr>
            <w:tcW w:w="541" w:type="pct"/>
            <w:tcBorders>
              <w:top w:val="nil"/>
              <w:left w:val="single" w:sz="4" w:space="0" w:color="979991"/>
              <w:bottom w:val="single" w:sz="4" w:space="0" w:color="979991"/>
              <w:right w:val="nil"/>
            </w:tcBorders>
            <w:shd w:val="clear" w:color="auto" w:fill="FFFFFF"/>
            <w:vAlign w:val="center"/>
            <w:hideMark/>
          </w:tcPr>
          <w:p w14:paraId="1B6D7D3D"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284,651</w:t>
            </w:r>
          </w:p>
        </w:tc>
        <w:tc>
          <w:tcPr>
            <w:tcW w:w="541" w:type="pct"/>
            <w:tcBorders>
              <w:top w:val="nil"/>
              <w:left w:val="single" w:sz="4" w:space="0" w:color="979991"/>
              <w:bottom w:val="single" w:sz="4" w:space="0" w:color="979991"/>
              <w:right w:val="nil"/>
            </w:tcBorders>
            <w:shd w:val="clear" w:color="auto" w:fill="FFFFFF"/>
            <w:vAlign w:val="center"/>
            <w:hideMark/>
          </w:tcPr>
          <w:p w14:paraId="526A5205"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32,058</w:t>
            </w:r>
          </w:p>
        </w:tc>
        <w:tc>
          <w:tcPr>
            <w:tcW w:w="541" w:type="pct"/>
            <w:tcBorders>
              <w:top w:val="nil"/>
              <w:left w:val="single" w:sz="4" w:space="0" w:color="979991"/>
              <w:bottom w:val="single" w:sz="4" w:space="0" w:color="979991"/>
              <w:right w:val="nil"/>
            </w:tcBorders>
            <w:shd w:val="clear" w:color="auto" w:fill="FFFFFF"/>
            <w:vAlign w:val="center"/>
            <w:hideMark/>
          </w:tcPr>
          <w:p w14:paraId="53D960E2"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261,694</w:t>
            </w:r>
          </w:p>
        </w:tc>
        <w:tc>
          <w:tcPr>
            <w:tcW w:w="498" w:type="pct"/>
            <w:tcBorders>
              <w:top w:val="nil"/>
              <w:left w:val="single" w:sz="4" w:space="0" w:color="979991"/>
              <w:bottom w:val="single" w:sz="4" w:space="0" w:color="979991"/>
              <w:right w:val="single" w:sz="4" w:space="0" w:color="979991"/>
            </w:tcBorders>
            <w:shd w:val="clear" w:color="auto" w:fill="FFFFFF"/>
            <w:vAlign w:val="center"/>
            <w:hideMark/>
          </w:tcPr>
          <w:p w14:paraId="55669A7D" w14:textId="77777777" w:rsidR="000A79C2" w:rsidRDefault="000A79C2" w:rsidP="00BB14E1">
            <w:pPr>
              <w:bidi w:val="0"/>
              <w:jc w:val="center"/>
              <w:rPr>
                <w:rFonts w:ascii="FrankRuehl" w:hAnsi="FrankRuehl" w:cs="FrankRuehl"/>
                <w:color w:val="000000"/>
                <w:sz w:val="26"/>
                <w:szCs w:val="26"/>
              </w:rPr>
            </w:pPr>
            <w:r>
              <w:rPr>
                <w:rFonts w:ascii="FrankRuehl" w:hAnsi="FrankRuehl" w:cs="FrankRuehl"/>
                <w:color w:val="000000"/>
                <w:sz w:val="26"/>
                <w:szCs w:val="26"/>
              </w:rPr>
              <w:t>57,354</w:t>
            </w:r>
          </w:p>
        </w:tc>
      </w:tr>
    </w:tbl>
    <w:p w14:paraId="10A075AD" w14:textId="77777777" w:rsidR="000A79C2" w:rsidRDefault="000A79C2">
      <w:pPr>
        <w:rPr>
          <w:rFonts w:cs="FrankRuehl"/>
          <w:sz w:val="26"/>
          <w:szCs w:val="26"/>
          <w:rtl/>
        </w:rPr>
      </w:pPr>
    </w:p>
    <w:p w14:paraId="543F1737" w14:textId="136A810F" w:rsidR="000A79C2" w:rsidRDefault="000A79C2">
      <w:pPr>
        <w:rPr>
          <w:rFonts w:cs="FrankRuehl"/>
          <w:sz w:val="26"/>
          <w:szCs w:val="26"/>
          <w:rtl/>
        </w:rPr>
      </w:pPr>
    </w:p>
    <w:p w14:paraId="77E5DB63" w14:textId="77777777" w:rsidR="000A79C2" w:rsidRPr="00161010" w:rsidRDefault="000A79C2">
      <w:pPr>
        <w:rPr>
          <w:rFonts w:cs="FrankRuehl"/>
          <w:sz w:val="26"/>
          <w:szCs w:val="26"/>
          <w:rtl/>
        </w:rPr>
      </w:pPr>
    </w:p>
    <w:sectPr w:rsidR="000A79C2" w:rsidRPr="00161010" w:rsidSect="00BC0F8E">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899B" w14:textId="77777777" w:rsidR="001164A4" w:rsidRDefault="001164A4" w:rsidP="00BC0F8E">
      <w:r>
        <w:separator/>
      </w:r>
    </w:p>
  </w:endnote>
  <w:endnote w:type="continuationSeparator" w:id="0">
    <w:p w14:paraId="2628A43B" w14:textId="77777777" w:rsidR="001164A4" w:rsidRDefault="001164A4"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DC53"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9C06E"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E290"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D7DA6" w14:textId="77777777" w:rsidR="001164A4" w:rsidRDefault="001164A4" w:rsidP="00BC0F8E">
      <w:r>
        <w:separator/>
      </w:r>
    </w:p>
  </w:footnote>
  <w:footnote w:type="continuationSeparator" w:id="0">
    <w:p w14:paraId="245C301B" w14:textId="77777777" w:rsidR="001164A4" w:rsidRDefault="001164A4"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23B4A"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B76CB" w14:textId="77777777" w:rsidR="00BC0F8E" w:rsidRPr="00CB5FFD" w:rsidRDefault="001164A4" w:rsidP="00BC0F8E">
    <w:pPr>
      <w:pStyle w:val="a4"/>
      <w:jc w:val="right"/>
      <w:rPr>
        <w:color w:val="4F81BD"/>
        <w:rtl/>
        <w:cs/>
      </w:rPr>
    </w:pPr>
    <w:r>
      <w:rPr>
        <w:noProof/>
        <w:rtl/>
      </w:rPr>
      <w:pict w14:anchorId="0E61A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2E98F44F" w14:textId="77777777" w:rsidR="00BC0F8E" w:rsidRPr="00CB5FFD" w:rsidRDefault="00BC0F8E" w:rsidP="00BC0F8E">
    <w:pPr>
      <w:pStyle w:val="a4"/>
      <w:jc w:val="right"/>
      <w:rPr>
        <w:color w:val="4F81BD"/>
        <w:rtl/>
        <w:cs/>
      </w:rPr>
    </w:pPr>
  </w:p>
  <w:p w14:paraId="3CE134C5" w14:textId="77777777" w:rsidR="00BC0F8E" w:rsidRDefault="00BC0F8E" w:rsidP="00BC0F8E">
    <w:pPr>
      <w:pStyle w:val="a4"/>
    </w:pPr>
  </w:p>
  <w:p w14:paraId="26B23AA4"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4B54" w14:textId="77777777" w:rsidR="005431FE" w:rsidRDefault="00543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190735"/>
    <w:multiLevelType w:val="hybridMultilevel"/>
    <w:tmpl w:val="9572BED4"/>
    <w:lvl w:ilvl="0" w:tplc="FDD455CC">
      <w:start w:val="1"/>
      <w:numFmt w:val="hebrew1"/>
      <w:lvlText w:val="%1."/>
      <w:lvlJc w:val="left"/>
      <w:pPr>
        <w:ind w:left="720" w:hanging="360"/>
      </w:pPr>
      <w:rPr>
        <w:rFonts w:ascii="FrankRuehl" w:eastAsia="Times New Roman" w:hAnsi="FrankRuehl" w:cs="FrankRuehl"/>
        <w:b w:val="0"/>
        <w:bCs w:val="0"/>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0A79C2"/>
    <w:rsid w:val="001164A4"/>
    <w:rsid w:val="00161010"/>
    <w:rsid w:val="00360BD3"/>
    <w:rsid w:val="003A4CAE"/>
    <w:rsid w:val="00462897"/>
    <w:rsid w:val="005431FE"/>
    <w:rsid w:val="005C7E8B"/>
    <w:rsid w:val="006A7A7A"/>
    <w:rsid w:val="007F3CB2"/>
    <w:rsid w:val="00A06DF5"/>
    <w:rsid w:val="00A20F3B"/>
    <w:rsid w:val="00AF2BBF"/>
    <w:rsid w:val="00B94155"/>
    <w:rsid w:val="00BC0F8E"/>
    <w:rsid w:val="00C937A4"/>
    <w:rsid w:val="00CB133E"/>
    <w:rsid w:val="00CE2337"/>
    <w:rsid w:val="00E31FD1"/>
    <w:rsid w:val="00E40F3E"/>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C458785"/>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 w:type="paragraph" w:styleId="aa">
    <w:name w:val="List Paragraph"/>
    <w:basedOn w:val="a"/>
    <w:uiPriority w:val="34"/>
    <w:qFormat/>
    <w:rsid w:val="000A79C2"/>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51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876</Words>
  <Characters>4385</Characters>
  <Application>Microsoft Office Word</Application>
  <DocSecurity>0</DocSecurity>
  <Lines>36</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4</cp:revision>
  <cp:lastPrinted>1899-12-31T22:00:00Z</cp:lastPrinted>
  <dcterms:created xsi:type="dcterms:W3CDTF">2026-07-15T10:12:00Z</dcterms:created>
  <dcterms:modified xsi:type="dcterms:W3CDTF">2026-07-15T10:18:00Z</dcterms:modified>
</cp:coreProperties>
</file>