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B1FE1" w14:textId="77777777" w:rsidR="00436E4E" w:rsidRDefault="00436E4E">
      <w:pPr>
        <w:pStyle w:val="a"/>
        <w:rPr>
          <w:rtl/>
        </w:rPr>
      </w:pPr>
    </w:p>
    <w:p w14:paraId="03E2BC9B" w14:textId="77777777" w:rsidR="00436E4E" w:rsidRDefault="00436E4E">
      <w:pPr>
        <w:pStyle w:val="a"/>
        <w:rPr>
          <w:rtl/>
        </w:rPr>
      </w:pPr>
      <w:r>
        <w:rPr>
          <w:rtl/>
        </w:rPr>
        <w:t>מדינת ישראל</w:t>
      </w:r>
    </w:p>
    <w:p w14:paraId="2C6A2CD3" w14:textId="77777777" w:rsidR="00436E4E" w:rsidRDefault="00436E4E">
      <w:pPr>
        <w:pStyle w:val="a"/>
        <w:rPr>
          <w:szCs w:val="24"/>
          <w:rtl/>
        </w:rPr>
      </w:pPr>
      <w:r>
        <w:rPr>
          <w:rtl/>
        </w:rPr>
        <w:t>האוצר - אגף התקציבים</w:t>
      </w:r>
    </w:p>
    <w:p w14:paraId="00465C12" w14:textId="77777777" w:rsidR="00436E4E" w:rsidRDefault="00436E4E">
      <w:pPr>
        <w:rPr>
          <w:rtl/>
        </w:rPr>
      </w:pPr>
    </w:p>
    <w:p w14:paraId="2646C19B" w14:textId="77777777" w:rsidR="00436E4E" w:rsidRDefault="00436E4E">
      <w:pPr>
        <w:rPr>
          <w:rtl/>
        </w:rPr>
      </w:pPr>
    </w:p>
    <w:p w14:paraId="037E3174" w14:textId="5DE7C20D" w:rsidR="00436E4E" w:rsidRDefault="00436E4E">
      <w:pPr>
        <w:tabs>
          <w:tab w:val="left" w:pos="6300"/>
        </w:tabs>
        <w:rPr>
          <w:rtl/>
        </w:rPr>
      </w:pPr>
      <w:r>
        <w:rPr>
          <w:rtl/>
        </w:rPr>
        <w:tab/>
      </w:r>
      <w:bookmarkStart w:id="0" w:name="TAKZIV8"/>
      <w:r w:rsidR="007D5AB1">
        <w:rPr>
          <w:rtl/>
        </w:rPr>
        <w:t>תקציב רגיל</w:t>
      </w:r>
      <w:bookmarkEnd w:id="0"/>
    </w:p>
    <w:p w14:paraId="1B3BDE59" w14:textId="77777777" w:rsidR="00436E4E" w:rsidRDefault="00436E4E">
      <w:pPr>
        <w:tabs>
          <w:tab w:val="left" w:pos="6300"/>
        </w:tabs>
        <w:rPr>
          <w:rtl/>
        </w:rPr>
      </w:pPr>
      <w:r>
        <w:rPr>
          <w:rtl/>
        </w:rPr>
        <w:tab/>
      </w:r>
    </w:p>
    <w:p w14:paraId="62CDC071"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0A5C8D2A" w14:textId="058C8F4B" w:rsidR="00436E4E" w:rsidRDefault="00436E4E" w:rsidP="002E1D22">
      <w:pPr>
        <w:tabs>
          <w:tab w:val="left" w:pos="5755"/>
        </w:tabs>
        <w:rPr>
          <w:rFonts w:cs="FrankRuehl"/>
          <w:sz w:val="26"/>
          <w:szCs w:val="26"/>
        </w:rPr>
      </w:pPr>
      <w:r w:rsidRPr="002E1D22">
        <w:rPr>
          <w:rFonts w:cs="FrankRuehl"/>
          <w:sz w:val="26"/>
          <w:szCs w:val="26"/>
          <w:rtl/>
        </w:rPr>
        <w:tab/>
        <w:t xml:space="preserve">בקשה מספר </w:t>
      </w:r>
      <w:bookmarkStart w:id="2" w:name="TAKZIV4"/>
      <w:r w:rsidR="007D5AB1">
        <w:rPr>
          <w:rFonts w:cs="FrankRuehl"/>
          <w:sz w:val="26"/>
          <w:szCs w:val="26"/>
          <w:rtl/>
        </w:rPr>
        <w:t>206</w:t>
      </w:r>
      <w:bookmarkEnd w:id="2"/>
      <w:r w:rsidRPr="002E1D22">
        <w:rPr>
          <w:rFonts w:cs="FrankRuehl"/>
          <w:sz w:val="26"/>
          <w:szCs w:val="26"/>
          <w:rtl/>
        </w:rPr>
        <w:t xml:space="preserve"> </w:t>
      </w:r>
      <w:r w:rsidR="009D0A05">
        <w:rPr>
          <w:rFonts w:cs="FrankRuehl"/>
          <w:sz w:val="26"/>
          <w:szCs w:val="26"/>
          <w:rtl/>
        </w:rPr>
        <w:t>–</w:t>
      </w:r>
      <w:r w:rsidRPr="002E1D22">
        <w:rPr>
          <w:rFonts w:cs="FrankRuehl"/>
          <w:sz w:val="26"/>
          <w:szCs w:val="26"/>
          <w:rtl/>
        </w:rPr>
        <w:t xml:space="preserve"> </w:t>
      </w:r>
      <w:bookmarkStart w:id="3" w:name="TAKZIV3"/>
      <w:r w:rsidR="007D5AB1">
        <w:rPr>
          <w:rFonts w:cs="FrankRuehl"/>
          <w:sz w:val="26"/>
          <w:szCs w:val="26"/>
          <w:rtl/>
        </w:rPr>
        <w:t>17</w:t>
      </w:r>
      <w:bookmarkEnd w:id="3"/>
    </w:p>
    <w:p w14:paraId="4B043DCF" w14:textId="2A0D240A" w:rsidR="009D0A05" w:rsidRPr="002E1D22" w:rsidRDefault="009D0A05" w:rsidP="002E1D22">
      <w:pPr>
        <w:tabs>
          <w:tab w:val="left" w:pos="5755"/>
        </w:tabs>
        <w:rPr>
          <w:rFonts w:cs="FrankRuehl"/>
          <w:sz w:val="26"/>
          <w:szCs w:val="26"/>
          <w:rtl/>
        </w:rPr>
      </w:pPr>
      <w:r>
        <w:rPr>
          <w:rFonts w:cs="FrankRuehl"/>
          <w:sz w:val="26"/>
          <w:szCs w:val="26"/>
        </w:rPr>
        <w:tab/>
      </w:r>
      <w:r>
        <w:rPr>
          <w:rFonts w:cs="FrankRuehl" w:hint="cs"/>
          <w:sz w:val="26"/>
          <w:szCs w:val="26"/>
          <w:rtl/>
        </w:rPr>
        <w:t>04-221, 51-210</w:t>
      </w:r>
    </w:p>
    <w:p w14:paraId="0B5427A1" w14:textId="77777777" w:rsidR="009D0A05"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9D0A05" w:rsidRPr="002E1D22">
        <w:rPr>
          <w:rFonts w:cs="FrankRuehl" w:hint="cs"/>
          <w:sz w:val="26"/>
          <w:szCs w:val="26"/>
          <w:rtl/>
        </w:rPr>
        <w:t>לוועד</w:t>
      </w:r>
      <w:r w:rsidR="009D0A05" w:rsidRPr="002E1D22">
        <w:rPr>
          <w:rFonts w:cs="FrankRuehl" w:hint="eastAsia"/>
          <w:sz w:val="26"/>
          <w:szCs w:val="26"/>
          <w:rtl/>
        </w:rPr>
        <w:t>ה</w:t>
      </w:r>
      <w:r w:rsidRPr="002E1D22">
        <w:rPr>
          <w:rFonts w:cs="FrankRuehl"/>
          <w:sz w:val="26"/>
          <w:szCs w:val="26"/>
          <w:rtl/>
        </w:rPr>
        <w:t>:</w:t>
      </w:r>
    </w:p>
    <w:p w14:paraId="1BA03D22" w14:textId="10C478BF" w:rsidR="00436E4E" w:rsidRDefault="009D0A05" w:rsidP="009D0A05">
      <w:pPr>
        <w:ind w:left="5040" w:firstLine="720"/>
        <w:rPr>
          <w:rFonts w:cs="FrankRuehl"/>
          <w:sz w:val="26"/>
          <w:szCs w:val="26"/>
          <w:rtl/>
        </w:rPr>
      </w:pPr>
      <w:r>
        <w:rPr>
          <w:rFonts w:cs="FrankRuehl" w:hint="cs"/>
          <w:sz w:val="26"/>
          <w:szCs w:val="26"/>
          <w:rtl/>
        </w:rPr>
        <w:t>113 עד</w:t>
      </w:r>
      <w:r w:rsidR="00436E4E" w:rsidRPr="002E1D22">
        <w:rPr>
          <w:rFonts w:cs="FrankRuehl"/>
          <w:sz w:val="26"/>
          <w:szCs w:val="26"/>
          <w:rtl/>
        </w:rPr>
        <w:t xml:space="preserve"> </w:t>
      </w:r>
      <w:bookmarkStart w:id="4" w:name="TAKZIV11"/>
      <w:r w:rsidR="007D5AB1">
        <w:rPr>
          <w:rFonts w:cs="FrankRuehl"/>
          <w:sz w:val="26"/>
          <w:szCs w:val="26"/>
          <w:rtl/>
        </w:rPr>
        <w:t>115</w:t>
      </w:r>
      <w:bookmarkEnd w:id="4"/>
      <w:r w:rsidR="00436E4E" w:rsidRPr="002E1D22">
        <w:rPr>
          <w:rFonts w:cs="FrankRuehl"/>
          <w:sz w:val="26"/>
          <w:szCs w:val="26"/>
          <w:rtl/>
        </w:rPr>
        <w:tab/>
      </w:r>
    </w:p>
    <w:p w14:paraId="5C58F281" w14:textId="77777777" w:rsidR="009D0A05" w:rsidRPr="002E1D22" w:rsidRDefault="009D0A05" w:rsidP="009D0A05">
      <w:pPr>
        <w:ind w:left="5040" w:firstLine="720"/>
        <w:rPr>
          <w:rFonts w:cs="FrankRuehl"/>
          <w:sz w:val="26"/>
          <w:szCs w:val="26"/>
          <w:rtl/>
        </w:rPr>
      </w:pPr>
    </w:p>
    <w:p w14:paraId="6D55EFA8" w14:textId="77777777" w:rsidR="00436E4E" w:rsidRPr="002E1D22" w:rsidRDefault="00436E4E">
      <w:pPr>
        <w:rPr>
          <w:rFonts w:cs="FrankRuehl"/>
          <w:sz w:val="26"/>
          <w:szCs w:val="26"/>
          <w:rtl/>
        </w:rPr>
      </w:pPr>
      <w:r w:rsidRPr="002E1D22">
        <w:rPr>
          <w:rFonts w:cs="FrankRuehl"/>
          <w:sz w:val="26"/>
          <w:szCs w:val="26"/>
          <w:rtl/>
        </w:rPr>
        <w:t>לכבוד,</w:t>
      </w:r>
    </w:p>
    <w:p w14:paraId="14D7E39D" w14:textId="77777777" w:rsidR="00436E4E" w:rsidRPr="002E1D22" w:rsidRDefault="00436E4E">
      <w:pPr>
        <w:rPr>
          <w:rFonts w:cs="FrankRuehl"/>
          <w:sz w:val="26"/>
          <w:szCs w:val="26"/>
          <w:rtl/>
        </w:rPr>
      </w:pPr>
      <w:r w:rsidRPr="002E1D22">
        <w:rPr>
          <w:rFonts w:cs="FrankRuehl"/>
          <w:sz w:val="26"/>
          <w:szCs w:val="26"/>
          <w:rtl/>
        </w:rPr>
        <w:t>יו"ר ועדת הכספים</w:t>
      </w:r>
    </w:p>
    <w:p w14:paraId="3943C0F2" w14:textId="77777777" w:rsidR="00436E4E" w:rsidRPr="002E1D22" w:rsidRDefault="00436E4E">
      <w:pPr>
        <w:rPr>
          <w:rFonts w:cs="FrankRuehl"/>
          <w:sz w:val="26"/>
          <w:szCs w:val="26"/>
          <w:rtl/>
        </w:rPr>
      </w:pPr>
      <w:r w:rsidRPr="002E1D22">
        <w:rPr>
          <w:rFonts w:cs="FrankRuehl"/>
          <w:sz w:val="26"/>
          <w:szCs w:val="26"/>
          <w:rtl/>
        </w:rPr>
        <w:t>של הכנסת</w:t>
      </w:r>
    </w:p>
    <w:p w14:paraId="774DE59E" w14:textId="77777777" w:rsidR="00436E4E" w:rsidRPr="002E1D22" w:rsidRDefault="00436E4E">
      <w:pPr>
        <w:rPr>
          <w:rFonts w:cs="FrankRuehl"/>
          <w:sz w:val="26"/>
          <w:szCs w:val="26"/>
          <w:rtl/>
        </w:rPr>
      </w:pPr>
    </w:p>
    <w:p w14:paraId="026ED936" w14:textId="77777777" w:rsidR="00436E4E" w:rsidRPr="002E1D22" w:rsidRDefault="00436E4E">
      <w:pPr>
        <w:rPr>
          <w:rFonts w:cs="FrankRuehl"/>
          <w:sz w:val="26"/>
          <w:szCs w:val="26"/>
          <w:rtl/>
        </w:rPr>
      </w:pPr>
      <w:r w:rsidRPr="002E1D22">
        <w:rPr>
          <w:rFonts w:cs="FrankRuehl"/>
          <w:sz w:val="26"/>
          <w:szCs w:val="26"/>
          <w:rtl/>
        </w:rPr>
        <w:t>א.נ.,</w:t>
      </w:r>
    </w:p>
    <w:p w14:paraId="718F9500" w14:textId="77777777" w:rsidR="00436E4E" w:rsidRPr="002E1D22" w:rsidRDefault="00436E4E">
      <w:pPr>
        <w:rPr>
          <w:rFonts w:cs="FrankRuehl"/>
          <w:sz w:val="26"/>
          <w:szCs w:val="26"/>
          <w:rtl/>
        </w:rPr>
      </w:pPr>
    </w:p>
    <w:p w14:paraId="2C541D89" w14:textId="77777777" w:rsidR="00436E4E" w:rsidRPr="002E1D22" w:rsidRDefault="00436E4E">
      <w:pPr>
        <w:pStyle w:val="a0"/>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7D5AB1">
        <w:rPr>
          <w:rFonts w:cs="FrankRuehl"/>
          <w:sz w:val="26"/>
          <w:rtl/>
        </w:rPr>
        <w:t>2026</w:t>
      </w:r>
      <w:bookmarkEnd w:id="5"/>
      <w:r w:rsidRPr="002E1D22">
        <w:rPr>
          <w:rFonts w:cs="FrankRuehl"/>
          <w:sz w:val="26"/>
          <w:rtl/>
        </w:rPr>
        <w:t xml:space="preserve">     </w:t>
      </w:r>
    </w:p>
    <w:p w14:paraId="31FDD6FB" w14:textId="77777777" w:rsidR="00436E4E" w:rsidRPr="002E1D22" w:rsidRDefault="00436E4E" w:rsidP="002E1D22">
      <w:pPr>
        <w:jc w:val="both"/>
        <w:rPr>
          <w:rFonts w:cs="FrankRuehl"/>
          <w:sz w:val="26"/>
          <w:szCs w:val="26"/>
          <w:rtl/>
        </w:rPr>
      </w:pPr>
    </w:p>
    <w:p w14:paraId="722D1639" w14:textId="65A3C491" w:rsidR="00436E4E" w:rsidRPr="002E1D22" w:rsidRDefault="00436E4E" w:rsidP="003B11DC">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7D5AB1">
        <w:rPr>
          <w:rFonts w:cs="FrankRuehl"/>
          <w:sz w:val="26"/>
          <w:szCs w:val="26"/>
          <w:rtl/>
        </w:rPr>
        <w:t>77,481</w:t>
      </w:r>
      <w:bookmarkEnd w:id="6"/>
      <w:r w:rsidRPr="002E1D22">
        <w:rPr>
          <w:rFonts w:cs="FrankRuehl"/>
          <w:sz w:val="26"/>
          <w:szCs w:val="26"/>
          <w:rtl/>
        </w:rPr>
        <w:t xml:space="preserve"> אלפי שקלים חדשים מסעי</w:t>
      </w:r>
      <w:r w:rsidR="0078204F">
        <w:rPr>
          <w:rFonts w:cs="FrankRuehl" w:hint="cs"/>
          <w:sz w:val="26"/>
          <w:szCs w:val="26"/>
          <w:rtl/>
        </w:rPr>
        <w:t xml:space="preserve">פים 04 </w:t>
      </w:r>
      <w:r w:rsidR="0078204F">
        <w:rPr>
          <w:rFonts w:cs="FrankRuehl"/>
          <w:sz w:val="26"/>
          <w:szCs w:val="26"/>
          <w:rtl/>
        </w:rPr>
        <w:t>–</w:t>
      </w:r>
      <w:r w:rsidR="0078204F">
        <w:rPr>
          <w:rFonts w:cs="FrankRuehl" w:hint="cs"/>
          <w:sz w:val="26"/>
          <w:szCs w:val="26"/>
          <w:rtl/>
        </w:rPr>
        <w:t xml:space="preserve"> משרד ראש הממשלה, 51 </w:t>
      </w:r>
      <w:r w:rsidR="0078204F">
        <w:rPr>
          <w:rFonts w:cs="FrankRuehl"/>
          <w:sz w:val="26"/>
          <w:szCs w:val="26"/>
          <w:rtl/>
        </w:rPr>
        <w:t>–</w:t>
      </w:r>
      <w:r w:rsidR="0078204F">
        <w:rPr>
          <w:rFonts w:cs="FrankRuehl" w:hint="cs"/>
          <w:sz w:val="26"/>
          <w:szCs w:val="26"/>
          <w:rtl/>
        </w:rPr>
        <w:t xml:space="preserve"> דיור ממשלתי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46BA8E01" w14:textId="77777777" w:rsidR="00436E4E" w:rsidRPr="002E1D22" w:rsidRDefault="00436E4E" w:rsidP="003B11DC">
      <w:pPr>
        <w:jc w:val="both"/>
        <w:rPr>
          <w:rFonts w:cs="FrankRuehl"/>
          <w:sz w:val="26"/>
          <w:szCs w:val="26"/>
          <w:rtl/>
        </w:rPr>
      </w:pPr>
    </w:p>
    <w:p w14:paraId="7DE69B98" w14:textId="58459CF1" w:rsidR="00436E4E" w:rsidRPr="002E1D22" w:rsidRDefault="00436E4E" w:rsidP="003B11DC">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w:t>
      </w:r>
      <w:r w:rsidR="0078204F" w:rsidRPr="002E1D22">
        <w:rPr>
          <w:rFonts w:cs="FrankRuehl"/>
          <w:sz w:val="26"/>
          <w:szCs w:val="26"/>
          <w:rtl/>
        </w:rPr>
        <w:t xml:space="preserve">סכום של </w:t>
      </w:r>
      <w:r w:rsidR="0078204F">
        <w:rPr>
          <w:rFonts w:cs="FrankRuehl"/>
          <w:sz w:val="26"/>
          <w:szCs w:val="26"/>
          <w:rtl/>
        </w:rPr>
        <w:t>77,481</w:t>
      </w:r>
      <w:r w:rsidR="0078204F"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78204F" w:rsidRPr="002E1D22">
        <w:rPr>
          <w:rFonts w:cs="FrankRuehl"/>
          <w:sz w:val="26"/>
          <w:szCs w:val="26"/>
          <w:rtl/>
        </w:rPr>
        <w:t xml:space="preserve">לסעיף </w:t>
      </w:r>
      <w:bookmarkStart w:id="7" w:name="TAKZIV3_1"/>
      <w:r w:rsidR="0078204F">
        <w:rPr>
          <w:rFonts w:cs="FrankRuehl"/>
          <w:sz w:val="26"/>
          <w:szCs w:val="26"/>
          <w:rtl/>
        </w:rPr>
        <w:t>17</w:t>
      </w:r>
      <w:bookmarkEnd w:id="7"/>
      <w:r w:rsidR="0078204F" w:rsidRPr="002E1D22">
        <w:rPr>
          <w:rFonts w:cs="FrankRuehl"/>
          <w:sz w:val="26"/>
          <w:szCs w:val="26"/>
          <w:rtl/>
        </w:rPr>
        <w:t xml:space="preserve"> - </w:t>
      </w:r>
      <w:bookmarkStart w:id="8" w:name="TAKZIV6"/>
      <w:r w:rsidR="0078204F">
        <w:rPr>
          <w:rFonts w:cs="FrankRuehl"/>
          <w:sz w:val="26"/>
          <w:szCs w:val="26"/>
          <w:rtl/>
        </w:rPr>
        <w:t>תאום הפעולות בשטחים</w:t>
      </w:r>
      <w:bookmarkEnd w:id="8"/>
      <w:r w:rsidR="0078204F">
        <w:rPr>
          <w:rFonts w:cs="FrankRuehl" w:hint="cs"/>
          <w:sz w:val="26"/>
          <w:szCs w:val="26"/>
          <w:rtl/>
        </w:rPr>
        <w:t>,</w:t>
      </w:r>
      <w:r w:rsidR="0078204F" w:rsidRPr="002E1D22">
        <w:rPr>
          <w:rFonts w:cs="FrankRuehl"/>
          <w:sz w:val="26"/>
          <w:szCs w:val="26"/>
          <w:rtl/>
        </w:rPr>
        <w:t xml:space="preserve"> </w:t>
      </w:r>
      <w:r w:rsidRPr="002E1D22">
        <w:rPr>
          <w:rFonts w:cs="FrankRuehl"/>
          <w:sz w:val="26"/>
          <w:szCs w:val="26"/>
          <w:rtl/>
        </w:rPr>
        <w:t>בהתאם לסעיף 12 (א)</w:t>
      </w:r>
    </w:p>
    <w:p w14:paraId="12EC1141" w14:textId="77777777" w:rsidR="00436E4E" w:rsidRPr="002E1D22" w:rsidRDefault="00436E4E" w:rsidP="003B11DC">
      <w:pPr>
        <w:jc w:val="both"/>
        <w:rPr>
          <w:rFonts w:cs="FrankRuehl"/>
          <w:sz w:val="26"/>
          <w:szCs w:val="26"/>
          <w:rtl/>
        </w:rPr>
      </w:pP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055EA7FC" w14:textId="77777777" w:rsidR="00436E4E" w:rsidRPr="002E1D22" w:rsidRDefault="00436E4E" w:rsidP="003B11DC">
      <w:pPr>
        <w:jc w:val="both"/>
        <w:rPr>
          <w:rFonts w:cs="FrankRuehl"/>
          <w:sz w:val="26"/>
          <w:szCs w:val="26"/>
          <w:rtl/>
        </w:rPr>
      </w:pPr>
    </w:p>
    <w:p w14:paraId="20C1B15B" w14:textId="1A1AC33D" w:rsidR="009D0A05" w:rsidRDefault="009D0A05" w:rsidP="003B11DC">
      <w:pPr>
        <w:jc w:val="both"/>
        <w:rPr>
          <w:rFonts w:ascii="FrankRuehl" w:hAnsi="Calibri" w:cs="FrankRuehl"/>
          <w:sz w:val="26"/>
          <w:szCs w:val="26"/>
          <w:lang w:eastAsia="en-US"/>
        </w:rPr>
      </w:pPr>
      <w:r>
        <w:rPr>
          <w:rFonts w:ascii="FrankRuehl" w:hAnsi="Calibri" w:cs="FrankRuehl"/>
          <w:b/>
          <w:bCs/>
          <w:sz w:val="26"/>
          <w:szCs w:val="26"/>
          <w:rtl/>
        </w:rPr>
        <w:t>הבקשה</w:t>
      </w:r>
      <w:r>
        <w:rPr>
          <w:rFonts w:ascii="FrankRuehl" w:hAnsi="Calibri" w:cs="FrankRuehl"/>
          <w:b/>
          <w:bCs/>
          <w:sz w:val="26"/>
          <w:szCs w:val="26"/>
        </w:rPr>
        <w:t xml:space="preserve"> </w:t>
      </w:r>
      <w:r>
        <w:rPr>
          <w:rFonts w:ascii="FrankRuehl" w:hAnsi="Calibri" w:cs="FrankRuehl"/>
          <w:b/>
          <w:bCs/>
          <w:sz w:val="26"/>
          <w:szCs w:val="26"/>
          <w:rtl/>
        </w:rPr>
        <w:t>דנה</w:t>
      </w:r>
      <w:r>
        <w:rPr>
          <w:rFonts w:ascii="FrankRuehl" w:hAnsi="Calibri" w:cs="FrankRuehl"/>
          <w:b/>
          <w:bCs/>
          <w:sz w:val="26"/>
          <w:szCs w:val="26"/>
        </w:rPr>
        <w:t xml:space="preserve"> </w:t>
      </w:r>
      <w:r>
        <w:rPr>
          <w:rFonts w:ascii="FrankRuehl" w:hAnsi="Calibri" w:cs="FrankRuehl"/>
          <w:b/>
          <w:bCs/>
          <w:sz w:val="26"/>
          <w:szCs w:val="26"/>
          <w:rtl/>
        </w:rPr>
        <w:t>בסעיף</w:t>
      </w:r>
      <w:r>
        <w:rPr>
          <w:rFonts w:ascii="FrankRuehl" w:hAnsi="Calibri" w:cs="FrankRuehl"/>
          <w:b/>
          <w:bCs/>
          <w:sz w:val="26"/>
          <w:szCs w:val="26"/>
        </w:rPr>
        <w:t xml:space="preserve"> </w:t>
      </w:r>
      <w:r>
        <w:rPr>
          <w:rFonts w:ascii="FrankRuehl" w:hAnsi="Calibri" w:cs="FrankRuehl"/>
          <w:b/>
          <w:bCs/>
          <w:sz w:val="26"/>
          <w:szCs w:val="26"/>
          <w:rtl/>
        </w:rPr>
        <w:t xml:space="preserve">תקציבי: </w:t>
      </w:r>
      <w:r>
        <w:rPr>
          <w:rFonts w:ascii="FrankRuehl" w:hAnsi="Calibri" w:cs="FrankRuehl"/>
          <w:sz w:val="26"/>
          <w:szCs w:val="26"/>
          <w:rtl/>
        </w:rPr>
        <w:t xml:space="preserve">17 </w:t>
      </w:r>
      <w:r w:rsidR="002701F1">
        <w:rPr>
          <w:rFonts w:ascii="FrankRuehl" w:hAnsi="Calibri" w:cs="FrankRuehl"/>
          <w:sz w:val="26"/>
          <w:szCs w:val="26"/>
          <w:rtl/>
        </w:rPr>
        <w:t>–</w:t>
      </w:r>
      <w:r>
        <w:rPr>
          <w:rFonts w:ascii="FrankRuehl" w:hAnsi="Calibri" w:cs="FrankRuehl"/>
          <w:sz w:val="26"/>
          <w:szCs w:val="26"/>
          <w:rtl/>
        </w:rPr>
        <w:t xml:space="preserve"> תיאום</w:t>
      </w:r>
      <w:r w:rsidR="002701F1">
        <w:rPr>
          <w:rFonts w:ascii="FrankRuehl" w:hAnsi="Calibri" w:cs="FrankRuehl" w:hint="cs"/>
          <w:sz w:val="26"/>
          <w:szCs w:val="26"/>
          <w:rtl/>
        </w:rPr>
        <w:t xml:space="preserve"> ה</w:t>
      </w:r>
      <w:r>
        <w:rPr>
          <w:rFonts w:ascii="FrankRuehl" w:hAnsi="Calibri" w:cs="FrankRuehl"/>
          <w:sz w:val="26"/>
          <w:szCs w:val="26"/>
          <w:rtl/>
        </w:rPr>
        <w:t xml:space="preserve">פעולות </w:t>
      </w:r>
      <w:r>
        <w:rPr>
          <w:rFonts w:ascii="FrankRuehl" w:hAnsi="Calibri" w:cs="FrankRuehl"/>
          <w:sz w:val="26"/>
          <w:szCs w:val="26"/>
        </w:rPr>
        <w:t xml:space="preserve"> </w:t>
      </w:r>
      <w:r>
        <w:rPr>
          <w:rFonts w:ascii="FrankRuehl" w:hAnsi="Calibri" w:cs="FrankRuehl"/>
          <w:sz w:val="26"/>
          <w:szCs w:val="26"/>
          <w:rtl/>
        </w:rPr>
        <w:t>בשטחים</w:t>
      </w:r>
    </w:p>
    <w:p w14:paraId="41BDA0D6" w14:textId="77777777" w:rsidR="009D0A05" w:rsidRDefault="009D0A05" w:rsidP="003B11DC">
      <w:pPr>
        <w:jc w:val="both"/>
        <w:rPr>
          <w:rFonts w:ascii="FrankRuehl" w:hAnsi="Calibri" w:cs="FrankRuehl"/>
          <w:b/>
          <w:bCs/>
          <w:sz w:val="26"/>
          <w:szCs w:val="26"/>
        </w:rPr>
      </w:pPr>
    </w:p>
    <w:p w14:paraId="22D01519" w14:textId="77777777" w:rsidR="009D0A05" w:rsidRDefault="009D0A05" w:rsidP="003B11DC">
      <w:pPr>
        <w:jc w:val="both"/>
        <w:rPr>
          <w:rFonts w:cs="FrankRuehl"/>
          <w:b/>
          <w:bCs/>
          <w:sz w:val="26"/>
          <w:szCs w:val="26"/>
        </w:rPr>
      </w:pPr>
      <w:r>
        <w:rPr>
          <w:rFonts w:cs="FrankRuehl"/>
          <w:b/>
          <w:bCs/>
          <w:sz w:val="26"/>
          <w:szCs w:val="26"/>
          <w:rtl/>
        </w:rPr>
        <w:t>עיקרי</w:t>
      </w:r>
      <w:r>
        <w:rPr>
          <w:rFonts w:cs="FrankRuehl" w:hint="cs"/>
          <w:b/>
          <w:bCs/>
          <w:sz w:val="26"/>
          <w:szCs w:val="26"/>
        </w:rPr>
        <w:t xml:space="preserve"> </w:t>
      </w:r>
      <w:r>
        <w:rPr>
          <w:rFonts w:cs="FrankRuehl"/>
          <w:b/>
          <w:bCs/>
          <w:sz w:val="26"/>
          <w:szCs w:val="26"/>
          <w:rtl/>
        </w:rPr>
        <w:t>הפנייה</w:t>
      </w:r>
      <w:r>
        <w:rPr>
          <w:rFonts w:cs="FrankRuehl"/>
          <w:b/>
          <w:bCs/>
          <w:sz w:val="26"/>
          <w:szCs w:val="26"/>
        </w:rPr>
        <w:t>:</w:t>
      </w:r>
    </w:p>
    <w:p w14:paraId="23C63461" w14:textId="77777777" w:rsidR="009D0A05" w:rsidRDefault="009D0A05" w:rsidP="003B11DC">
      <w:pPr>
        <w:jc w:val="both"/>
        <w:rPr>
          <w:rFonts w:cs="FrankRuehl"/>
          <w:sz w:val="26"/>
          <w:szCs w:val="26"/>
          <w:rtl/>
        </w:rPr>
      </w:pPr>
      <w:r>
        <w:rPr>
          <w:rFonts w:cs="FrankRuehl"/>
          <w:sz w:val="26"/>
          <w:szCs w:val="26"/>
          <w:rtl/>
        </w:rPr>
        <w:t>הפנייה</w:t>
      </w:r>
      <w:r>
        <w:rPr>
          <w:rFonts w:cs="FrankRuehl" w:hint="cs"/>
          <w:sz w:val="26"/>
          <w:szCs w:val="26"/>
        </w:rPr>
        <w:t xml:space="preserve"> </w:t>
      </w:r>
      <w:r>
        <w:rPr>
          <w:rFonts w:cs="FrankRuehl"/>
          <w:sz w:val="26"/>
          <w:szCs w:val="26"/>
          <w:rtl/>
        </w:rPr>
        <w:t>התקציבית</w:t>
      </w:r>
      <w:r>
        <w:rPr>
          <w:rFonts w:cs="FrankRuehl" w:hint="cs"/>
          <w:sz w:val="26"/>
          <w:szCs w:val="26"/>
        </w:rPr>
        <w:t xml:space="preserve"> </w:t>
      </w:r>
      <w:r>
        <w:rPr>
          <w:rFonts w:cs="FrankRuehl"/>
          <w:sz w:val="26"/>
          <w:szCs w:val="26"/>
          <w:rtl/>
        </w:rPr>
        <w:t>נועדה</w:t>
      </w:r>
      <w:r>
        <w:rPr>
          <w:rFonts w:cs="FrankRuehl" w:hint="cs"/>
          <w:sz w:val="26"/>
          <w:szCs w:val="26"/>
        </w:rPr>
        <w:t xml:space="preserve"> </w:t>
      </w:r>
      <w:r>
        <w:rPr>
          <w:rFonts w:cs="FrankRuehl"/>
          <w:sz w:val="26"/>
          <w:szCs w:val="26"/>
          <w:rtl/>
        </w:rPr>
        <w:t>לתקצוב סך של 77,481 אלפי ש"ח בהוצאה כמפורט להלן.</w:t>
      </w:r>
    </w:p>
    <w:p w14:paraId="05D42DFB" w14:textId="77777777" w:rsidR="009D0A05" w:rsidRDefault="009D0A05" w:rsidP="003B11DC">
      <w:pPr>
        <w:jc w:val="both"/>
        <w:rPr>
          <w:rFonts w:cs="FrankRuehl"/>
          <w:sz w:val="26"/>
          <w:szCs w:val="26"/>
        </w:rPr>
      </w:pPr>
    </w:p>
    <w:p w14:paraId="37F4A743" w14:textId="77777777" w:rsidR="009D0A05" w:rsidRDefault="009D0A05" w:rsidP="003B11DC">
      <w:pPr>
        <w:jc w:val="both"/>
        <w:rPr>
          <w:rFonts w:ascii="FrankRuehl" w:hAnsi="Calibri" w:cs="FrankRuehl"/>
          <w:sz w:val="26"/>
          <w:szCs w:val="26"/>
        </w:rPr>
      </w:pPr>
      <w:r>
        <w:rPr>
          <w:rFonts w:ascii="FrankRuehl" w:hAnsi="Calibri" w:cs="FrankRuehl"/>
          <w:sz w:val="26"/>
          <w:szCs w:val="26"/>
          <w:rtl/>
        </w:rPr>
        <w:t>עיקרי הפנייה התקציבית בחלוקה לתוכניות מובאים להלן:</w:t>
      </w:r>
    </w:p>
    <w:p w14:paraId="3FC18E35" w14:textId="77777777" w:rsidR="009D0A05" w:rsidRDefault="009D0A05" w:rsidP="003B11DC">
      <w:pPr>
        <w:jc w:val="both"/>
        <w:rPr>
          <w:rFonts w:ascii="FrankRuehl" w:hAnsi="Calibri" w:cs="FrankRuehl"/>
          <w:b/>
          <w:bCs/>
          <w:sz w:val="26"/>
          <w:szCs w:val="26"/>
        </w:rPr>
      </w:pPr>
      <w:r>
        <w:rPr>
          <w:rFonts w:ascii="FrankRuehl" w:hAnsi="Calibri" w:cs="FrankRuehl"/>
          <w:b/>
          <w:bCs/>
          <w:sz w:val="26"/>
          <w:szCs w:val="26"/>
          <w:rtl/>
        </w:rPr>
        <w:t>תוכנית 17-31-05: ארכיאולוגיה – 77,481 אלפי ש"ח</w:t>
      </w:r>
    </w:p>
    <w:p w14:paraId="7F794B0F" w14:textId="77777777" w:rsidR="009D0A05" w:rsidRDefault="009D0A05" w:rsidP="003B11DC">
      <w:pPr>
        <w:jc w:val="both"/>
        <w:rPr>
          <w:rFonts w:ascii="FrankRuehl" w:hAnsi="FrankRuehl" w:cs="FrankRuehl"/>
          <w:sz w:val="26"/>
          <w:szCs w:val="26"/>
        </w:rPr>
      </w:pPr>
      <w:r>
        <w:rPr>
          <w:rFonts w:ascii="FrankRuehl" w:hAnsi="Calibri" w:cs="FrankRuehl"/>
          <w:b/>
          <w:bCs/>
          <w:sz w:val="26"/>
          <w:szCs w:val="26"/>
          <w:rtl/>
        </w:rPr>
        <w:t xml:space="preserve">תיאור </w:t>
      </w:r>
      <w:proofErr w:type="spellStart"/>
      <w:r>
        <w:rPr>
          <w:rFonts w:ascii="FrankRuehl" w:hAnsi="Calibri" w:cs="FrankRuehl"/>
          <w:b/>
          <w:bCs/>
          <w:sz w:val="26"/>
          <w:szCs w:val="26"/>
          <w:rtl/>
        </w:rPr>
        <w:t>התכנית</w:t>
      </w:r>
      <w:proofErr w:type="spellEnd"/>
      <w:r>
        <w:rPr>
          <w:rFonts w:ascii="FrankRuehl" w:hAnsi="Calibri" w:cs="FrankRuehl"/>
          <w:b/>
          <w:bCs/>
          <w:sz w:val="26"/>
          <w:szCs w:val="26"/>
          <w:rtl/>
        </w:rPr>
        <w:t>:</w:t>
      </w:r>
      <w:r>
        <w:rPr>
          <w:rFonts w:ascii="FrankRuehl" w:hAnsi="Calibri" w:cs="FrankRuehl"/>
          <w:sz w:val="26"/>
          <w:szCs w:val="26"/>
          <w:rtl/>
        </w:rPr>
        <w:t xml:space="preserve"> </w:t>
      </w:r>
      <w:r>
        <w:rPr>
          <w:rFonts w:ascii="FrankRuehl" w:hAnsi="FrankRuehl" w:cs="FrankRuehl"/>
          <w:sz w:val="26"/>
          <w:szCs w:val="26"/>
          <w:rtl/>
        </w:rPr>
        <w:t>התוכנית מתקצבת את נציגות של רשות העתיקות בתחומי יהודה ושומרון, העוסקת בחפירות ארכיאולוגיות, פרסום הממצאים וכן שמירה ופיקוח על אתרים ארכיאולוגים.</w:t>
      </w:r>
    </w:p>
    <w:p w14:paraId="6B418D69" w14:textId="77777777" w:rsidR="009D0A05" w:rsidRDefault="009D0A05" w:rsidP="003B11DC">
      <w:pPr>
        <w:jc w:val="both"/>
        <w:rPr>
          <w:rFonts w:ascii="FrankRuehl" w:hAnsi="Calibri" w:cs="FrankRuehl"/>
          <w:b/>
          <w:bCs/>
          <w:sz w:val="26"/>
          <w:szCs w:val="26"/>
          <w:rtl/>
        </w:rPr>
      </w:pPr>
      <w:r>
        <w:rPr>
          <w:rFonts w:ascii="FrankRuehl" w:hAnsi="Calibri" w:cs="FrankRuehl"/>
          <w:b/>
          <w:bCs/>
          <w:sz w:val="26"/>
          <w:szCs w:val="26"/>
          <w:rtl/>
        </w:rPr>
        <w:t>מטרת השינוי:</w:t>
      </w:r>
    </w:p>
    <w:p w14:paraId="4CDAE4DD" w14:textId="77777777" w:rsidR="009D0A05" w:rsidRDefault="009D0A05" w:rsidP="003B11DC">
      <w:pPr>
        <w:jc w:val="both"/>
        <w:rPr>
          <w:rFonts w:cs="FrankRuehl"/>
          <w:sz w:val="26"/>
          <w:szCs w:val="26"/>
          <w:rtl/>
        </w:rPr>
      </w:pPr>
      <w:r>
        <w:rPr>
          <w:rFonts w:cs="FrankRuehl"/>
          <w:sz w:val="26"/>
          <w:szCs w:val="26"/>
          <w:rtl/>
        </w:rPr>
        <w:t>הפנייה התקציבית נועדה לתקצוב סך של 32,481 אלפי ש"ח בהוצאה עבור יישום הסכמים פוליטיים בעלי השפעה תקציבית, כמפורט להלן. בנוסף תקצוב סך של 45,000 אלפי ש"ח בהוצאה עבור יישום החלטת ממשלה מס' 4141 מיום 20 במאי 2026 שעניינה "שינוי סדרי עדיפויות ותיקון החלטות הממשלה - תוכנית להצלה, לשימור, לפיתוח ולמניעת שוד והרס עתיקות באתרי מורשת במדבר יהודה, ביהודה, שומרון ובקעת הירדן".</w:t>
      </w:r>
    </w:p>
    <w:p w14:paraId="048AC589" w14:textId="77777777" w:rsidR="009D0A05" w:rsidRDefault="009D0A05" w:rsidP="003B11DC">
      <w:pPr>
        <w:jc w:val="both"/>
        <w:rPr>
          <w:rFonts w:ascii="FrankRuehl" w:hAnsi="Calibri" w:cs="FrankRuehl"/>
          <w:b/>
          <w:bCs/>
          <w:sz w:val="26"/>
          <w:szCs w:val="26"/>
          <w:rtl/>
        </w:rPr>
      </w:pPr>
    </w:p>
    <w:p w14:paraId="5AC8C4AD" w14:textId="77777777" w:rsidR="009D0A05" w:rsidRDefault="009D0A05" w:rsidP="003B11DC">
      <w:pPr>
        <w:contextualSpacing/>
        <w:jc w:val="both"/>
        <w:rPr>
          <w:rFonts w:ascii="FrankRuehl" w:hAnsi="FrankRuehl" w:cs="FrankRuehl"/>
          <w:b/>
          <w:bCs/>
          <w:sz w:val="26"/>
          <w:szCs w:val="26"/>
          <w:rtl/>
        </w:rPr>
      </w:pPr>
      <w:r>
        <w:rPr>
          <w:rFonts w:ascii="FrankRuehl" w:hAnsi="FrankRuehl" w:cs="FrankRuehl"/>
          <w:b/>
          <w:bCs/>
          <w:sz w:val="26"/>
          <w:szCs w:val="26"/>
          <w:rtl/>
        </w:rPr>
        <w:t xml:space="preserve">יישום הסכמים פוליטיים בעלי משמעות תקציבית: </w:t>
      </w:r>
    </w:p>
    <w:p w14:paraId="632E0B9E" w14:textId="77777777" w:rsidR="009D0A05" w:rsidRDefault="009D0A05" w:rsidP="003B11DC">
      <w:pPr>
        <w:contextualSpacing/>
        <w:jc w:val="both"/>
        <w:rPr>
          <w:rFonts w:ascii="FrankRuehl" w:hAnsi="FrankRuehl" w:cs="FrankRuehl"/>
          <w:sz w:val="26"/>
          <w:szCs w:val="26"/>
          <w:rtl/>
        </w:rPr>
      </w:pPr>
      <w:r>
        <w:rPr>
          <w:rFonts w:ascii="FrankRuehl" w:hAnsi="FrankRuehl" w:cs="FrankRuehl"/>
          <w:sz w:val="26"/>
          <w:szCs w:val="26"/>
          <w:rtl/>
        </w:rPr>
        <w:t xml:space="preserve">הפנייה נועדה לתקצב סך של 32,481 אלפי ש"ח בהוצאה, עבור הנושאים המפורטים להלן, בהתאם להחלטת ממשלה מס' 3610 מיום 4 בדצמבר 2025 שעניינה "הקצאת תקציבים עבור יישום הסכמים קואליציוניים והחלטות נוספות בשנת 2026", ולהחלטת ממשלה מס' 3971 מיום 10 למרץ 2026 שעניינה "יישום הסכמים קואליציוניים בשנת הכספים 2026". מכיוון שבעת קבלת החלטות הממשלה האמורות ובעת הצגת ההסכמים טרם הושלמו הבדיקות המקצועיות והמשפטיות הנחוצות לצורך הקצאת התקציבים הנדרשים על פי הנחיית היועץ המשפטי לממשלה מספר 1.1801, התקציב טרם הוקצה בתוכניות הייעודיות עד להשלמתן. כעת, משהושלמו הבדיקות המקצועיות והמשפטיות </w:t>
      </w:r>
      <w:r>
        <w:rPr>
          <w:rFonts w:ascii="FrankRuehl" w:hAnsi="FrankRuehl" w:cs="FrankRuehl"/>
          <w:sz w:val="26"/>
          <w:szCs w:val="26"/>
          <w:rtl/>
        </w:rPr>
        <w:lastRenderedPageBreak/>
        <w:t>הנחוצות, מוצע להעביר את הסכומים האמורים, בהתאם להחלטות הממשלה האמורות וההסכמים האמורים, לתוכניות הייעודיות, כמפורט להלן:</w:t>
      </w:r>
    </w:p>
    <w:p w14:paraId="7880A661" w14:textId="77777777" w:rsidR="009D0A05" w:rsidRDefault="009D0A05" w:rsidP="003B11DC">
      <w:pPr>
        <w:contextualSpacing/>
        <w:jc w:val="both"/>
        <w:rPr>
          <w:rFonts w:ascii="FrankRuehl" w:hAnsi="FrankRuehl" w:cs="FrankRuehl"/>
          <w:sz w:val="26"/>
          <w:szCs w:val="26"/>
          <w:rt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418"/>
        <w:gridCol w:w="3685"/>
        <w:gridCol w:w="2085"/>
      </w:tblGrid>
      <w:tr w:rsidR="009D0A05" w14:paraId="4E56C04E" w14:textId="77777777" w:rsidTr="009D0A05">
        <w:trPr>
          <w:trHeight w:val="54"/>
        </w:trPr>
        <w:tc>
          <w:tcPr>
            <w:tcW w:w="783" w:type="pct"/>
            <w:tcBorders>
              <w:top w:val="single" w:sz="4" w:space="0" w:color="auto"/>
              <w:left w:val="single" w:sz="4" w:space="0" w:color="auto"/>
              <w:bottom w:val="single" w:sz="4" w:space="0" w:color="auto"/>
              <w:right w:val="single" w:sz="4" w:space="0" w:color="auto"/>
            </w:tcBorders>
            <w:hideMark/>
          </w:tcPr>
          <w:p w14:paraId="7A7BCC59" w14:textId="77777777" w:rsidR="009D0A05" w:rsidRDefault="009D0A05" w:rsidP="003B11DC">
            <w:pPr>
              <w:contextualSpacing/>
              <w:jc w:val="both"/>
              <w:rPr>
                <w:rFonts w:ascii="FrankRuehl" w:hAnsi="FrankRuehl" w:cs="FrankRuehl"/>
                <w:sz w:val="26"/>
                <w:szCs w:val="26"/>
                <w:rtl/>
              </w:rPr>
            </w:pPr>
            <w:r>
              <w:rPr>
                <w:rFonts w:ascii="FrankRuehl" w:hAnsi="FrankRuehl" w:cs="FrankRuehl"/>
                <w:b/>
                <w:bCs/>
                <w:sz w:val="26"/>
                <w:szCs w:val="26"/>
                <w:rtl/>
              </w:rPr>
              <w:t>מספר תכנית</w:t>
            </w:r>
          </w:p>
        </w:tc>
        <w:tc>
          <w:tcPr>
            <w:tcW w:w="832" w:type="pct"/>
            <w:tcBorders>
              <w:top w:val="single" w:sz="4" w:space="0" w:color="auto"/>
              <w:left w:val="single" w:sz="4" w:space="0" w:color="auto"/>
              <w:bottom w:val="single" w:sz="4" w:space="0" w:color="auto"/>
              <w:right w:val="single" w:sz="4" w:space="0" w:color="auto"/>
            </w:tcBorders>
            <w:hideMark/>
          </w:tcPr>
          <w:p w14:paraId="7A5B6EEF" w14:textId="77777777" w:rsidR="009D0A05" w:rsidRDefault="009D0A05" w:rsidP="003B11DC">
            <w:pPr>
              <w:contextualSpacing/>
              <w:jc w:val="both"/>
              <w:rPr>
                <w:rFonts w:ascii="FrankRuehl" w:hAnsi="FrankRuehl" w:cs="FrankRuehl"/>
                <w:sz w:val="26"/>
                <w:szCs w:val="26"/>
                <w:rtl/>
              </w:rPr>
            </w:pPr>
            <w:r>
              <w:rPr>
                <w:rFonts w:ascii="FrankRuehl" w:hAnsi="FrankRuehl" w:cs="FrankRuehl"/>
                <w:b/>
                <w:bCs/>
                <w:sz w:val="26"/>
                <w:szCs w:val="26"/>
                <w:rtl/>
              </w:rPr>
              <w:t>שם תכנית</w:t>
            </w:r>
          </w:p>
        </w:tc>
        <w:tc>
          <w:tcPr>
            <w:tcW w:w="2162" w:type="pct"/>
            <w:tcBorders>
              <w:top w:val="single" w:sz="4" w:space="0" w:color="auto"/>
              <w:left w:val="single" w:sz="4" w:space="0" w:color="auto"/>
              <w:bottom w:val="single" w:sz="4" w:space="0" w:color="auto"/>
              <w:right w:val="single" w:sz="4" w:space="0" w:color="auto"/>
            </w:tcBorders>
            <w:hideMark/>
          </w:tcPr>
          <w:p w14:paraId="20BBC9BA" w14:textId="77777777" w:rsidR="009D0A05" w:rsidRDefault="009D0A05" w:rsidP="003B11DC">
            <w:pPr>
              <w:contextualSpacing/>
              <w:jc w:val="both"/>
              <w:rPr>
                <w:rFonts w:ascii="FrankRuehl" w:hAnsi="FrankRuehl" w:cs="FrankRuehl"/>
                <w:sz w:val="26"/>
                <w:szCs w:val="26"/>
                <w:rtl/>
              </w:rPr>
            </w:pPr>
            <w:r>
              <w:rPr>
                <w:rFonts w:ascii="FrankRuehl" w:hAnsi="FrankRuehl" w:cs="FrankRuehl"/>
                <w:b/>
                <w:bCs/>
                <w:sz w:val="26"/>
                <w:szCs w:val="26"/>
                <w:rtl/>
              </w:rPr>
              <w:t>נושא</w:t>
            </w:r>
          </w:p>
        </w:tc>
        <w:tc>
          <w:tcPr>
            <w:tcW w:w="1223" w:type="pct"/>
            <w:tcBorders>
              <w:top w:val="single" w:sz="4" w:space="0" w:color="auto"/>
              <w:left w:val="single" w:sz="4" w:space="0" w:color="auto"/>
              <w:bottom w:val="single" w:sz="4" w:space="0" w:color="auto"/>
              <w:right w:val="single" w:sz="4" w:space="0" w:color="auto"/>
            </w:tcBorders>
            <w:hideMark/>
          </w:tcPr>
          <w:p w14:paraId="5F36A4A2" w14:textId="77777777" w:rsidR="009D0A05" w:rsidRDefault="009D0A05" w:rsidP="003B11DC">
            <w:pPr>
              <w:contextualSpacing/>
              <w:jc w:val="both"/>
              <w:rPr>
                <w:rFonts w:ascii="FrankRuehl" w:hAnsi="FrankRuehl" w:cs="FrankRuehl"/>
                <w:sz w:val="26"/>
                <w:szCs w:val="26"/>
                <w:rtl/>
              </w:rPr>
            </w:pPr>
            <w:r>
              <w:rPr>
                <w:rFonts w:ascii="FrankRuehl" w:hAnsi="FrankRuehl" w:cs="FrankRuehl"/>
                <w:b/>
                <w:bCs/>
                <w:sz w:val="26"/>
                <w:szCs w:val="26"/>
                <w:rtl/>
              </w:rPr>
              <w:t>סכום</w:t>
            </w:r>
            <w:r>
              <w:rPr>
                <w:rFonts w:ascii="FrankRuehl" w:hAnsi="FrankRuehl" w:cs="FrankRuehl"/>
                <w:sz w:val="26"/>
                <w:szCs w:val="26"/>
                <w:rtl/>
              </w:rPr>
              <w:t xml:space="preserve"> (אלפי ש"ח)</w:t>
            </w:r>
          </w:p>
        </w:tc>
      </w:tr>
      <w:tr w:rsidR="009D0A05" w14:paraId="278BBB5E" w14:textId="77777777" w:rsidTr="009D0A05">
        <w:trPr>
          <w:trHeight w:val="556"/>
        </w:trPr>
        <w:tc>
          <w:tcPr>
            <w:tcW w:w="783" w:type="pct"/>
            <w:tcBorders>
              <w:top w:val="single" w:sz="4" w:space="0" w:color="auto"/>
              <w:left w:val="single" w:sz="4" w:space="0" w:color="auto"/>
              <w:bottom w:val="single" w:sz="4" w:space="0" w:color="auto"/>
              <w:right w:val="single" w:sz="4" w:space="0" w:color="auto"/>
            </w:tcBorders>
            <w:hideMark/>
          </w:tcPr>
          <w:p w14:paraId="711C47ED" w14:textId="77777777" w:rsidR="009D0A05" w:rsidRDefault="009D0A05" w:rsidP="003B11DC">
            <w:pPr>
              <w:contextualSpacing/>
              <w:jc w:val="both"/>
              <w:rPr>
                <w:rFonts w:ascii="FrankRuehl" w:hAnsi="FrankRuehl" w:cs="FrankRuehl"/>
                <w:color w:val="000000"/>
                <w:sz w:val="26"/>
                <w:szCs w:val="26"/>
                <w:rtl/>
              </w:rPr>
            </w:pPr>
            <w:r>
              <w:rPr>
                <w:rFonts w:ascii="FrankRuehl" w:hAnsi="FrankRuehl" w:cs="FrankRuehl"/>
                <w:color w:val="000000"/>
                <w:sz w:val="26"/>
                <w:szCs w:val="26"/>
              </w:rPr>
              <w:t>173105</w:t>
            </w:r>
          </w:p>
        </w:tc>
        <w:tc>
          <w:tcPr>
            <w:tcW w:w="832" w:type="pct"/>
            <w:tcBorders>
              <w:top w:val="single" w:sz="4" w:space="0" w:color="auto"/>
              <w:left w:val="single" w:sz="4" w:space="0" w:color="auto"/>
              <w:bottom w:val="single" w:sz="4" w:space="0" w:color="auto"/>
              <w:right w:val="single" w:sz="4" w:space="0" w:color="auto"/>
            </w:tcBorders>
            <w:hideMark/>
          </w:tcPr>
          <w:p w14:paraId="650035E6" w14:textId="77777777" w:rsidR="009D0A05" w:rsidRDefault="009D0A05" w:rsidP="003B11DC">
            <w:pPr>
              <w:contextualSpacing/>
              <w:jc w:val="both"/>
              <w:rPr>
                <w:rFonts w:ascii="FrankRuehl" w:hAnsi="FrankRuehl" w:cs="FrankRuehl"/>
                <w:sz w:val="26"/>
                <w:szCs w:val="26"/>
              </w:rPr>
            </w:pPr>
            <w:r>
              <w:rPr>
                <w:rFonts w:ascii="FrankRuehl" w:hAnsi="FrankRuehl" w:cs="FrankRuehl"/>
                <w:sz w:val="26"/>
                <w:szCs w:val="26"/>
                <w:rtl/>
              </w:rPr>
              <w:t>ארכיאולוגיה</w:t>
            </w:r>
          </w:p>
        </w:tc>
        <w:tc>
          <w:tcPr>
            <w:tcW w:w="2162" w:type="pct"/>
            <w:tcBorders>
              <w:top w:val="single" w:sz="4" w:space="0" w:color="auto"/>
              <w:left w:val="single" w:sz="4" w:space="0" w:color="auto"/>
              <w:bottom w:val="single" w:sz="4" w:space="0" w:color="auto"/>
              <w:right w:val="single" w:sz="4" w:space="0" w:color="auto"/>
            </w:tcBorders>
            <w:hideMark/>
          </w:tcPr>
          <w:p w14:paraId="54209A7C" w14:textId="77777777" w:rsidR="009D0A05" w:rsidRDefault="009D0A05" w:rsidP="003B11DC">
            <w:pPr>
              <w:contextualSpacing/>
              <w:jc w:val="both"/>
              <w:rPr>
                <w:rFonts w:ascii="FrankRuehl" w:hAnsi="FrankRuehl" w:cs="FrankRuehl"/>
                <w:sz w:val="26"/>
                <w:szCs w:val="26"/>
                <w:rtl/>
              </w:rPr>
            </w:pPr>
            <w:r>
              <w:rPr>
                <w:rFonts w:ascii="FrankRuehl" w:hAnsi="FrankRuehl" w:cs="FrankRuehl"/>
                <w:color w:val="000000"/>
                <w:sz w:val="26"/>
                <w:szCs w:val="26"/>
                <w:rtl/>
              </w:rPr>
              <w:t>פיקוח ומניעת פגיעה בעתיקות, פעולות הצלה ופיתוח אתרים ארכיאולוגים ביהודה ושומרון תחת אחריות יחידת קמ"ט ארכיאולוגיה</w:t>
            </w:r>
          </w:p>
        </w:tc>
        <w:tc>
          <w:tcPr>
            <w:tcW w:w="1223" w:type="pct"/>
            <w:tcBorders>
              <w:top w:val="single" w:sz="4" w:space="0" w:color="auto"/>
              <w:left w:val="single" w:sz="4" w:space="0" w:color="auto"/>
              <w:bottom w:val="single" w:sz="4" w:space="0" w:color="auto"/>
              <w:right w:val="single" w:sz="4" w:space="0" w:color="auto"/>
            </w:tcBorders>
            <w:hideMark/>
          </w:tcPr>
          <w:p w14:paraId="01D37066" w14:textId="77777777" w:rsidR="009D0A05" w:rsidRDefault="009D0A05" w:rsidP="003B11DC">
            <w:pPr>
              <w:contextualSpacing/>
              <w:jc w:val="both"/>
              <w:rPr>
                <w:rFonts w:ascii="FrankRuehl" w:hAnsi="FrankRuehl" w:cs="FrankRuehl"/>
                <w:color w:val="000000"/>
                <w:sz w:val="26"/>
                <w:szCs w:val="26"/>
                <w:rtl/>
              </w:rPr>
            </w:pPr>
            <w:r>
              <w:rPr>
                <w:rFonts w:ascii="FrankRuehl" w:hAnsi="FrankRuehl" w:cs="FrankRuehl"/>
                <w:color w:val="000000"/>
                <w:sz w:val="26"/>
                <w:szCs w:val="26"/>
                <w:rtl/>
              </w:rPr>
              <w:t>19,400</w:t>
            </w:r>
          </w:p>
        </w:tc>
      </w:tr>
      <w:tr w:rsidR="009D0A05" w14:paraId="4C6A7CA3" w14:textId="77777777" w:rsidTr="009D0A05">
        <w:trPr>
          <w:trHeight w:val="556"/>
        </w:trPr>
        <w:tc>
          <w:tcPr>
            <w:tcW w:w="783" w:type="pct"/>
            <w:tcBorders>
              <w:top w:val="single" w:sz="4" w:space="0" w:color="auto"/>
              <w:left w:val="single" w:sz="4" w:space="0" w:color="auto"/>
              <w:bottom w:val="single" w:sz="4" w:space="0" w:color="auto"/>
              <w:right w:val="single" w:sz="4" w:space="0" w:color="auto"/>
            </w:tcBorders>
            <w:hideMark/>
          </w:tcPr>
          <w:p w14:paraId="369FD57A" w14:textId="77777777" w:rsidR="009D0A05" w:rsidRDefault="009D0A05" w:rsidP="003B11DC">
            <w:pPr>
              <w:contextualSpacing/>
              <w:jc w:val="both"/>
              <w:rPr>
                <w:rFonts w:ascii="FrankRuehl" w:hAnsi="FrankRuehl" w:cs="FrankRuehl"/>
                <w:color w:val="000000"/>
                <w:sz w:val="26"/>
                <w:szCs w:val="26"/>
                <w:rtl/>
              </w:rPr>
            </w:pPr>
            <w:r>
              <w:rPr>
                <w:rFonts w:ascii="FrankRuehl" w:hAnsi="FrankRuehl" w:cs="FrankRuehl"/>
                <w:color w:val="000000"/>
                <w:sz w:val="26"/>
                <w:szCs w:val="26"/>
              </w:rPr>
              <w:t>173105</w:t>
            </w:r>
          </w:p>
        </w:tc>
        <w:tc>
          <w:tcPr>
            <w:tcW w:w="832" w:type="pct"/>
            <w:tcBorders>
              <w:top w:val="single" w:sz="4" w:space="0" w:color="auto"/>
              <w:left w:val="single" w:sz="4" w:space="0" w:color="auto"/>
              <w:bottom w:val="single" w:sz="4" w:space="0" w:color="auto"/>
              <w:right w:val="single" w:sz="4" w:space="0" w:color="auto"/>
            </w:tcBorders>
            <w:hideMark/>
          </w:tcPr>
          <w:p w14:paraId="2CCD6903" w14:textId="77777777" w:rsidR="009D0A05" w:rsidRDefault="009D0A05" w:rsidP="003B11DC">
            <w:pPr>
              <w:contextualSpacing/>
              <w:jc w:val="both"/>
              <w:rPr>
                <w:rFonts w:ascii="FrankRuehl" w:hAnsi="FrankRuehl" w:cs="FrankRuehl"/>
                <w:sz w:val="26"/>
                <w:szCs w:val="26"/>
              </w:rPr>
            </w:pPr>
            <w:r>
              <w:rPr>
                <w:rFonts w:ascii="FrankRuehl" w:hAnsi="FrankRuehl" w:cs="FrankRuehl"/>
                <w:sz w:val="26"/>
                <w:szCs w:val="26"/>
                <w:rtl/>
              </w:rPr>
              <w:t>ארכיאולוגיה</w:t>
            </w:r>
          </w:p>
        </w:tc>
        <w:tc>
          <w:tcPr>
            <w:tcW w:w="2162" w:type="pct"/>
            <w:tcBorders>
              <w:top w:val="single" w:sz="4" w:space="0" w:color="auto"/>
              <w:left w:val="single" w:sz="4" w:space="0" w:color="auto"/>
              <w:bottom w:val="single" w:sz="4" w:space="0" w:color="auto"/>
              <w:right w:val="single" w:sz="4" w:space="0" w:color="auto"/>
            </w:tcBorders>
            <w:hideMark/>
          </w:tcPr>
          <w:p w14:paraId="5F425AB3" w14:textId="77777777" w:rsidR="009D0A05" w:rsidRDefault="009D0A05" w:rsidP="003B11DC">
            <w:pPr>
              <w:contextualSpacing/>
              <w:jc w:val="both"/>
              <w:rPr>
                <w:rFonts w:ascii="FrankRuehl" w:hAnsi="FrankRuehl" w:cs="FrankRuehl"/>
                <w:color w:val="000000"/>
                <w:sz w:val="26"/>
                <w:szCs w:val="26"/>
                <w:rtl/>
              </w:rPr>
            </w:pPr>
            <w:r>
              <w:rPr>
                <w:rFonts w:ascii="FrankRuehl" w:hAnsi="FrankRuehl" w:cs="FrankRuehl"/>
                <w:color w:val="000000"/>
                <w:sz w:val="26"/>
                <w:szCs w:val="26"/>
                <w:rtl/>
              </w:rPr>
              <w:t>ארכיאולוגיה ביו"ש</w:t>
            </w:r>
          </w:p>
        </w:tc>
        <w:tc>
          <w:tcPr>
            <w:tcW w:w="1223" w:type="pct"/>
            <w:tcBorders>
              <w:top w:val="single" w:sz="4" w:space="0" w:color="auto"/>
              <w:left w:val="single" w:sz="4" w:space="0" w:color="auto"/>
              <w:bottom w:val="single" w:sz="4" w:space="0" w:color="auto"/>
              <w:right w:val="single" w:sz="4" w:space="0" w:color="auto"/>
            </w:tcBorders>
            <w:hideMark/>
          </w:tcPr>
          <w:p w14:paraId="0F9E713A" w14:textId="77777777" w:rsidR="009D0A05" w:rsidRDefault="009D0A05" w:rsidP="003B11DC">
            <w:pPr>
              <w:contextualSpacing/>
              <w:jc w:val="both"/>
              <w:rPr>
                <w:rFonts w:ascii="FrankRuehl" w:hAnsi="FrankRuehl" w:cs="FrankRuehl"/>
                <w:color w:val="000000"/>
                <w:sz w:val="26"/>
                <w:szCs w:val="26"/>
                <w:rtl/>
              </w:rPr>
            </w:pPr>
            <w:r>
              <w:rPr>
                <w:rFonts w:ascii="FrankRuehl" w:hAnsi="FrankRuehl" w:cs="FrankRuehl"/>
                <w:color w:val="000000"/>
                <w:sz w:val="26"/>
                <w:szCs w:val="26"/>
                <w:rtl/>
              </w:rPr>
              <w:t>13,081</w:t>
            </w:r>
          </w:p>
        </w:tc>
      </w:tr>
    </w:tbl>
    <w:p w14:paraId="2C3C4664" w14:textId="77777777" w:rsidR="009D0A05" w:rsidRDefault="009D0A05" w:rsidP="003B11DC">
      <w:pPr>
        <w:jc w:val="both"/>
        <w:rPr>
          <w:rFonts w:cs="FrankRuehl"/>
          <w:sz w:val="26"/>
          <w:szCs w:val="26"/>
          <w:rtl/>
          <w:lang w:eastAsia="en-US"/>
        </w:rPr>
      </w:pPr>
    </w:p>
    <w:p w14:paraId="29C26DB3" w14:textId="1D73281A" w:rsidR="009D0A05" w:rsidRDefault="009D0A05" w:rsidP="003B11DC">
      <w:pPr>
        <w:jc w:val="both"/>
        <w:rPr>
          <w:rFonts w:cs="FrankRuehl"/>
          <w:sz w:val="26"/>
          <w:szCs w:val="26"/>
          <w:rtl/>
        </w:rPr>
      </w:pPr>
      <w:r>
        <w:rPr>
          <w:rFonts w:cs="FrankRuehl"/>
          <w:b/>
          <w:bCs/>
          <w:sz w:val="26"/>
          <w:szCs w:val="26"/>
          <w:rtl/>
        </w:rPr>
        <w:t xml:space="preserve">השפעה על </w:t>
      </w:r>
      <w:proofErr w:type="spellStart"/>
      <w:r>
        <w:rPr>
          <w:rFonts w:cs="FrankRuehl"/>
          <w:b/>
          <w:bCs/>
          <w:sz w:val="26"/>
          <w:szCs w:val="26"/>
          <w:rtl/>
        </w:rPr>
        <w:t>כח</w:t>
      </w:r>
      <w:proofErr w:type="spellEnd"/>
      <w:r>
        <w:rPr>
          <w:rFonts w:cs="FrankRuehl"/>
          <w:b/>
          <w:bCs/>
          <w:sz w:val="26"/>
          <w:szCs w:val="26"/>
          <w:rtl/>
        </w:rPr>
        <w:t xml:space="preserve"> אדם:</w:t>
      </w:r>
      <w:r>
        <w:rPr>
          <w:rFonts w:cs="FrankRuehl" w:hint="cs"/>
          <w:sz w:val="26"/>
          <w:szCs w:val="26"/>
        </w:rPr>
        <w:t xml:space="preserve"> </w:t>
      </w:r>
      <w:r>
        <w:rPr>
          <w:rFonts w:cs="FrankRuehl"/>
          <w:sz w:val="26"/>
          <w:szCs w:val="26"/>
          <w:rtl/>
        </w:rPr>
        <w:t>אין .</w:t>
      </w:r>
    </w:p>
    <w:p w14:paraId="038AE3F6" w14:textId="77777777" w:rsidR="009D0A05" w:rsidRDefault="009D0A05" w:rsidP="003B11DC">
      <w:pPr>
        <w:jc w:val="both"/>
        <w:rPr>
          <w:rFonts w:cs="FrankRuehl"/>
          <w:sz w:val="26"/>
          <w:szCs w:val="26"/>
          <w:rtl/>
        </w:rPr>
      </w:pPr>
    </w:p>
    <w:p w14:paraId="02580F57" w14:textId="77777777" w:rsidR="009D0A05" w:rsidRDefault="009D0A05" w:rsidP="009D0A05">
      <w:pPr>
        <w:tabs>
          <w:tab w:val="center" w:pos="6888"/>
        </w:tabs>
        <w:rPr>
          <w:rFonts w:cs="FrankRuehl"/>
          <w:sz w:val="26"/>
          <w:szCs w:val="26"/>
          <w:rtl/>
        </w:rPr>
      </w:pPr>
    </w:p>
    <w:p w14:paraId="2A4D4180" w14:textId="77777777" w:rsidR="00436E4E" w:rsidRPr="002E1D22" w:rsidRDefault="00436E4E">
      <w:pPr>
        <w:tabs>
          <w:tab w:val="center" w:pos="6867"/>
        </w:tabs>
        <w:rPr>
          <w:rFonts w:cs="FrankRuehl"/>
          <w:sz w:val="26"/>
          <w:szCs w:val="26"/>
          <w:rtl/>
        </w:rPr>
      </w:pPr>
    </w:p>
    <w:p w14:paraId="70D6A4D0"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757DAD2E" w14:textId="77777777" w:rsidR="00436E4E" w:rsidRDefault="00C13197">
      <w:pPr>
        <w:tabs>
          <w:tab w:val="center" w:pos="6867"/>
        </w:tabs>
        <w:rPr>
          <w:rFonts w:cs="FrankRuehl"/>
          <w:sz w:val="26"/>
          <w:szCs w:val="26"/>
          <w:rtl/>
        </w:rPr>
      </w:pPr>
      <w:r>
        <w:rPr>
          <w:rFonts w:cs="FrankRuehl"/>
          <w:sz w:val="26"/>
          <w:szCs w:val="26"/>
          <w:rtl/>
        </w:rPr>
        <w:tab/>
      </w:r>
    </w:p>
    <w:p w14:paraId="7169B405"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7F2C1CD2"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A5AB1FA"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646AB03D"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6BF80DFE" w14:textId="77777777" w:rsidR="00436E4E" w:rsidRPr="002E1D22" w:rsidRDefault="00436E4E">
      <w:pPr>
        <w:rPr>
          <w:rFonts w:cs="FrankRuehl"/>
          <w:sz w:val="26"/>
          <w:szCs w:val="26"/>
          <w:rtl/>
        </w:rPr>
      </w:pPr>
      <w:r w:rsidRPr="002E1D22">
        <w:rPr>
          <w:rFonts w:cs="FrankRuehl"/>
          <w:sz w:val="26"/>
          <w:szCs w:val="26"/>
          <w:rtl/>
        </w:rPr>
        <w:t>העתק:</w:t>
      </w:r>
    </w:p>
    <w:p w14:paraId="263DB074" w14:textId="77777777" w:rsidR="00436E4E" w:rsidRPr="002E1D22" w:rsidRDefault="00436E4E">
      <w:pPr>
        <w:rPr>
          <w:rFonts w:cs="FrankRuehl"/>
          <w:sz w:val="26"/>
          <w:szCs w:val="26"/>
          <w:rtl/>
        </w:rPr>
      </w:pPr>
      <w:r w:rsidRPr="002E1D22">
        <w:rPr>
          <w:rFonts w:cs="FrankRuehl"/>
          <w:sz w:val="26"/>
          <w:szCs w:val="26"/>
          <w:rtl/>
        </w:rPr>
        <w:t>החשב הכללי</w:t>
      </w:r>
    </w:p>
    <w:p w14:paraId="27A70A44" w14:textId="77777777" w:rsidR="00436E4E" w:rsidRPr="002E1D22" w:rsidRDefault="00436E4E">
      <w:pPr>
        <w:rPr>
          <w:rFonts w:cs="FrankRuehl"/>
          <w:sz w:val="26"/>
          <w:szCs w:val="26"/>
          <w:rtl/>
        </w:rPr>
      </w:pPr>
      <w:r w:rsidRPr="002E1D22">
        <w:rPr>
          <w:rFonts w:cs="FrankRuehl"/>
          <w:sz w:val="26"/>
          <w:szCs w:val="26"/>
          <w:rtl/>
        </w:rPr>
        <w:t>מבקר המדינה (2)</w:t>
      </w:r>
    </w:p>
    <w:p w14:paraId="2E52B02C" w14:textId="77777777" w:rsidR="007D5AB1" w:rsidRDefault="007D5AB1">
      <w:pPr>
        <w:rPr>
          <w:rFonts w:cs="FrankRuehl"/>
          <w:sz w:val="26"/>
          <w:szCs w:val="26"/>
          <w:rtl/>
        </w:rPr>
      </w:pPr>
      <w:bookmarkStart w:id="10" w:name="TAKZIV22"/>
      <w:r>
        <w:rPr>
          <w:rFonts w:cs="FrankRuehl"/>
          <w:sz w:val="26"/>
          <w:szCs w:val="26"/>
          <w:rtl/>
        </w:rPr>
        <w:t>חשב החשב הכללי</w:t>
      </w:r>
    </w:p>
    <w:p w14:paraId="4E41880D" w14:textId="353D40DB" w:rsidR="00436E4E" w:rsidRPr="002E1D22" w:rsidRDefault="007D5AB1">
      <w:pPr>
        <w:rPr>
          <w:rFonts w:cs="FrankRuehl"/>
          <w:sz w:val="26"/>
          <w:szCs w:val="26"/>
          <w:rtl/>
        </w:rPr>
      </w:pPr>
      <w:r>
        <w:rPr>
          <w:rFonts w:cs="FrankRuehl"/>
          <w:sz w:val="26"/>
          <w:szCs w:val="26"/>
          <w:rtl/>
        </w:rPr>
        <w:t>חשב תאום פעולות בשטחים - יו"ש ועזה</w:t>
      </w:r>
      <w:bookmarkEnd w:id="10"/>
    </w:p>
    <w:p w14:paraId="430D4126" w14:textId="7773E3A9"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7D5AB1">
        <w:rPr>
          <w:rFonts w:cs="FrankRuehl"/>
          <w:sz w:val="26"/>
          <w:szCs w:val="26"/>
          <w:rtl/>
        </w:rPr>
        <w:t>תאום הפעולות בשטחים</w:t>
      </w:r>
      <w:bookmarkEnd w:id="11"/>
    </w:p>
    <w:p w14:paraId="6E893441" w14:textId="33F1CA39"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7D5AB1">
        <w:rPr>
          <w:rFonts w:cs="FrankRuehl"/>
          <w:sz w:val="26"/>
          <w:szCs w:val="26"/>
          <w:rtl/>
        </w:rPr>
        <w:t>תאום הפעולות בשטחים</w:t>
      </w:r>
      <w:bookmarkEnd w:id="12"/>
    </w:p>
    <w:p w14:paraId="20A69F92" w14:textId="77777777" w:rsidR="00436E4E" w:rsidRPr="002E1D22" w:rsidRDefault="00436E4E">
      <w:pPr>
        <w:rPr>
          <w:rFonts w:cs="FrankRuehl"/>
          <w:sz w:val="26"/>
          <w:szCs w:val="26"/>
          <w:rtl/>
        </w:rPr>
      </w:pPr>
      <w:bookmarkStart w:id="13" w:name="TAKZIV23"/>
      <w:bookmarkEnd w:id="13"/>
    </w:p>
    <w:p w14:paraId="3344648E" w14:textId="77777777" w:rsidR="00436E4E" w:rsidRPr="002E1D22" w:rsidRDefault="00436E4E">
      <w:pPr>
        <w:rPr>
          <w:rFonts w:cs="FrankRuehl"/>
          <w:sz w:val="26"/>
          <w:szCs w:val="26"/>
          <w:rtl/>
        </w:rPr>
      </w:pPr>
    </w:p>
    <w:p w14:paraId="65D62DE2" w14:textId="77777777" w:rsidR="009D0A05" w:rsidRDefault="009D0A05" w:rsidP="009D0A05">
      <w:pPr>
        <w:jc w:val="center"/>
        <w:rPr>
          <w:rFonts w:cs="FrankRuehl"/>
          <w:b/>
          <w:bCs/>
          <w:sz w:val="26"/>
          <w:szCs w:val="26"/>
          <w:u w:val="single"/>
          <w:rtl/>
        </w:rPr>
      </w:pPr>
      <w:bookmarkStart w:id="14" w:name="TAKZIV25"/>
      <w:bookmarkEnd w:id="14"/>
      <w:r>
        <w:rPr>
          <w:rFonts w:cs="FrankRuehl"/>
          <w:b/>
          <w:bCs/>
          <w:sz w:val="26"/>
          <w:szCs w:val="26"/>
          <w:u w:val="single"/>
          <w:rtl/>
        </w:rPr>
        <w:t>נספח לדברי ההסבר</w:t>
      </w:r>
    </w:p>
    <w:p w14:paraId="64AB1908" w14:textId="77777777" w:rsidR="009D0A05" w:rsidRDefault="009D0A05" w:rsidP="009D0A05">
      <w:pPr>
        <w:jc w:val="center"/>
        <w:rPr>
          <w:rFonts w:cs="FrankRuehl"/>
          <w:b/>
          <w:bCs/>
          <w:sz w:val="26"/>
          <w:szCs w:val="26"/>
          <w:u w:val="single"/>
        </w:rPr>
      </w:pPr>
    </w:p>
    <w:p w14:paraId="12EC3142" w14:textId="77777777" w:rsidR="009D0A05" w:rsidRDefault="009D0A05" w:rsidP="009D0A05">
      <w:pPr>
        <w:jc w:val="center"/>
        <w:rPr>
          <w:rFonts w:cs="FrankRuehl"/>
          <w:b/>
          <w:bCs/>
          <w:sz w:val="26"/>
          <w:szCs w:val="26"/>
        </w:rPr>
      </w:pPr>
      <w:r>
        <w:rPr>
          <w:rFonts w:cs="FrankRuehl"/>
          <w:b/>
          <w:bCs/>
          <w:sz w:val="26"/>
          <w:szCs w:val="26"/>
          <w:rtl/>
        </w:rPr>
        <w:t>היסטוריה תקציבית של הפנייה</w:t>
      </w:r>
    </w:p>
    <w:tbl>
      <w:tblPr>
        <w:tblpPr w:leftFromText="180" w:rightFromText="180" w:vertAnchor="text" w:horzAnchor="margin" w:tblpXSpec="center" w:tblpY="199"/>
        <w:tblW w:w="10060" w:type="dxa"/>
        <w:tblLook w:val="04A0" w:firstRow="1" w:lastRow="0" w:firstColumn="1" w:lastColumn="0" w:noHBand="0" w:noVBand="1"/>
      </w:tblPr>
      <w:tblGrid>
        <w:gridCol w:w="1140"/>
        <w:gridCol w:w="1420"/>
        <w:gridCol w:w="980"/>
        <w:gridCol w:w="1140"/>
        <w:gridCol w:w="980"/>
        <w:gridCol w:w="1140"/>
        <w:gridCol w:w="1140"/>
        <w:gridCol w:w="980"/>
        <w:gridCol w:w="1140"/>
      </w:tblGrid>
      <w:tr w:rsidR="009D0A05" w14:paraId="0F161EB1" w14:textId="77777777" w:rsidTr="00C4259D">
        <w:trPr>
          <w:trHeight w:val="675"/>
        </w:trPr>
        <w:tc>
          <w:tcPr>
            <w:tcW w:w="1140" w:type="dxa"/>
            <w:tcBorders>
              <w:top w:val="single" w:sz="4" w:space="0" w:color="979991"/>
              <w:left w:val="single" w:sz="4" w:space="0" w:color="979991"/>
              <w:bottom w:val="nil"/>
              <w:right w:val="nil"/>
            </w:tcBorders>
            <w:shd w:val="clear" w:color="auto" w:fill="F0F4FA"/>
            <w:vAlign w:val="center"/>
            <w:hideMark/>
          </w:tcPr>
          <w:p w14:paraId="0A2A734B" w14:textId="77777777" w:rsidR="009D0A05" w:rsidRDefault="009D0A05" w:rsidP="00C4259D">
            <w:pPr>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hideMark/>
          </w:tcPr>
          <w:p w14:paraId="1995AE35" w14:textId="77777777" w:rsidR="009D0A05" w:rsidRDefault="009D0A05" w:rsidP="00C4259D">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hideMark/>
          </w:tcPr>
          <w:p w14:paraId="1E48F64E" w14:textId="77777777" w:rsidR="009D0A05" w:rsidRDefault="009D0A05" w:rsidP="00C4259D">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hideMark/>
          </w:tcPr>
          <w:p w14:paraId="701DDA03" w14:textId="77777777" w:rsidR="009D0A05" w:rsidRDefault="009D0A05" w:rsidP="00C4259D">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hideMark/>
          </w:tcPr>
          <w:p w14:paraId="44419076" w14:textId="77777777" w:rsidR="009D0A05" w:rsidRDefault="009D0A05" w:rsidP="00C4259D">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single" w:sz="4" w:space="0" w:color="979991"/>
            </w:tcBorders>
            <w:shd w:val="clear" w:color="auto" w:fill="F0F4FA"/>
          </w:tcPr>
          <w:p w14:paraId="224FE3F3" w14:textId="77777777" w:rsidR="009D0A05" w:rsidRDefault="009D0A05" w:rsidP="00C4259D">
            <w:pPr>
              <w:jc w:val="center"/>
              <w:rPr>
                <w:rFonts w:ascii="Calibri" w:hAnsi="Calibri" w:cs="Calibri"/>
                <w:b/>
                <w:bCs/>
                <w:color w:val="000000"/>
                <w:sz w:val="16"/>
                <w:szCs w:val="16"/>
                <w:rtl/>
              </w:rPr>
            </w:pPr>
          </w:p>
        </w:tc>
        <w:tc>
          <w:tcPr>
            <w:tcW w:w="1140" w:type="dxa"/>
            <w:tcBorders>
              <w:top w:val="single" w:sz="4" w:space="0" w:color="979991"/>
              <w:left w:val="single" w:sz="4" w:space="0" w:color="979991"/>
              <w:bottom w:val="single" w:sz="4" w:space="0" w:color="979991"/>
              <w:right w:val="nil"/>
            </w:tcBorders>
            <w:shd w:val="clear" w:color="auto" w:fill="F0F4FA"/>
            <w:hideMark/>
          </w:tcPr>
          <w:p w14:paraId="6DE89606" w14:textId="77777777" w:rsidR="009D0A05" w:rsidRDefault="009D0A05" w:rsidP="00C4259D">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hideMark/>
          </w:tcPr>
          <w:p w14:paraId="0ED05F97" w14:textId="77777777" w:rsidR="009D0A05" w:rsidRDefault="009D0A05" w:rsidP="00C4259D">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hideMark/>
          </w:tcPr>
          <w:p w14:paraId="6AEFDD9F" w14:textId="77777777" w:rsidR="009D0A05" w:rsidRDefault="009D0A05" w:rsidP="00C4259D">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r>
      <w:tr w:rsidR="009D0A05" w14:paraId="1B30393D" w14:textId="77777777" w:rsidTr="00C4259D">
        <w:trPr>
          <w:trHeight w:val="300"/>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5EA41E93" w14:textId="77777777" w:rsidR="009D0A05" w:rsidRDefault="009D0A05" w:rsidP="00C4259D">
            <w:pPr>
              <w:jc w:val="center"/>
              <w:rPr>
                <w:rFonts w:ascii="Calibri" w:hAnsi="Calibri" w:cs="Calibri"/>
                <w:b/>
                <w:bCs/>
                <w:color w:val="000000"/>
                <w:sz w:val="16"/>
                <w:szCs w:val="16"/>
                <w:rtl/>
              </w:rPr>
            </w:pPr>
            <w:r>
              <w:rPr>
                <w:rFonts w:ascii="Calibri" w:hAnsi="Calibri" w:cs="Calibri"/>
                <w:b/>
                <w:bCs/>
                <w:color w:val="000000"/>
                <w:sz w:val="16"/>
                <w:szCs w:val="16"/>
              </w:rPr>
              <w:t>173105</w:t>
            </w:r>
          </w:p>
        </w:tc>
        <w:tc>
          <w:tcPr>
            <w:tcW w:w="1420" w:type="dxa"/>
            <w:tcBorders>
              <w:top w:val="nil"/>
              <w:left w:val="single" w:sz="4" w:space="0" w:color="979991"/>
              <w:bottom w:val="single" w:sz="4" w:space="0" w:color="979991"/>
              <w:right w:val="nil"/>
            </w:tcBorders>
            <w:shd w:val="clear" w:color="auto" w:fill="FFFFFF"/>
            <w:hideMark/>
          </w:tcPr>
          <w:p w14:paraId="5935E908" w14:textId="77777777" w:rsidR="009D0A05" w:rsidRDefault="009D0A05" w:rsidP="00C4259D">
            <w:pPr>
              <w:jc w:val="center"/>
              <w:rPr>
                <w:rFonts w:ascii="Calibri" w:hAnsi="Calibri" w:cs="Calibri"/>
                <w:b/>
                <w:bCs/>
                <w:color w:val="000000"/>
                <w:sz w:val="16"/>
                <w:szCs w:val="16"/>
                <w:rtl/>
              </w:rPr>
            </w:pPr>
            <w:r>
              <w:rPr>
                <w:rFonts w:ascii="Calibri" w:hAnsi="Calibri" w:cs="Calibri"/>
                <w:b/>
                <w:bCs/>
                <w:color w:val="000000"/>
                <w:sz w:val="16"/>
                <w:szCs w:val="16"/>
              </w:rPr>
              <w:t>77,481</w:t>
            </w:r>
          </w:p>
        </w:tc>
        <w:tc>
          <w:tcPr>
            <w:tcW w:w="980" w:type="dxa"/>
            <w:tcBorders>
              <w:top w:val="nil"/>
              <w:left w:val="single" w:sz="4" w:space="0" w:color="979991"/>
              <w:bottom w:val="single" w:sz="4" w:space="0" w:color="979991"/>
              <w:right w:val="nil"/>
            </w:tcBorders>
            <w:shd w:val="clear" w:color="auto" w:fill="FFFFFF"/>
            <w:hideMark/>
          </w:tcPr>
          <w:p w14:paraId="0439CCE0" w14:textId="77777777" w:rsidR="009D0A05" w:rsidRDefault="009D0A05" w:rsidP="00C4259D">
            <w:pPr>
              <w:jc w:val="center"/>
              <w:rPr>
                <w:rFonts w:ascii="Calibri" w:hAnsi="Calibri" w:cs="Calibri"/>
                <w:b/>
                <w:bCs/>
                <w:color w:val="000000"/>
                <w:sz w:val="16"/>
                <w:szCs w:val="16"/>
              </w:rPr>
            </w:pPr>
            <w:r>
              <w:rPr>
                <w:rFonts w:ascii="Calibri" w:hAnsi="Calibri" w:cs="Calibri"/>
                <w:b/>
                <w:bCs/>
                <w:color w:val="000000"/>
                <w:sz w:val="16"/>
                <w:szCs w:val="16"/>
              </w:rPr>
              <w:t>0</w:t>
            </w:r>
          </w:p>
        </w:tc>
        <w:tc>
          <w:tcPr>
            <w:tcW w:w="1140" w:type="dxa"/>
            <w:tcBorders>
              <w:top w:val="nil"/>
              <w:left w:val="single" w:sz="4" w:space="0" w:color="979991"/>
              <w:bottom w:val="single" w:sz="4" w:space="0" w:color="979991"/>
              <w:right w:val="nil"/>
            </w:tcBorders>
            <w:shd w:val="clear" w:color="auto" w:fill="FFFFFF"/>
            <w:hideMark/>
          </w:tcPr>
          <w:p w14:paraId="38754F3E" w14:textId="77777777" w:rsidR="009D0A05" w:rsidRDefault="009D0A05" w:rsidP="00C4259D">
            <w:pPr>
              <w:jc w:val="center"/>
              <w:rPr>
                <w:rFonts w:ascii="Calibri" w:hAnsi="Calibri" w:cs="Calibri"/>
                <w:b/>
                <w:bCs/>
                <w:color w:val="000000"/>
                <w:sz w:val="16"/>
                <w:szCs w:val="16"/>
              </w:rPr>
            </w:pPr>
            <w:r>
              <w:rPr>
                <w:rFonts w:ascii="Calibri" w:hAnsi="Calibri" w:cs="Calibri"/>
                <w:b/>
                <w:bCs/>
                <w:color w:val="000000"/>
                <w:sz w:val="16"/>
                <w:szCs w:val="16"/>
              </w:rPr>
              <w:t>57,169</w:t>
            </w:r>
          </w:p>
        </w:tc>
        <w:tc>
          <w:tcPr>
            <w:tcW w:w="980" w:type="dxa"/>
            <w:tcBorders>
              <w:top w:val="nil"/>
              <w:left w:val="single" w:sz="4" w:space="0" w:color="979991"/>
              <w:bottom w:val="single" w:sz="4" w:space="0" w:color="979991"/>
              <w:right w:val="nil"/>
            </w:tcBorders>
            <w:shd w:val="clear" w:color="auto" w:fill="FFFFFF"/>
            <w:hideMark/>
          </w:tcPr>
          <w:p w14:paraId="076DDB43" w14:textId="77777777" w:rsidR="009D0A05" w:rsidRDefault="009D0A05" w:rsidP="00C4259D">
            <w:pPr>
              <w:jc w:val="center"/>
              <w:rPr>
                <w:rFonts w:ascii="Calibri" w:hAnsi="Calibri" w:cs="Calibri"/>
                <w:b/>
                <w:bCs/>
                <w:color w:val="000000"/>
                <w:sz w:val="16"/>
                <w:szCs w:val="16"/>
              </w:rPr>
            </w:pPr>
            <w:r>
              <w:rPr>
                <w:rFonts w:ascii="Calibri" w:hAnsi="Calibri" w:cs="Calibri"/>
                <w:b/>
                <w:bCs/>
                <w:color w:val="000000"/>
                <w:sz w:val="16"/>
                <w:szCs w:val="16"/>
              </w:rPr>
              <w:t>0</w:t>
            </w:r>
          </w:p>
        </w:tc>
        <w:tc>
          <w:tcPr>
            <w:tcW w:w="1140" w:type="dxa"/>
            <w:tcBorders>
              <w:top w:val="nil"/>
              <w:left w:val="single" w:sz="4" w:space="0" w:color="979991"/>
              <w:bottom w:val="single" w:sz="4" w:space="0" w:color="979991"/>
              <w:right w:val="single" w:sz="4" w:space="0" w:color="979991"/>
            </w:tcBorders>
            <w:shd w:val="clear" w:color="auto" w:fill="FFFFFF"/>
          </w:tcPr>
          <w:p w14:paraId="1C8155BC" w14:textId="77777777" w:rsidR="009D0A05" w:rsidRDefault="009D0A05" w:rsidP="00C4259D">
            <w:pPr>
              <w:jc w:val="center"/>
              <w:rPr>
                <w:rFonts w:ascii="Calibri" w:hAnsi="Calibri" w:cs="Calibri"/>
                <w:b/>
                <w:bCs/>
                <w:color w:val="000000"/>
                <w:sz w:val="16"/>
                <w:szCs w:val="16"/>
              </w:rPr>
            </w:pPr>
          </w:p>
        </w:tc>
        <w:tc>
          <w:tcPr>
            <w:tcW w:w="1140" w:type="dxa"/>
            <w:tcBorders>
              <w:top w:val="nil"/>
              <w:left w:val="single" w:sz="4" w:space="0" w:color="979991"/>
              <w:bottom w:val="single" w:sz="4" w:space="0" w:color="979991"/>
              <w:right w:val="nil"/>
            </w:tcBorders>
            <w:shd w:val="clear" w:color="auto" w:fill="FFFFFF"/>
            <w:hideMark/>
          </w:tcPr>
          <w:p w14:paraId="28C2D036" w14:textId="77777777" w:rsidR="009D0A05" w:rsidRDefault="009D0A05" w:rsidP="00C4259D">
            <w:pPr>
              <w:jc w:val="center"/>
              <w:rPr>
                <w:rFonts w:ascii="Calibri" w:hAnsi="Calibri" w:cs="Calibri"/>
                <w:b/>
                <w:bCs/>
                <w:color w:val="000000"/>
                <w:sz w:val="16"/>
                <w:szCs w:val="16"/>
              </w:rPr>
            </w:pPr>
            <w:r>
              <w:rPr>
                <w:rFonts w:ascii="Calibri" w:hAnsi="Calibri" w:cs="Calibri"/>
                <w:b/>
                <w:bCs/>
                <w:color w:val="000000"/>
                <w:sz w:val="16"/>
                <w:szCs w:val="16"/>
              </w:rPr>
              <w:t>0</w:t>
            </w:r>
          </w:p>
        </w:tc>
        <w:tc>
          <w:tcPr>
            <w:tcW w:w="980" w:type="dxa"/>
            <w:tcBorders>
              <w:top w:val="nil"/>
              <w:left w:val="single" w:sz="4" w:space="0" w:color="979991"/>
              <w:bottom w:val="single" w:sz="4" w:space="0" w:color="979991"/>
              <w:right w:val="nil"/>
            </w:tcBorders>
            <w:shd w:val="clear" w:color="auto" w:fill="FFFFFF"/>
            <w:hideMark/>
          </w:tcPr>
          <w:p w14:paraId="54BA62F6" w14:textId="77777777" w:rsidR="009D0A05" w:rsidRDefault="009D0A05" w:rsidP="00C4259D">
            <w:pPr>
              <w:jc w:val="center"/>
              <w:rPr>
                <w:rFonts w:ascii="Calibri" w:hAnsi="Calibri" w:cs="Calibri"/>
                <w:b/>
                <w:bCs/>
                <w:color w:val="000000"/>
                <w:sz w:val="16"/>
                <w:szCs w:val="16"/>
              </w:rPr>
            </w:pPr>
            <w:r>
              <w:rPr>
                <w:rFonts w:ascii="Calibri" w:hAnsi="Calibri" w:cs="Calibri"/>
                <w:b/>
                <w:bCs/>
                <w:color w:val="000000"/>
                <w:sz w:val="16"/>
                <w:szCs w:val="16"/>
              </w:rPr>
              <w:t>0</w:t>
            </w:r>
          </w:p>
        </w:tc>
        <w:tc>
          <w:tcPr>
            <w:tcW w:w="1140" w:type="dxa"/>
            <w:tcBorders>
              <w:top w:val="nil"/>
              <w:left w:val="single" w:sz="4" w:space="0" w:color="979991"/>
              <w:bottom w:val="single" w:sz="4" w:space="0" w:color="979991"/>
              <w:right w:val="nil"/>
            </w:tcBorders>
            <w:shd w:val="clear" w:color="auto" w:fill="FFFFFF"/>
            <w:hideMark/>
          </w:tcPr>
          <w:p w14:paraId="0D734BD1" w14:textId="77777777" w:rsidR="009D0A05" w:rsidRDefault="009D0A05" w:rsidP="00C4259D">
            <w:pPr>
              <w:jc w:val="center"/>
              <w:rPr>
                <w:rFonts w:ascii="Calibri" w:hAnsi="Calibri" w:cs="Calibri"/>
                <w:b/>
                <w:bCs/>
                <w:color w:val="000000"/>
                <w:sz w:val="16"/>
                <w:szCs w:val="16"/>
              </w:rPr>
            </w:pPr>
            <w:r>
              <w:rPr>
                <w:rFonts w:ascii="Calibri" w:hAnsi="Calibri" w:cs="Calibri"/>
                <w:b/>
                <w:bCs/>
                <w:color w:val="000000"/>
                <w:sz w:val="16"/>
                <w:szCs w:val="16"/>
              </w:rPr>
              <w:t>32,250</w:t>
            </w:r>
          </w:p>
        </w:tc>
      </w:tr>
    </w:tbl>
    <w:p w14:paraId="2410A85D" w14:textId="77777777" w:rsidR="009D0A05" w:rsidRDefault="009D0A05" w:rsidP="009D0A05">
      <w:pPr>
        <w:rPr>
          <w:rFonts w:cs="FrankRuehl"/>
          <w:sz w:val="26"/>
          <w:szCs w:val="26"/>
          <w:lang w:eastAsia="en-US"/>
        </w:rPr>
      </w:pPr>
    </w:p>
    <w:p w14:paraId="2E17AB0A" w14:textId="77777777" w:rsidR="009D0A05" w:rsidRDefault="009D0A05" w:rsidP="009D0A05">
      <w:pPr>
        <w:rPr>
          <w:rFonts w:cs="FrankRuehl"/>
          <w:sz w:val="26"/>
          <w:szCs w:val="26"/>
          <w:rtl/>
        </w:rPr>
      </w:pPr>
    </w:p>
    <w:p w14:paraId="61D25E1F"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B7984" w14:textId="77777777" w:rsidR="00883EAC" w:rsidRDefault="00883EAC" w:rsidP="004374A5">
      <w:r>
        <w:separator/>
      </w:r>
    </w:p>
  </w:endnote>
  <w:endnote w:type="continuationSeparator" w:id="0">
    <w:p w14:paraId="4EC8C1A0" w14:textId="77777777" w:rsidR="00883EAC" w:rsidRDefault="00883EAC"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1AAC" w14:textId="77777777" w:rsidR="00EF0529" w:rsidRDefault="00EF0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9349A" w14:textId="77777777" w:rsidR="00EF0529" w:rsidRDefault="00EF0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F78E6" w14:textId="77777777" w:rsidR="00EF0529" w:rsidRDefault="00EF0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B63B" w14:textId="77777777" w:rsidR="00883EAC" w:rsidRDefault="00883EAC" w:rsidP="004374A5">
      <w:r>
        <w:separator/>
      </w:r>
    </w:p>
  </w:footnote>
  <w:footnote w:type="continuationSeparator" w:id="0">
    <w:p w14:paraId="487129EF" w14:textId="77777777" w:rsidR="00883EAC" w:rsidRDefault="00883EAC"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CAB5" w14:textId="77777777" w:rsidR="00EF0529" w:rsidRDefault="00EF05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FB03A" w14:textId="77777777" w:rsidR="004374A5" w:rsidRDefault="00883EAC">
    <w:pPr>
      <w:pStyle w:val="Header"/>
    </w:pPr>
    <w:r>
      <w:rPr>
        <w:noProof/>
      </w:rPr>
      <w:pict w14:anchorId="2DA49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335CE" w14:textId="77777777" w:rsidR="00EF0529" w:rsidRDefault="00EF05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36BCE"/>
    <w:rsid w:val="00147D0B"/>
    <w:rsid w:val="00235242"/>
    <w:rsid w:val="002634E4"/>
    <w:rsid w:val="002701F1"/>
    <w:rsid w:val="002E1D22"/>
    <w:rsid w:val="003B11DC"/>
    <w:rsid w:val="00436E4E"/>
    <w:rsid w:val="004374A5"/>
    <w:rsid w:val="004B3D98"/>
    <w:rsid w:val="0078204F"/>
    <w:rsid w:val="007847C9"/>
    <w:rsid w:val="007C275A"/>
    <w:rsid w:val="007D5AB1"/>
    <w:rsid w:val="00883EAC"/>
    <w:rsid w:val="009D0A05"/>
    <w:rsid w:val="00AC2EE6"/>
    <w:rsid w:val="00B0145B"/>
    <w:rsid w:val="00B42666"/>
    <w:rsid w:val="00B61EA5"/>
    <w:rsid w:val="00BB3BA1"/>
    <w:rsid w:val="00C13197"/>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C170D80"/>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L" w:eastAsia="en-IL"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bidi/>
      <w:adjustRightInd w:val="0"/>
      <w:textAlignment w:val="baseline"/>
    </w:pPr>
    <w:rPr>
      <w:rFonts w:cs="Narkisim"/>
      <w:szCs w:val="24"/>
      <w:lang w:val="en-US" w:eastAsia="he-IL"/>
    </w:rPr>
  </w:style>
  <w:style w:type="paragraph" w:styleId="Heading1">
    <w:name w:val="heading 1"/>
    <w:basedOn w:val="Normal"/>
    <w:next w:val="Normal"/>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Heading2">
    <w:name w:val="heading 2"/>
    <w:basedOn w:val="Normal"/>
    <w:next w:val="Normal"/>
    <w:qFormat/>
    <w:pPr>
      <w:tabs>
        <w:tab w:val="left" w:pos="276"/>
      </w:tabs>
      <w:spacing w:before="120" w:after="48"/>
      <w:ind w:left="278" w:right="357" w:hanging="2"/>
      <w:outlineLvl w:val="1"/>
    </w:pPr>
    <w:rPr>
      <w:rFonts w:ascii="Arial" w:hAnsi="Arial" w:cs="Guttman Haim-Condensed"/>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ndentnumberedinabullet">
    <w:name w:val="normal indent numbered in a bullet"/>
    <w:basedOn w:val="NormalIndent"/>
    <w:pPr>
      <w:tabs>
        <w:tab w:val="left" w:pos="851"/>
        <w:tab w:val="left" w:pos="1418"/>
        <w:tab w:val="left" w:pos="2472"/>
        <w:tab w:val="left" w:pos="4498"/>
        <w:tab w:val="left" w:pos="6796"/>
        <w:tab w:val="left" w:pos="8856"/>
      </w:tabs>
      <w:ind w:left="618" w:right="510" w:hanging="170"/>
    </w:pPr>
  </w:style>
  <w:style w:type="paragraph" w:styleId="NormalIndent">
    <w:name w:val="Normal Indent"/>
    <w:basedOn w:val="Normal"/>
    <w:semiHidden/>
    <w:pPr>
      <w:ind w:left="720"/>
    </w:pPr>
  </w:style>
  <w:style w:type="paragraph" w:customStyle="1" w:styleId="Normalindentnumberindent">
    <w:name w:val="Normal indent number indent"/>
    <w:basedOn w:val="Normal"/>
    <w:pPr>
      <w:tabs>
        <w:tab w:val="left" w:pos="851"/>
        <w:tab w:val="left" w:pos="1418"/>
        <w:tab w:val="left" w:pos="2472"/>
        <w:tab w:val="left" w:pos="4498"/>
        <w:tab w:val="left" w:pos="6796"/>
        <w:tab w:val="left" w:pos="8856"/>
      </w:tabs>
      <w:ind w:left="702" w:right="510" w:hanging="872"/>
    </w:pPr>
  </w:style>
  <w:style w:type="paragraph" w:styleId="Header">
    <w:name w:val="header"/>
    <w:basedOn w:val="Normal"/>
    <w:link w:val="HeaderChar"/>
    <w:uiPriority w:val="99"/>
    <w:unhideWhenUsed/>
    <w:rsid w:val="004374A5"/>
    <w:pPr>
      <w:tabs>
        <w:tab w:val="center" w:pos="4153"/>
        <w:tab w:val="right" w:pos="8306"/>
      </w:tabs>
    </w:pPr>
  </w:style>
  <w:style w:type="paragraph" w:customStyle="1" w:styleId="a">
    <w:name w:val="מדינת ישראל"/>
    <w:basedOn w:val="Normal"/>
    <w:pPr>
      <w:jc w:val="center"/>
    </w:pPr>
    <w:rPr>
      <w:b/>
      <w:bCs/>
      <w:szCs w:val="28"/>
    </w:rPr>
  </w:style>
  <w:style w:type="paragraph" w:customStyle="1" w:styleId="a0">
    <w:name w:val="כותרת נדון"/>
    <w:basedOn w:val="Normal"/>
    <w:rPr>
      <w:bCs/>
      <w:szCs w:val="26"/>
      <w:u w:val="single"/>
    </w:rPr>
  </w:style>
  <w:style w:type="character" w:customStyle="1" w:styleId="HeaderChar">
    <w:name w:val="Header Char"/>
    <w:link w:val="Header"/>
    <w:uiPriority w:val="99"/>
    <w:rsid w:val="004374A5"/>
    <w:rPr>
      <w:rFonts w:cs="Narkisim"/>
      <w:szCs w:val="24"/>
      <w:lang w:eastAsia="he-IL"/>
    </w:rPr>
  </w:style>
  <w:style w:type="paragraph" w:styleId="Footer">
    <w:name w:val="footer"/>
    <w:basedOn w:val="Normal"/>
    <w:link w:val="FooterChar"/>
    <w:uiPriority w:val="99"/>
    <w:unhideWhenUsed/>
    <w:rsid w:val="004374A5"/>
    <w:pPr>
      <w:tabs>
        <w:tab w:val="center" w:pos="4153"/>
        <w:tab w:val="right" w:pos="8306"/>
      </w:tabs>
    </w:pPr>
  </w:style>
  <w:style w:type="character" w:customStyle="1" w:styleId="FooterChar">
    <w:name w:val="Footer Char"/>
    <w:link w:val="Footer"/>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55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431</Words>
  <Characters>2457</Characters>
  <Application>Microsoft Office Word</Application>
  <DocSecurity>0</DocSecurity>
  <Lines>20</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7</cp:revision>
  <cp:lastPrinted>1899-12-31T22:00:00Z</cp:lastPrinted>
  <dcterms:created xsi:type="dcterms:W3CDTF">2026-07-15T18:26:00Z</dcterms:created>
  <dcterms:modified xsi:type="dcterms:W3CDTF">2026-07-15T18:32:00Z</dcterms:modified>
</cp:coreProperties>
</file>