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F7EC1" w14:textId="77777777" w:rsidR="00436E4E" w:rsidRDefault="00436E4E">
      <w:pPr>
        <w:pStyle w:val="a6"/>
        <w:rPr>
          <w:rtl/>
        </w:rPr>
      </w:pPr>
    </w:p>
    <w:p w14:paraId="1F8E7FE4" w14:textId="77777777" w:rsidR="00436E4E" w:rsidRDefault="00436E4E">
      <w:pPr>
        <w:pStyle w:val="a6"/>
        <w:rPr>
          <w:rtl/>
        </w:rPr>
      </w:pPr>
      <w:r>
        <w:rPr>
          <w:rtl/>
        </w:rPr>
        <w:t>מדינת ישראל</w:t>
      </w:r>
    </w:p>
    <w:p w14:paraId="38CD1622" w14:textId="77777777" w:rsidR="00436E4E" w:rsidRDefault="00436E4E">
      <w:pPr>
        <w:pStyle w:val="a6"/>
        <w:rPr>
          <w:szCs w:val="24"/>
          <w:rtl/>
        </w:rPr>
      </w:pPr>
      <w:r>
        <w:rPr>
          <w:rtl/>
        </w:rPr>
        <w:t>האוצר - אגף התקציבים</w:t>
      </w:r>
    </w:p>
    <w:p w14:paraId="2ED6FB0E" w14:textId="77777777" w:rsidR="00436E4E" w:rsidRDefault="00436E4E">
      <w:pPr>
        <w:rPr>
          <w:rtl/>
        </w:rPr>
      </w:pPr>
    </w:p>
    <w:p w14:paraId="086A26B9" w14:textId="77777777" w:rsidR="00436E4E" w:rsidRDefault="00436E4E">
      <w:pPr>
        <w:rPr>
          <w:rtl/>
        </w:rPr>
      </w:pPr>
    </w:p>
    <w:p w14:paraId="6B5C4A7E" w14:textId="20F6821D" w:rsidR="00436E4E" w:rsidRDefault="00436E4E">
      <w:pPr>
        <w:tabs>
          <w:tab w:val="left" w:pos="6300"/>
        </w:tabs>
        <w:rPr>
          <w:rtl/>
        </w:rPr>
      </w:pPr>
      <w:r>
        <w:rPr>
          <w:rtl/>
        </w:rPr>
        <w:tab/>
      </w:r>
      <w:bookmarkStart w:id="0" w:name="TAKZIV8"/>
      <w:r w:rsidR="001730FB">
        <w:rPr>
          <w:rtl/>
        </w:rPr>
        <w:t>תקציב רגיל</w:t>
      </w:r>
      <w:bookmarkEnd w:id="0"/>
    </w:p>
    <w:p w14:paraId="4EA2A1F5" w14:textId="77777777" w:rsidR="00436E4E" w:rsidRDefault="00436E4E">
      <w:pPr>
        <w:tabs>
          <w:tab w:val="left" w:pos="6300"/>
        </w:tabs>
        <w:rPr>
          <w:rtl/>
        </w:rPr>
      </w:pPr>
      <w:r>
        <w:rPr>
          <w:rtl/>
        </w:rPr>
        <w:tab/>
      </w:r>
    </w:p>
    <w:p w14:paraId="502C1A48"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46F913AC" w14:textId="3CE2671A"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1730FB">
        <w:rPr>
          <w:rFonts w:cs="FrankRuehl"/>
          <w:sz w:val="26"/>
          <w:szCs w:val="26"/>
          <w:rtl/>
        </w:rPr>
        <w:t>006</w:t>
      </w:r>
      <w:bookmarkEnd w:id="2"/>
      <w:r w:rsidRPr="002E1D22">
        <w:rPr>
          <w:rFonts w:cs="FrankRuehl"/>
          <w:sz w:val="26"/>
          <w:szCs w:val="26"/>
          <w:rtl/>
        </w:rPr>
        <w:t xml:space="preserve"> </w:t>
      </w:r>
      <w:r w:rsidR="004C44FC">
        <w:rPr>
          <w:rFonts w:cs="FrankRuehl"/>
          <w:sz w:val="26"/>
          <w:szCs w:val="26"/>
          <w:rtl/>
        </w:rPr>
        <w:t>–</w:t>
      </w:r>
      <w:r w:rsidRPr="002E1D22">
        <w:rPr>
          <w:rFonts w:cs="FrankRuehl"/>
          <w:sz w:val="26"/>
          <w:szCs w:val="26"/>
          <w:rtl/>
        </w:rPr>
        <w:t xml:space="preserve"> </w:t>
      </w:r>
      <w:bookmarkStart w:id="3" w:name="TAKZIV3"/>
      <w:r w:rsidR="001730FB">
        <w:rPr>
          <w:rFonts w:cs="FrankRuehl"/>
          <w:sz w:val="26"/>
          <w:szCs w:val="26"/>
          <w:rtl/>
        </w:rPr>
        <w:t>16</w:t>
      </w:r>
      <w:bookmarkEnd w:id="3"/>
      <w:r w:rsidR="004C44FC">
        <w:rPr>
          <w:rFonts w:cs="FrankRuehl" w:hint="cs"/>
          <w:sz w:val="26"/>
          <w:szCs w:val="26"/>
          <w:rtl/>
        </w:rPr>
        <w:t>,</w:t>
      </w:r>
    </w:p>
    <w:p w14:paraId="549A2231" w14:textId="0D2A4A34" w:rsidR="004C44FC" w:rsidRPr="002E1D22" w:rsidRDefault="004C44FC" w:rsidP="002E1D22">
      <w:pPr>
        <w:tabs>
          <w:tab w:val="left" w:pos="5755"/>
        </w:tabs>
        <w:rPr>
          <w:rFonts w:cs="FrankRuehl"/>
          <w:sz w:val="26"/>
          <w:szCs w:val="26"/>
          <w:rtl/>
        </w:rPr>
      </w:pPr>
      <w:r>
        <w:rPr>
          <w:rFonts w:cs="FrankRuehl"/>
          <w:sz w:val="26"/>
          <w:szCs w:val="26"/>
          <w:rtl/>
        </w:rPr>
        <w:tab/>
      </w:r>
      <w:r>
        <w:rPr>
          <w:rFonts w:cs="FrankRuehl" w:hint="cs"/>
          <w:sz w:val="26"/>
          <w:szCs w:val="26"/>
          <w:rtl/>
        </w:rPr>
        <w:t>07-006, 31-207</w:t>
      </w:r>
    </w:p>
    <w:p w14:paraId="1B211610" w14:textId="53D1F185" w:rsidR="004C44FC"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4C44FC" w:rsidRPr="002E1D22">
        <w:rPr>
          <w:rFonts w:cs="FrankRuehl" w:hint="cs"/>
          <w:sz w:val="26"/>
          <w:szCs w:val="26"/>
          <w:rtl/>
        </w:rPr>
        <w:t>לוועד</w:t>
      </w:r>
      <w:r w:rsidR="004C44FC" w:rsidRPr="002E1D22">
        <w:rPr>
          <w:rFonts w:cs="FrankRuehl" w:hint="eastAsia"/>
          <w:sz w:val="26"/>
          <w:szCs w:val="26"/>
          <w:rtl/>
        </w:rPr>
        <w:t>ה</w:t>
      </w:r>
      <w:r w:rsidRPr="002E1D22">
        <w:rPr>
          <w:rFonts w:cs="FrankRuehl"/>
          <w:sz w:val="26"/>
          <w:szCs w:val="26"/>
          <w:rtl/>
        </w:rPr>
        <w:t>:</w:t>
      </w:r>
    </w:p>
    <w:p w14:paraId="5C748D51" w14:textId="5F582992" w:rsidR="00436E4E" w:rsidRPr="002E1D22" w:rsidRDefault="004C44FC" w:rsidP="004C44FC">
      <w:pPr>
        <w:ind w:left="5040" w:firstLine="720"/>
        <w:rPr>
          <w:rFonts w:cs="FrankRuehl"/>
          <w:sz w:val="26"/>
          <w:szCs w:val="26"/>
          <w:rtl/>
        </w:rPr>
      </w:pPr>
      <w:r>
        <w:rPr>
          <w:rFonts w:cs="FrankRuehl" w:hint="cs"/>
          <w:sz w:val="26"/>
          <w:szCs w:val="26"/>
          <w:rtl/>
        </w:rPr>
        <w:t>108 עד</w:t>
      </w:r>
      <w:r w:rsidR="00436E4E" w:rsidRPr="002E1D22">
        <w:rPr>
          <w:rFonts w:cs="FrankRuehl"/>
          <w:sz w:val="26"/>
          <w:szCs w:val="26"/>
          <w:rtl/>
        </w:rPr>
        <w:t xml:space="preserve"> </w:t>
      </w:r>
      <w:bookmarkStart w:id="4" w:name="TAKZIV11"/>
      <w:r w:rsidR="001730FB">
        <w:rPr>
          <w:rFonts w:cs="FrankRuehl"/>
          <w:sz w:val="26"/>
          <w:szCs w:val="26"/>
          <w:rtl/>
        </w:rPr>
        <w:t>110</w:t>
      </w:r>
      <w:bookmarkEnd w:id="4"/>
      <w:r w:rsidR="00436E4E" w:rsidRPr="002E1D22">
        <w:rPr>
          <w:rFonts w:cs="FrankRuehl"/>
          <w:sz w:val="26"/>
          <w:szCs w:val="26"/>
          <w:rtl/>
        </w:rPr>
        <w:tab/>
      </w:r>
    </w:p>
    <w:p w14:paraId="7E5E427A" w14:textId="77777777" w:rsidR="00436E4E" w:rsidRPr="002E1D22" w:rsidRDefault="00436E4E">
      <w:pPr>
        <w:rPr>
          <w:rFonts w:cs="FrankRuehl"/>
          <w:sz w:val="26"/>
          <w:szCs w:val="26"/>
          <w:rtl/>
        </w:rPr>
      </w:pPr>
      <w:r w:rsidRPr="002E1D22">
        <w:rPr>
          <w:rFonts w:cs="FrankRuehl"/>
          <w:sz w:val="26"/>
          <w:szCs w:val="26"/>
          <w:rtl/>
        </w:rPr>
        <w:t>לכבוד,</w:t>
      </w:r>
    </w:p>
    <w:p w14:paraId="01292B4D" w14:textId="77777777" w:rsidR="00436E4E" w:rsidRPr="002E1D22" w:rsidRDefault="00436E4E">
      <w:pPr>
        <w:rPr>
          <w:rFonts w:cs="FrankRuehl"/>
          <w:sz w:val="26"/>
          <w:szCs w:val="26"/>
          <w:rtl/>
        </w:rPr>
      </w:pPr>
      <w:r w:rsidRPr="002E1D22">
        <w:rPr>
          <w:rFonts w:cs="FrankRuehl"/>
          <w:sz w:val="26"/>
          <w:szCs w:val="26"/>
          <w:rtl/>
        </w:rPr>
        <w:t>יו"ר ועדת הכספים</w:t>
      </w:r>
    </w:p>
    <w:p w14:paraId="236EC885" w14:textId="77777777" w:rsidR="00436E4E" w:rsidRPr="002E1D22" w:rsidRDefault="00436E4E">
      <w:pPr>
        <w:rPr>
          <w:rFonts w:cs="FrankRuehl"/>
          <w:sz w:val="26"/>
          <w:szCs w:val="26"/>
          <w:rtl/>
        </w:rPr>
      </w:pPr>
      <w:r w:rsidRPr="002E1D22">
        <w:rPr>
          <w:rFonts w:cs="FrankRuehl"/>
          <w:sz w:val="26"/>
          <w:szCs w:val="26"/>
          <w:rtl/>
        </w:rPr>
        <w:t>של הכנסת</w:t>
      </w:r>
    </w:p>
    <w:p w14:paraId="6C0F5BD9" w14:textId="77777777" w:rsidR="00436E4E" w:rsidRPr="002E1D22" w:rsidRDefault="00436E4E">
      <w:pPr>
        <w:rPr>
          <w:rFonts w:cs="FrankRuehl"/>
          <w:sz w:val="26"/>
          <w:szCs w:val="26"/>
          <w:rtl/>
        </w:rPr>
      </w:pPr>
    </w:p>
    <w:p w14:paraId="24438EC1" w14:textId="77777777" w:rsidR="00436E4E" w:rsidRPr="002E1D22" w:rsidRDefault="00436E4E">
      <w:pPr>
        <w:rPr>
          <w:rFonts w:cs="FrankRuehl"/>
          <w:sz w:val="26"/>
          <w:szCs w:val="26"/>
          <w:rtl/>
        </w:rPr>
      </w:pPr>
      <w:r w:rsidRPr="002E1D22">
        <w:rPr>
          <w:rFonts w:cs="FrankRuehl"/>
          <w:sz w:val="26"/>
          <w:szCs w:val="26"/>
          <w:rtl/>
        </w:rPr>
        <w:t>א.נ.,</w:t>
      </w:r>
    </w:p>
    <w:p w14:paraId="4EC8482C" w14:textId="77777777" w:rsidR="00436E4E" w:rsidRPr="002E1D22" w:rsidRDefault="00436E4E">
      <w:pPr>
        <w:rPr>
          <w:rFonts w:cs="FrankRuehl"/>
          <w:sz w:val="26"/>
          <w:szCs w:val="26"/>
          <w:rtl/>
        </w:rPr>
      </w:pPr>
    </w:p>
    <w:p w14:paraId="74859374"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1730FB">
        <w:rPr>
          <w:rFonts w:cs="FrankRuehl"/>
          <w:sz w:val="26"/>
          <w:rtl/>
        </w:rPr>
        <w:t>2026</w:t>
      </w:r>
      <w:bookmarkEnd w:id="5"/>
      <w:r w:rsidRPr="002E1D22">
        <w:rPr>
          <w:rFonts w:cs="FrankRuehl"/>
          <w:sz w:val="26"/>
          <w:rtl/>
        </w:rPr>
        <w:t xml:space="preserve">     </w:t>
      </w:r>
    </w:p>
    <w:p w14:paraId="4376B051" w14:textId="77777777" w:rsidR="00436E4E" w:rsidRPr="002E1D22" w:rsidRDefault="00436E4E" w:rsidP="002E1D22">
      <w:pPr>
        <w:jc w:val="both"/>
        <w:rPr>
          <w:rFonts w:cs="FrankRuehl"/>
          <w:sz w:val="26"/>
          <w:szCs w:val="26"/>
          <w:rtl/>
        </w:rPr>
      </w:pPr>
    </w:p>
    <w:p w14:paraId="3B56F1E9" w14:textId="7C0BD937" w:rsidR="00436E4E" w:rsidRPr="002E1D22" w:rsidRDefault="00436E4E" w:rsidP="00602309">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1730FB">
        <w:rPr>
          <w:rFonts w:cs="FrankRuehl"/>
          <w:sz w:val="26"/>
          <w:szCs w:val="26"/>
          <w:rtl/>
        </w:rPr>
        <w:t>161,000</w:t>
      </w:r>
      <w:bookmarkEnd w:id="6"/>
      <w:r w:rsidRPr="002E1D22">
        <w:rPr>
          <w:rFonts w:cs="FrankRuehl"/>
          <w:sz w:val="26"/>
          <w:szCs w:val="26"/>
          <w:rtl/>
        </w:rPr>
        <w:t xml:space="preserve"> אלפי שקלים חדשים מסעי</w:t>
      </w:r>
      <w:r w:rsidR="004C44FC">
        <w:rPr>
          <w:rFonts w:cs="FrankRuehl" w:hint="cs"/>
          <w:sz w:val="26"/>
          <w:szCs w:val="26"/>
          <w:rtl/>
        </w:rPr>
        <w:t xml:space="preserve">פים 07 </w:t>
      </w:r>
      <w:r w:rsidR="004C44FC">
        <w:rPr>
          <w:rFonts w:cs="FrankRuehl"/>
          <w:sz w:val="26"/>
          <w:szCs w:val="26"/>
          <w:rtl/>
        </w:rPr>
        <w:t>–</w:t>
      </w:r>
      <w:r w:rsidR="004C44FC">
        <w:rPr>
          <w:rFonts w:cs="FrankRuehl" w:hint="cs"/>
          <w:sz w:val="26"/>
          <w:szCs w:val="26"/>
          <w:rtl/>
        </w:rPr>
        <w:t xml:space="preserve"> המשרד לביטחון לאומי, 31 </w:t>
      </w:r>
      <w:r w:rsidR="004C44FC">
        <w:rPr>
          <w:rFonts w:cs="FrankRuehl"/>
          <w:sz w:val="26"/>
          <w:szCs w:val="26"/>
          <w:rtl/>
        </w:rPr>
        <w:t>–</w:t>
      </w:r>
      <w:r w:rsidR="004C44FC">
        <w:rPr>
          <w:rFonts w:cs="FrankRuehl" w:hint="cs"/>
          <w:sz w:val="26"/>
          <w:szCs w:val="26"/>
          <w:rtl/>
        </w:rPr>
        <w:t xml:space="preserve"> הוצאות ביטחוניות שונות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118B535C" w14:textId="77777777" w:rsidR="00436E4E" w:rsidRPr="002E1D22" w:rsidRDefault="00436E4E" w:rsidP="00602309">
      <w:pPr>
        <w:jc w:val="both"/>
        <w:rPr>
          <w:rFonts w:cs="FrankRuehl"/>
          <w:sz w:val="26"/>
          <w:szCs w:val="26"/>
          <w:rtl/>
        </w:rPr>
      </w:pPr>
    </w:p>
    <w:p w14:paraId="2909B07D" w14:textId="544CB3A4" w:rsidR="00436E4E" w:rsidRPr="002E1D22" w:rsidRDefault="00436E4E" w:rsidP="00602309">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w:t>
      </w:r>
      <w:r w:rsidR="004C44FC" w:rsidRPr="002E1D22">
        <w:rPr>
          <w:rFonts w:cs="FrankRuehl"/>
          <w:sz w:val="26"/>
          <w:szCs w:val="26"/>
          <w:rtl/>
        </w:rPr>
        <w:t xml:space="preserve">סכום של </w:t>
      </w:r>
      <w:r w:rsidR="004C44FC">
        <w:rPr>
          <w:rFonts w:cs="FrankRuehl"/>
          <w:sz w:val="26"/>
          <w:szCs w:val="26"/>
          <w:rtl/>
        </w:rPr>
        <w:t>161,000</w:t>
      </w:r>
      <w:r w:rsidR="004C44FC"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proofErr w:type="spellStart"/>
      <w:r w:rsidR="004C44FC" w:rsidRPr="002E1D22">
        <w:rPr>
          <w:rFonts w:cs="FrankRuehl"/>
          <w:sz w:val="26"/>
          <w:szCs w:val="26"/>
          <w:rtl/>
        </w:rPr>
        <w:t>ל</w:t>
      </w:r>
      <w:r w:rsidR="004C44FC">
        <w:rPr>
          <w:rFonts w:cs="FrankRuehl" w:hint="cs"/>
          <w:sz w:val="26"/>
          <w:szCs w:val="26"/>
          <w:rtl/>
        </w:rPr>
        <w:t>,</w:t>
      </w:r>
      <w:r w:rsidR="004C44FC" w:rsidRPr="002E1D22">
        <w:rPr>
          <w:rFonts w:cs="FrankRuehl"/>
          <w:sz w:val="26"/>
          <w:szCs w:val="26"/>
          <w:rtl/>
        </w:rPr>
        <w:t>סעיף</w:t>
      </w:r>
      <w:proofErr w:type="spellEnd"/>
      <w:r w:rsidR="004C44FC" w:rsidRPr="002E1D22">
        <w:rPr>
          <w:rFonts w:cs="FrankRuehl"/>
          <w:sz w:val="26"/>
          <w:szCs w:val="26"/>
          <w:rtl/>
        </w:rPr>
        <w:t xml:space="preserve"> </w:t>
      </w:r>
      <w:bookmarkStart w:id="7" w:name="TAKZIV3_1"/>
      <w:r w:rsidR="004C44FC">
        <w:rPr>
          <w:rFonts w:cs="FrankRuehl"/>
          <w:sz w:val="26"/>
          <w:szCs w:val="26"/>
          <w:rtl/>
        </w:rPr>
        <w:t>16</w:t>
      </w:r>
      <w:bookmarkEnd w:id="7"/>
      <w:r w:rsidR="004C44FC" w:rsidRPr="002E1D22">
        <w:rPr>
          <w:rFonts w:cs="FrankRuehl"/>
          <w:sz w:val="26"/>
          <w:szCs w:val="26"/>
          <w:rtl/>
        </w:rPr>
        <w:t xml:space="preserve"> - </w:t>
      </w:r>
      <w:bookmarkStart w:id="8" w:name="TAKZIV6"/>
      <w:r w:rsidR="004C44FC">
        <w:rPr>
          <w:rFonts w:cs="FrankRuehl"/>
          <w:sz w:val="26"/>
          <w:szCs w:val="26"/>
          <w:rtl/>
        </w:rPr>
        <w:t>הוצאות חירום אזרחיות</w:t>
      </w:r>
      <w:bookmarkEnd w:id="8"/>
      <w:r w:rsidR="004C44FC" w:rsidRPr="002E1D22">
        <w:rPr>
          <w:rFonts w:cs="FrankRuehl"/>
          <w:sz w:val="26"/>
          <w:szCs w:val="26"/>
          <w:rtl/>
        </w:rPr>
        <w:t xml:space="preserve"> </w:t>
      </w:r>
      <w:r w:rsidRPr="002E1D22">
        <w:rPr>
          <w:rFonts w:cs="FrankRuehl"/>
          <w:sz w:val="26"/>
          <w:szCs w:val="26"/>
          <w:rtl/>
        </w:rPr>
        <w:t>בהתאם לסעיף 12 (א)</w:t>
      </w:r>
    </w:p>
    <w:p w14:paraId="73C46A7F" w14:textId="77777777" w:rsidR="00436E4E" w:rsidRPr="002E1D22" w:rsidRDefault="00436E4E" w:rsidP="00602309">
      <w:pPr>
        <w:jc w:val="both"/>
        <w:rPr>
          <w:rFonts w:cs="FrankRuehl"/>
          <w:sz w:val="26"/>
          <w:szCs w:val="26"/>
          <w:rtl/>
        </w:rPr>
      </w:pP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51368817" w14:textId="77777777" w:rsidR="00436E4E" w:rsidRPr="002E1D22" w:rsidRDefault="00436E4E" w:rsidP="00602309">
      <w:pPr>
        <w:jc w:val="both"/>
        <w:rPr>
          <w:rFonts w:cs="FrankRuehl"/>
          <w:sz w:val="26"/>
          <w:szCs w:val="26"/>
          <w:rtl/>
        </w:rPr>
      </w:pPr>
    </w:p>
    <w:p w14:paraId="697F4228" w14:textId="77777777" w:rsidR="008B006D" w:rsidRDefault="008B006D" w:rsidP="00602309">
      <w:pPr>
        <w:jc w:val="both"/>
        <w:rPr>
          <w:rFonts w:ascii="FrankRuehl" w:hAnsi="FrankRuehl" w:cs="FrankRuehl"/>
          <w:sz w:val="26"/>
          <w:szCs w:val="26"/>
          <w:lang w:eastAsia="en-US"/>
        </w:rPr>
      </w:pPr>
      <w:bookmarkStart w:id="9" w:name="DIVREY_HESBER"/>
      <w:bookmarkEnd w:id="9"/>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16 - הוצאות חירום אזרחיות</w:t>
      </w:r>
    </w:p>
    <w:p w14:paraId="5219D7C4" w14:textId="77777777" w:rsidR="008B006D" w:rsidRDefault="008B006D" w:rsidP="00602309">
      <w:pPr>
        <w:jc w:val="both"/>
        <w:rPr>
          <w:rFonts w:ascii="FrankRuehl" w:hAnsi="FrankRuehl" w:cs="FrankRuehl"/>
          <w:b/>
          <w:bCs/>
          <w:sz w:val="26"/>
          <w:szCs w:val="26"/>
        </w:rPr>
      </w:pPr>
    </w:p>
    <w:p w14:paraId="44774EDF"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3019A498" w14:textId="77777777" w:rsidR="008B006D" w:rsidRDefault="008B006D" w:rsidP="00602309">
      <w:pPr>
        <w:jc w:val="both"/>
        <w:rPr>
          <w:rFonts w:ascii="FrankRuehl" w:hAnsi="FrankRuehl" w:cs="FrankRuehl"/>
          <w:sz w:val="26"/>
          <w:szCs w:val="26"/>
          <w:highlight w:val="yellow"/>
          <w:u w:val="single"/>
        </w:rPr>
      </w:pPr>
      <w:r>
        <w:rPr>
          <w:rFonts w:ascii="FrankRuehl" w:hAnsi="FrankRuehl" w:cs="FrankRuehl" w:hint="cs"/>
          <w:sz w:val="26"/>
          <w:szCs w:val="26"/>
          <w:rtl/>
        </w:rPr>
        <w:t>הפניה התקציבית נועדה לתקצוב סך של 161,000 אלפי ש"ח בהוצאה ו-497,100 אלפי ש"ח בהרשאה להתחייב עבור יישום החלטות ממשלה לתגבור מרכיבי ביטחון, מתן מעני מיגון מהירים והעמדה לדין של מבצעי טבח ה-7 באוקטובר 2023.</w:t>
      </w:r>
    </w:p>
    <w:p w14:paraId="62CC1E0E" w14:textId="77777777" w:rsidR="008B006D" w:rsidRDefault="008B006D" w:rsidP="00602309">
      <w:pPr>
        <w:jc w:val="both"/>
        <w:rPr>
          <w:rFonts w:ascii="FrankRuehl" w:hAnsi="FrankRuehl" w:cs="FrankRuehl"/>
          <w:b/>
          <w:bCs/>
          <w:sz w:val="26"/>
          <w:szCs w:val="26"/>
          <w:rtl/>
        </w:rPr>
      </w:pPr>
    </w:p>
    <w:p w14:paraId="4BA9D9D3" w14:textId="77777777" w:rsidR="008B006D" w:rsidRDefault="008B006D" w:rsidP="00602309">
      <w:pPr>
        <w:jc w:val="both"/>
        <w:rPr>
          <w:rFonts w:ascii="FrankRuehl" w:hAnsi="FrankRuehl" w:cs="FrankRuehl"/>
          <w:sz w:val="26"/>
          <w:szCs w:val="26"/>
          <w:rtl/>
        </w:rPr>
      </w:pPr>
      <w:r>
        <w:rPr>
          <w:rFonts w:ascii="FrankRuehl" w:hAnsi="FrankRuehl" w:cs="FrankRuehl" w:hint="cs"/>
          <w:sz w:val="26"/>
          <w:szCs w:val="26"/>
          <w:rtl/>
        </w:rPr>
        <w:t>עיקרי הפנייה התקציבית בחלוקה לתוכניות מובאים להלן:</w:t>
      </w:r>
    </w:p>
    <w:p w14:paraId="4E164C38" w14:textId="77777777" w:rsidR="008B006D" w:rsidRDefault="008B006D" w:rsidP="00602309">
      <w:pPr>
        <w:jc w:val="both"/>
        <w:rPr>
          <w:rFonts w:ascii="FrankRuehl" w:hAnsi="FrankRuehl" w:cs="FrankRuehl"/>
          <w:b/>
          <w:bCs/>
          <w:sz w:val="26"/>
          <w:szCs w:val="26"/>
          <w:rtl/>
        </w:rPr>
      </w:pPr>
      <w:r>
        <w:rPr>
          <w:rFonts w:ascii="FrankRuehl" w:hAnsi="FrankRuehl" w:cs="FrankRuehl" w:hint="cs"/>
          <w:b/>
          <w:bCs/>
          <w:sz w:val="26"/>
          <w:szCs w:val="26"/>
          <w:rtl/>
        </w:rPr>
        <w:t>161303 – מענה לאיום בלתי גילוי וזיהוי – תקצוב סך של 31,050 אלפי ש"ח בהוצאה</w:t>
      </w:r>
    </w:p>
    <w:p w14:paraId="4876CEA5"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בתוכנית זו מתוקצבת הפעילות להכנת עורף מדינת ישראל להתמודדות עם איומים בלתי קונבנציונליים. פעילות זו כוללת רכש של תרופות שיסייעו במתן מענה רפואי לאוכלוסייה בעת מתקפה בלתי קונבנציונאלית וכן לאחסנתן. בנוסף, מתבצע רכש ציוד למגיבים ראשונים הכולל אמצעי גילוי וזיהוי חומרי אב"כ וציוד למיגון מותאם, וכן שימור קווי הייצור של ערכות ומסכות המגן בארץ.</w:t>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p>
    <w:p w14:paraId="10E262AA"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מטרת השינוי: </w:t>
      </w:r>
    </w:p>
    <w:p w14:paraId="57EFDB9D" w14:textId="7A9866A8" w:rsidR="008B006D" w:rsidRDefault="008B006D" w:rsidP="00602309">
      <w:pPr>
        <w:jc w:val="both"/>
        <w:rPr>
          <w:rFonts w:ascii="FrankRuehl" w:hAnsi="FrankRuehl" w:cs="FrankRuehl"/>
          <w:sz w:val="26"/>
          <w:szCs w:val="26"/>
        </w:rPr>
      </w:pPr>
      <w:r>
        <w:rPr>
          <w:rFonts w:ascii="FrankRuehl" w:hAnsi="FrankRuehl" w:cs="FrankRuehl" w:hint="cs"/>
          <w:sz w:val="26"/>
          <w:szCs w:val="26"/>
          <w:rtl/>
        </w:rPr>
        <w:t xml:space="preserve">תקצוב סך של 31,050 אלפי ש"ח בהוצאה עבור התאמת התקציב </w:t>
      </w:r>
      <w:r w:rsidR="00873534">
        <w:rPr>
          <w:rFonts w:ascii="FrankRuehl" w:hAnsi="FrankRuehl" w:cs="FrankRuehl" w:hint="cs"/>
          <w:sz w:val="26"/>
          <w:szCs w:val="26"/>
          <w:rtl/>
        </w:rPr>
        <w:t>לתחזית</w:t>
      </w:r>
      <w:r>
        <w:rPr>
          <w:rFonts w:ascii="FrankRuehl" w:hAnsi="FrankRuehl" w:cs="FrankRuehl" w:hint="cs"/>
          <w:sz w:val="26"/>
          <w:szCs w:val="26"/>
          <w:rtl/>
        </w:rPr>
        <w:t>.</w:t>
      </w:r>
    </w:p>
    <w:p w14:paraId="27C8F74B" w14:textId="77777777" w:rsidR="008B006D" w:rsidRDefault="008B006D" w:rsidP="00602309">
      <w:pPr>
        <w:jc w:val="both"/>
        <w:rPr>
          <w:rFonts w:ascii="FrankRuehl" w:hAnsi="FrankRuehl" w:cs="FrankRuehl"/>
          <w:b/>
          <w:bCs/>
          <w:sz w:val="26"/>
          <w:szCs w:val="26"/>
          <w:rtl/>
        </w:rPr>
      </w:pPr>
    </w:p>
    <w:p w14:paraId="63C3C93E" w14:textId="77777777" w:rsidR="008B006D" w:rsidRDefault="008B006D" w:rsidP="00602309">
      <w:pPr>
        <w:jc w:val="both"/>
        <w:rPr>
          <w:rFonts w:ascii="FrankRuehl" w:hAnsi="FrankRuehl" w:cs="FrankRuehl"/>
          <w:b/>
          <w:bCs/>
          <w:sz w:val="26"/>
          <w:szCs w:val="26"/>
          <w:rtl/>
        </w:rPr>
      </w:pPr>
      <w:r>
        <w:rPr>
          <w:rFonts w:ascii="FrankRuehl" w:hAnsi="FrankRuehl" w:cs="FrankRuehl" w:hint="cs"/>
          <w:b/>
          <w:bCs/>
          <w:sz w:val="26"/>
          <w:szCs w:val="26"/>
          <w:rtl/>
        </w:rPr>
        <w:t>161602 – הקמה ואחזקת מרכיבי ביטחון והתגוננות אזרחית – תקצוב סך של 34,250 אלפי ש"ח בהוצאה וסך של 411,100 אלפי ש"ח בהרשאה להתחייב</w:t>
      </w:r>
    </w:p>
    <w:p w14:paraId="690C36EC"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 xml:space="preserve">בתוכנית זו מתוקצבות פעולות ההקמה והאחזקה של מרכיבי ביטחון ביישובים והפעילות לשיפור התגוננות אזרחית. בתחום מרכיבי הביטחון, פיקוד העורף מבצע עבודות הקמה ותחזוקה של מרכיבי ביטחון ביישובים, הכוללים סלילה של דרכי עפר למילוט, הקמת גדרות והאחזקה ושיקום של אמצעי צילום, אמצעי גילוי טכנולוגיים, אמצעי קשר, רכבי ביטחון ואמצעים לכיתות הכוננות, וזאת בהתאם לתוכנית העבודה של פיקוד העורף והיחידה להתיישבות. בתחום ההתגוננות האזרחית פיקוד העורף פועל בשלושה תחומים עיקריים: התרעה וצפירה - אחזקה והוספת צופרים, שדרוג ותחזוקת מערכות צפירה ומערכות להפצת התרעה באמצעים נוספים (סלולר, אינטרנט, רדיו </w:t>
      </w:r>
      <w:r>
        <w:rPr>
          <w:rFonts w:ascii="FrankRuehl" w:hAnsi="FrankRuehl" w:cs="FrankRuehl" w:hint="cs"/>
          <w:sz w:val="26"/>
          <w:szCs w:val="26"/>
          <w:rtl/>
        </w:rPr>
        <w:lastRenderedPageBreak/>
        <w:t>ועוד); מיגון שיקום ושיפוץ מקלטים ורכש אמצעי מיגון והפעלת מערך הרגולציה בתחום המיגון; מערך אוכלוסייה - אימוני חירום לרשויות מקומיות והסברה לאוכלוסייה לשעת חירום.</w:t>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p>
    <w:p w14:paraId="14A3EF0D"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מטרת השינוי: </w:t>
      </w:r>
    </w:p>
    <w:p w14:paraId="70168E1A" w14:textId="77777777" w:rsidR="008B006D" w:rsidRDefault="008B006D" w:rsidP="00602309">
      <w:pPr>
        <w:jc w:val="both"/>
        <w:rPr>
          <w:rFonts w:ascii="FrankRuehl" w:hAnsi="FrankRuehl" w:cs="FrankRuehl"/>
          <w:sz w:val="26"/>
          <w:szCs w:val="26"/>
        </w:rPr>
      </w:pPr>
      <w:r>
        <w:rPr>
          <w:rFonts w:ascii="FrankRuehl" w:hAnsi="FrankRuehl" w:cs="FrankRuehl" w:hint="cs"/>
          <w:sz w:val="26"/>
          <w:szCs w:val="26"/>
          <w:rtl/>
        </w:rPr>
        <w:t>תקצוב סך של 4,250 אלפי ש"ח בהוצאה וסך של 411,100 אלפי ש"ח בהרשאה להתחייב עבור:</w:t>
      </w:r>
    </w:p>
    <w:p w14:paraId="2C56671E" w14:textId="77777777" w:rsidR="008B006D" w:rsidRDefault="008B006D" w:rsidP="00602309">
      <w:pPr>
        <w:numPr>
          <w:ilvl w:val="0"/>
          <w:numId w:val="1"/>
        </w:numPr>
        <w:jc w:val="both"/>
        <w:rPr>
          <w:rFonts w:ascii="FrankRuehl" w:hAnsi="FrankRuehl" w:cs="FrankRuehl"/>
          <w:sz w:val="26"/>
          <w:szCs w:val="26"/>
          <w:rtl/>
        </w:rPr>
      </w:pPr>
      <w:r>
        <w:rPr>
          <w:rFonts w:ascii="FrankRuehl" w:hAnsi="FrankRuehl" w:cs="FrankRuehl" w:hint="cs"/>
          <w:sz w:val="26"/>
          <w:szCs w:val="26"/>
          <w:rtl/>
        </w:rPr>
        <w:t>סך של 13,000 אלפי ש"ח בהוצאה עבור יישום החלטות הממשלה הבאות:</w:t>
      </w:r>
    </w:p>
    <w:p w14:paraId="09BEC47E" w14:textId="77777777" w:rsidR="008B006D" w:rsidRDefault="00B44AB9" w:rsidP="00602309">
      <w:pPr>
        <w:numPr>
          <w:ilvl w:val="0"/>
          <w:numId w:val="2"/>
        </w:numPr>
        <w:jc w:val="both"/>
        <w:rPr>
          <w:rFonts w:ascii="FrankRuehl" w:hAnsi="FrankRuehl" w:cs="FrankRuehl"/>
          <w:sz w:val="26"/>
          <w:szCs w:val="26"/>
        </w:rPr>
      </w:pPr>
      <w:hyperlink r:id="rId7" w:history="1">
        <w:r w:rsidR="008B006D">
          <w:rPr>
            <w:rStyle w:val="Hyperlink"/>
            <w:rFonts w:ascii="FrankRuehl" w:hAnsi="FrankRuehl" w:cs="FrankRuehl" w:hint="cs"/>
            <w:sz w:val="26"/>
            <w:szCs w:val="26"/>
            <w:rtl/>
          </w:rPr>
          <w:t>החלטת ממשלה מס' 3124</w:t>
        </w:r>
      </w:hyperlink>
      <w:r w:rsidR="008B006D">
        <w:rPr>
          <w:rFonts w:ascii="FrankRuehl" w:hAnsi="FrankRuehl" w:cs="FrankRuehl" w:hint="cs"/>
          <w:sz w:val="26"/>
          <w:szCs w:val="26"/>
          <w:rtl/>
        </w:rPr>
        <w:t xml:space="preserve"> מיום 8 ביוני 2025 שעניינה "ביטחון אזורי - חלוקת תחומי האחריות לביטחון הפנים בדרום - תיקון החלטות ועדת שרים".</w:t>
      </w:r>
    </w:p>
    <w:p w14:paraId="7684BA09" w14:textId="77777777" w:rsidR="008B006D" w:rsidRDefault="00B44AB9" w:rsidP="00602309">
      <w:pPr>
        <w:numPr>
          <w:ilvl w:val="0"/>
          <w:numId w:val="2"/>
        </w:numPr>
        <w:jc w:val="both"/>
        <w:rPr>
          <w:rFonts w:ascii="FrankRuehl" w:hAnsi="FrankRuehl" w:cs="FrankRuehl"/>
          <w:sz w:val="26"/>
          <w:szCs w:val="26"/>
        </w:rPr>
      </w:pPr>
      <w:hyperlink r:id="rId8" w:history="1">
        <w:r w:rsidR="008B006D">
          <w:rPr>
            <w:rStyle w:val="Hyperlink"/>
            <w:rFonts w:ascii="FrankRuehl" w:hAnsi="FrankRuehl" w:cs="FrankRuehl" w:hint="cs"/>
            <w:sz w:val="26"/>
            <w:szCs w:val="26"/>
            <w:rtl/>
          </w:rPr>
          <w:t>החלטת ממשלה מס' 4088</w:t>
        </w:r>
      </w:hyperlink>
      <w:r w:rsidR="008B006D">
        <w:rPr>
          <w:rFonts w:ascii="FrankRuehl" w:hAnsi="FrankRuehl" w:cs="FrankRuehl" w:hint="cs"/>
          <w:sz w:val="26"/>
          <w:szCs w:val="26"/>
          <w:rtl/>
        </w:rPr>
        <w:t xml:space="preserve"> מיום 3 במאי 2026 שעניינה "חלוקת תחומי האחריות לביטחון הפנים בין צה״ל למשטרת ישראל - תיקון החלטת ועדת השרים לביטחון פנים ותיקון החלטת ממשלה".</w:t>
      </w:r>
    </w:p>
    <w:p w14:paraId="5CE1E82C" w14:textId="77777777" w:rsidR="008B006D" w:rsidRDefault="008B006D" w:rsidP="00602309">
      <w:pPr>
        <w:numPr>
          <w:ilvl w:val="0"/>
          <w:numId w:val="2"/>
        </w:numPr>
        <w:jc w:val="both"/>
        <w:rPr>
          <w:rFonts w:ascii="FrankRuehl" w:hAnsi="FrankRuehl" w:cs="FrankRuehl"/>
          <w:sz w:val="26"/>
          <w:szCs w:val="26"/>
        </w:rPr>
      </w:pPr>
      <w:r>
        <w:rPr>
          <w:rFonts w:ascii="FrankRuehl" w:hAnsi="FrankRuehl" w:cs="FrankRuehl" w:hint="cs"/>
          <w:sz w:val="26"/>
          <w:szCs w:val="26"/>
          <w:rtl/>
        </w:rPr>
        <w:t>החלטת ממשלה 4784 מיום 30 לאפריל 2006 שעניינה הסדרת האחריות הביטחונית בין צה"ל ומשטרת ישראל במרחב עוטף ירושלים.</w:t>
      </w:r>
    </w:p>
    <w:p w14:paraId="6194D864" w14:textId="77777777" w:rsidR="008B006D" w:rsidRDefault="008B006D" w:rsidP="00602309">
      <w:pPr>
        <w:numPr>
          <w:ilvl w:val="0"/>
          <w:numId w:val="1"/>
        </w:numPr>
        <w:jc w:val="both"/>
        <w:rPr>
          <w:rFonts w:ascii="FrankRuehl" w:hAnsi="FrankRuehl" w:cs="FrankRuehl"/>
          <w:sz w:val="26"/>
          <w:szCs w:val="26"/>
        </w:rPr>
      </w:pPr>
      <w:r>
        <w:rPr>
          <w:rFonts w:ascii="FrankRuehl" w:hAnsi="FrankRuehl" w:cs="FrankRuehl" w:hint="cs"/>
          <w:sz w:val="26"/>
          <w:szCs w:val="26"/>
          <w:rtl/>
        </w:rPr>
        <w:t xml:space="preserve">סך של 107,000 אלפי ש"ח בהוצאה ו-187,500 אלפי ש"ח בהרשאה להתחייב עבור יישום </w:t>
      </w:r>
      <w:hyperlink r:id="rId9" w:history="1">
        <w:r>
          <w:rPr>
            <w:rStyle w:val="Hyperlink"/>
            <w:rFonts w:ascii="FrankRuehl" w:hAnsi="FrankRuehl" w:cs="FrankRuehl" w:hint="cs"/>
            <w:sz w:val="26"/>
            <w:szCs w:val="26"/>
            <w:rtl/>
          </w:rPr>
          <w:t>החלטת הממשלה מס' 3813</w:t>
        </w:r>
      </w:hyperlink>
      <w:r>
        <w:rPr>
          <w:rFonts w:ascii="FrankRuehl" w:hAnsi="FrankRuehl" w:cs="FrankRuehl" w:hint="cs"/>
          <w:sz w:val="26"/>
          <w:szCs w:val="26"/>
          <w:rtl/>
        </w:rPr>
        <w:t xml:space="preserve"> מיום 25 לינואר 2026 שעניינה "הקצאת תוספת תקציב לתגבור מרכיבי ביטחון ותיקון החלטות ממשלה".</w:t>
      </w:r>
    </w:p>
    <w:p w14:paraId="263E7090" w14:textId="77777777" w:rsidR="008B006D" w:rsidRDefault="008B006D" w:rsidP="00602309">
      <w:pPr>
        <w:numPr>
          <w:ilvl w:val="0"/>
          <w:numId w:val="1"/>
        </w:numPr>
        <w:jc w:val="both"/>
        <w:rPr>
          <w:rFonts w:ascii="FrankRuehl" w:hAnsi="FrankRuehl" w:cs="FrankRuehl"/>
          <w:sz w:val="26"/>
          <w:szCs w:val="26"/>
        </w:rPr>
      </w:pPr>
      <w:r>
        <w:rPr>
          <w:rFonts w:ascii="FrankRuehl" w:hAnsi="FrankRuehl" w:cs="FrankRuehl" w:hint="cs"/>
          <w:sz w:val="26"/>
          <w:szCs w:val="26"/>
          <w:rtl/>
        </w:rPr>
        <w:t xml:space="preserve">סך של 150,000 אלפי ש"ח בהרשאה להתחייב עבור יישום </w:t>
      </w:r>
      <w:hyperlink r:id="rId10" w:history="1">
        <w:r>
          <w:rPr>
            <w:rStyle w:val="Hyperlink"/>
            <w:rFonts w:ascii="FrankRuehl" w:hAnsi="FrankRuehl" w:cs="FrankRuehl" w:hint="cs"/>
            <w:sz w:val="26"/>
            <w:szCs w:val="26"/>
            <w:rtl/>
          </w:rPr>
          <w:t>החלטת הממשלה 4193</w:t>
        </w:r>
      </w:hyperlink>
      <w:r>
        <w:rPr>
          <w:rFonts w:ascii="FrankRuehl" w:hAnsi="FrankRuehl" w:cs="FrankRuehl" w:hint="cs"/>
          <w:sz w:val="26"/>
          <w:szCs w:val="26"/>
          <w:rtl/>
        </w:rPr>
        <w:t xml:space="preserve"> מיום 2 ליוני 2026 שעניינה "תוכנית למתן מעני מיגון מהירים ליישובים בטווח 9-0 ק"מ מגבול הצפון".</w:t>
      </w:r>
    </w:p>
    <w:p w14:paraId="4470FDEF" w14:textId="77777777" w:rsidR="008B006D" w:rsidRDefault="008B006D" w:rsidP="00602309">
      <w:pPr>
        <w:numPr>
          <w:ilvl w:val="0"/>
          <w:numId w:val="1"/>
        </w:numPr>
        <w:jc w:val="both"/>
        <w:rPr>
          <w:rFonts w:ascii="FrankRuehl" w:hAnsi="FrankRuehl" w:cs="FrankRuehl"/>
          <w:sz w:val="26"/>
          <w:szCs w:val="26"/>
        </w:rPr>
      </w:pPr>
      <w:r>
        <w:rPr>
          <w:rFonts w:ascii="FrankRuehl" w:hAnsi="FrankRuehl" w:cs="FrankRuehl" w:hint="cs"/>
          <w:sz w:val="26"/>
          <w:szCs w:val="26"/>
          <w:rtl/>
        </w:rPr>
        <w:t>סך של 33,600 אלפי ש"ח בהרשאה להתחייב עבור מרכיבי ביטחון ביישובי קו התפר.</w:t>
      </w:r>
    </w:p>
    <w:p w14:paraId="3DCA8773" w14:textId="77777777" w:rsidR="008B006D" w:rsidRDefault="008B006D" w:rsidP="00602309">
      <w:pPr>
        <w:numPr>
          <w:ilvl w:val="0"/>
          <w:numId w:val="1"/>
        </w:numPr>
        <w:jc w:val="both"/>
        <w:rPr>
          <w:rFonts w:ascii="FrankRuehl" w:hAnsi="FrankRuehl" w:cs="FrankRuehl"/>
          <w:sz w:val="26"/>
          <w:szCs w:val="26"/>
        </w:rPr>
      </w:pPr>
      <w:r>
        <w:rPr>
          <w:rFonts w:ascii="FrankRuehl" w:hAnsi="FrankRuehl" w:cs="FrankRuehl" w:hint="cs"/>
          <w:sz w:val="26"/>
          <w:szCs w:val="26"/>
          <w:rtl/>
        </w:rPr>
        <w:t>סך של 40,000 אלפי ש"ח בהרשאה להתחייב עבור תוכנית "משיב הרוח" למרכיבי ביטחון.</w:t>
      </w:r>
    </w:p>
    <w:p w14:paraId="1DBB2783" w14:textId="77777777" w:rsidR="008B006D" w:rsidRDefault="008B006D" w:rsidP="00602309">
      <w:pPr>
        <w:jc w:val="both"/>
        <w:rPr>
          <w:rFonts w:ascii="FrankRuehl" w:hAnsi="FrankRuehl" w:cs="FrankRuehl"/>
          <w:sz w:val="26"/>
          <w:szCs w:val="26"/>
          <w:rtl/>
        </w:rPr>
      </w:pPr>
    </w:p>
    <w:p w14:paraId="2FE7932C" w14:textId="77777777" w:rsidR="008B006D" w:rsidRDefault="008B006D" w:rsidP="00602309">
      <w:pPr>
        <w:jc w:val="both"/>
        <w:rPr>
          <w:rFonts w:ascii="FrankRuehl" w:hAnsi="FrankRuehl" w:cs="FrankRuehl"/>
          <w:b/>
          <w:bCs/>
          <w:sz w:val="26"/>
          <w:szCs w:val="26"/>
          <w:rtl/>
        </w:rPr>
      </w:pPr>
      <w:r>
        <w:rPr>
          <w:rFonts w:ascii="FrankRuehl" w:hAnsi="FrankRuehl" w:cs="FrankRuehl" w:hint="cs"/>
          <w:b/>
          <w:bCs/>
          <w:sz w:val="26"/>
          <w:szCs w:val="26"/>
          <w:rtl/>
        </w:rPr>
        <w:t>161603 – מיגון - תקצוב סך של 7,000 אלפי ש"ח בהוצאה</w:t>
      </w:r>
    </w:p>
    <w:p w14:paraId="6205DCDE"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התוכנית מיועדת לתקצוב פרויקטים בתחומי המיגון המבוצעים למול תקציבים ייעודיים תוספתיים: מיגון הניוד ביהודה ושומרון - מיגון רכבי הסעות לתלמידים, תחבורה ציבורית ורכבי רכזי ביטחון שוטף ממוגנים ומיגון תשתיות לאומיות - פרויקטים למיגון מתקנים אסטרטגיים ותשתיות לאומיות אשר מטרתם לשפר את הרציפות התפקודית של משק האנרגיה בשעת חירום. הפרויקטים מבוצעים על בסיס הכנסות מחברת החשמל וחברת נתיבי גז טבעי לישראל בע"מ.</w:t>
      </w:r>
    </w:p>
    <w:p w14:paraId="15F72158"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מטרת השינוי: </w:t>
      </w:r>
    </w:p>
    <w:p w14:paraId="44C6E7A3" w14:textId="77777777" w:rsidR="008B006D" w:rsidRDefault="008B006D" w:rsidP="00602309">
      <w:pPr>
        <w:jc w:val="both"/>
        <w:rPr>
          <w:rFonts w:ascii="FrankRuehl" w:hAnsi="FrankRuehl" w:cs="FrankRuehl"/>
          <w:sz w:val="26"/>
          <w:szCs w:val="26"/>
          <w:rtl/>
        </w:rPr>
      </w:pPr>
      <w:r>
        <w:rPr>
          <w:rFonts w:ascii="FrankRuehl" w:hAnsi="FrankRuehl" w:cs="FrankRuehl" w:hint="cs"/>
          <w:sz w:val="26"/>
          <w:szCs w:val="26"/>
          <w:rtl/>
        </w:rPr>
        <w:t xml:space="preserve">תקצוב סך של 7,000 אלפי ש"ח בהוצאה עבור יישום </w:t>
      </w:r>
      <w:hyperlink r:id="rId11" w:history="1">
        <w:r>
          <w:rPr>
            <w:rStyle w:val="Hyperlink"/>
            <w:rFonts w:ascii="FrankRuehl" w:hAnsi="FrankRuehl" w:cs="FrankRuehl" w:hint="cs"/>
            <w:sz w:val="26"/>
            <w:szCs w:val="26"/>
            <w:rtl/>
          </w:rPr>
          <w:t>החלטת הממשלה מס' 3813</w:t>
        </w:r>
      </w:hyperlink>
      <w:r>
        <w:rPr>
          <w:rFonts w:ascii="FrankRuehl" w:hAnsi="FrankRuehl" w:cs="FrankRuehl" w:hint="cs"/>
          <w:sz w:val="26"/>
          <w:szCs w:val="26"/>
          <w:rtl/>
        </w:rPr>
        <w:t xml:space="preserve"> מיום 25 לינואר 2026 שעניינה "הקצאת תוספת תקציב לתגבור מרכיבי ביטחון ותיקון החלטות ממשלה".</w:t>
      </w:r>
    </w:p>
    <w:p w14:paraId="1DB13AAC" w14:textId="77777777" w:rsidR="008B006D" w:rsidRDefault="008B006D" w:rsidP="00602309">
      <w:pPr>
        <w:jc w:val="both"/>
        <w:rPr>
          <w:rFonts w:ascii="FrankRuehl" w:hAnsi="FrankRuehl" w:cs="FrankRuehl"/>
          <w:sz w:val="26"/>
          <w:szCs w:val="26"/>
          <w:rtl/>
        </w:rPr>
      </w:pPr>
    </w:p>
    <w:p w14:paraId="3324A5E3" w14:textId="77777777" w:rsidR="008B006D" w:rsidRDefault="008B006D" w:rsidP="00602309">
      <w:pPr>
        <w:jc w:val="both"/>
        <w:rPr>
          <w:rFonts w:ascii="FrankRuehl" w:hAnsi="FrankRuehl" w:cs="FrankRuehl"/>
          <w:b/>
          <w:bCs/>
          <w:sz w:val="26"/>
          <w:szCs w:val="26"/>
        </w:rPr>
      </w:pPr>
      <w:r>
        <w:rPr>
          <w:rFonts w:ascii="FrankRuehl" w:hAnsi="FrankRuehl" w:cs="FrankRuehl" w:hint="cs"/>
          <w:b/>
          <w:bCs/>
          <w:sz w:val="26"/>
          <w:szCs w:val="26"/>
          <w:rtl/>
        </w:rPr>
        <w:t>161605 – מיגון העורף - תקצוב סך של 81,700 אלפי ש"ח בהוצאה וסך של 24,000 אלפי ש"ח בהרשאה להתחייב</w:t>
      </w:r>
    </w:p>
    <w:p w14:paraId="1FFCC14B" w14:textId="77777777" w:rsidR="008B006D" w:rsidRDefault="008B006D" w:rsidP="00602309">
      <w:pPr>
        <w:jc w:val="both"/>
        <w:rPr>
          <w:rFonts w:ascii="FrankRuehl" w:hAnsi="FrankRuehl" w:cs="FrankRuehl"/>
          <w:b/>
          <w:bCs/>
          <w:sz w:val="26"/>
          <w:szCs w:val="26"/>
          <w:rtl/>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 xml:space="preserve">תכנית זו מיועדת </w:t>
      </w:r>
      <w:proofErr w:type="spellStart"/>
      <w:r>
        <w:rPr>
          <w:rFonts w:ascii="FrankRuehl" w:hAnsi="FrankRuehl" w:cs="FrankRuehl" w:hint="cs"/>
          <w:sz w:val="26"/>
          <w:szCs w:val="26"/>
          <w:rtl/>
        </w:rPr>
        <w:t>לפרוייקט</w:t>
      </w:r>
      <w:proofErr w:type="spellEnd"/>
      <w:r>
        <w:rPr>
          <w:rFonts w:ascii="FrankRuehl" w:hAnsi="FrankRuehl" w:cs="FrankRuehl" w:hint="cs"/>
          <w:sz w:val="26"/>
          <w:szCs w:val="26"/>
          <w:rtl/>
        </w:rPr>
        <w:t xml:space="preserve"> לאומי למיגון במסגרת תכנית מגן העורף.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מיישמת את החלטת וועדת השרים לענייני ביטחון לאומי מספר ב302/ מיום 16 ביולי ,2018 שעיקרה "מוכנות העורף האזרחי למצבי חירום", הכוללת מענה למיגון פרטי (ממ"דים, </w:t>
      </w:r>
      <w:proofErr w:type="spellStart"/>
      <w:r>
        <w:rPr>
          <w:rFonts w:ascii="FrankRuehl" w:hAnsi="FrankRuehl" w:cs="FrankRuehl" w:hint="cs"/>
          <w:sz w:val="26"/>
          <w:szCs w:val="26"/>
          <w:rtl/>
        </w:rPr>
        <w:t>ממ"קים</w:t>
      </w:r>
      <w:proofErr w:type="spellEnd"/>
      <w:r>
        <w:rPr>
          <w:rFonts w:ascii="FrankRuehl" w:hAnsi="FrankRuehl" w:cs="FrankRuehl" w:hint="cs"/>
          <w:sz w:val="26"/>
          <w:szCs w:val="26"/>
          <w:rtl/>
        </w:rPr>
        <w:t xml:space="preserve">) </w:t>
      </w:r>
      <w:proofErr w:type="spellStart"/>
      <w:r>
        <w:rPr>
          <w:rFonts w:ascii="FrankRuehl" w:hAnsi="FrankRuehl" w:cs="FrankRuehl" w:hint="cs"/>
          <w:sz w:val="26"/>
          <w:szCs w:val="26"/>
          <w:rtl/>
        </w:rPr>
        <w:t>באיזור</w:t>
      </w:r>
      <w:proofErr w:type="spellEnd"/>
      <w:r>
        <w:rPr>
          <w:rFonts w:ascii="FrankRuehl" w:hAnsi="FrankRuehl" w:cs="FrankRuehl" w:hint="cs"/>
          <w:sz w:val="26"/>
          <w:szCs w:val="26"/>
          <w:rtl/>
        </w:rPr>
        <w:t xml:space="preserve"> קו העימות בצפון הארץ וכן שיפוץ מקלטים פרטיים וציבוריים, מיגון מרחבי (</w:t>
      </w:r>
      <w:proofErr w:type="spellStart"/>
      <w:r>
        <w:rPr>
          <w:rFonts w:ascii="FrankRuehl" w:hAnsi="FrankRuehl" w:cs="FrankRuehl" w:hint="cs"/>
          <w:sz w:val="26"/>
          <w:szCs w:val="26"/>
          <w:rtl/>
        </w:rPr>
        <w:t>מיגוניות</w:t>
      </w:r>
      <w:proofErr w:type="spellEnd"/>
      <w:r>
        <w:rPr>
          <w:rFonts w:ascii="FrankRuehl" w:hAnsi="FrankRuehl" w:cs="FrankRuehl" w:hint="cs"/>
          <w:sz w:val="26"/>
          <w:szCs w:val="26"/>
          <w:rtl/>
        </w:rPr>
        <w:t>) ומיגון מוסדות בריאות, חינוך ורווחה, ביישובי הצפון והדרום</w:t>
      </w:r>
      <w:r>
        <w:rPr>
          <w:rFonts w:ascii="FrankRuehl" w:hAnsi="FrankRuehl" w:cs="FrankRuehl" w:hint="cs"/>
          <w:b/>
          <w:bCs/>
          <w:sz w:val="26"/>
          <w:szCs w:val="26"/>
          <w:rtl/>
        </w:rPr>
        <w:t>.</w:t>
      </w:r>
    </w:p>
    <w:p w14:paraId="3E902D31"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מטרת השינוי: </w:t>
      </w:r>
    </w:p>
    <w:p w14:paraId="3C228D90" w14:textId="11D73B1A" w:rsidR="008B006D" w:rsidRDefault="008B006D" w:rsidP="00602309">
      <w:pPr>
        <w:jc w:val="both"/>
        <w:rPr>
          <w:rFonts w:ascii="FrankRuehl" w:hAnsi="FrankRuehl" w:cs="FrankRuehl"/>
          <w:sz w:val="26"/>
          <w:szCs w:val="26"/>
          <w:rtl/>
        </w:rPr>
      </w:pPr>
      <w:r>
        <w:rPr>
          <w:rFonts w:ascii="FrankRuehl" w:hAnsi="FrankRuehl" w:cs="FrankRuehl" w:hint="cs"/>
          <w:sz w:val="26"/>
          <w:szCs w:val="26"/>
          <w:rtl/>
        </w:rPr>
        <w:t xml:space="preserve">תקצוב סך של 81,700 אלפי ש"ח בהוצאה עבור התאמת התקציב </w:t>
      </w:r>
      <w:r w:rsidR="00873534">
        <w:rPr>
          <w:rFonts w:ascii="FrankRuehl" w:hAnsi="FrankRuehl" w:cs="FrankRuehl" w:hint="cs"/>
          <w:sz w:val="26"/>
          <w:szCs w:val="26"/>
          <w:rtl/>
        </w:rPr>
        <w:t>לתחזית</w:t>
      </w:r>
      <w:r>
        <w:rPr>
          <w:rFonts w:ascii="FrankRuehl" w:hAnsi="FrankRuehl" w:cs="FrankRuehl" w:hint="cs"/>
          <w:sz w:val="26"/>
          <w:szCs w:val="26"/>
          <w:rtl/>
        </w:rPr>
        <w:t>, וסך של 24,000 אלפי ש"ח בהרשאה להתחייב עבור מיגון מוסדות חינוך בצפון.</w:t>
      </w:r>
    </w:p>
    <w:p w14:paraId="149DA236" w14:textId="77777777" w:rsidR="008B006D" w:rsidRDefault="008B006D" w:rsidP="00602309">
      <w:pPr>
        <w:jc w:val="both"/>
        <w:rPr>
          <w:rFonts w:ascii="FrankRuehl" w:hAnsi="FrankRuehl" w:cs="FrankRuehl"/>
          <w:sz w:val="26"/>
          <w:szCs w:val="26"/>
          <w:rtl/>
        </w:rPr>
      </w:pPr>
    </w:p>
    <w:p w14:paraId="7E649D5F" w14:textId="77777777" w:rsidR="008B006D" w:rsidRDefault="008B006D" w:rsidP="00602309">
      <w:pPr>
        <w:jc w:val="both"/>
        <w:rPr>
          <w:rFonts w:ascii="FrankRuehl" w:hAnsi="FrankRuehl" w:cs="FrankRuehl"/>
          <w:b/>
          <w:bCs/>
          <w:sz w:val="26"/>
          <w:szCs w:val="26"/>
          <w:rtl/>
        </w:rPr>
      </w:pPr>
      <w:r>
        <w:rPr>
          <w:rFonts w:ascii="FrankRuehl" w:hAnsi="FrankRuehl" w:cs="FrankRuehl" w:hint="cs"/>
          <w:b/>
          <w:bCs/>
          <w:sz w:val="26"/>
          <w:szCs w:val="26"/>
          <w:rtl/>
        </w:rPr>
        <w:t xml:space="preserve">161703 – </w:t>
      </w:r>
      <w:proofErr w:type="spellStart"/>
      <w:r>
        <w:rPr>
          <w:rFonts w:ascii="FrankRuehl" w:hAnsi="FrankRuehl" w:cs="FrankRuehl" w:hint="cs"/>
          <w:b/>
          <w:bCs/>
          <w:sz w:val="26"/>
          <w:szCs w:val="26"/>
          <w:rtl/>
        </w:rPr>
        <w:t>פרויקטי</w:t>
      </w:r>
      <w:proofErr w:type="spellEnd"/>
      <w:r>
        <w:rPr>
          <w:rFonts w:ascii="FrankRuehl" w:hAnsi="FrankRuehl" w:cs="FrankRuehl" w:hint="cs"/>
          <w:b/>
          <w:bCs/>
          <w:sz w:val="26"/>
          <w:szCs w:val="26"/>
          <w:rtl/>
        </w:rPr>
        <w:t xml:space="preserve"> רשות חירום לאומית - תקצוב בסך של 3,000 אלפי ש"ח בהוצאה</w:t>
      </w:r>
    </w:p>
    <w:p w14:paraId="74F648B5"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תיאור התוכנית: </w:t>
      </w:r>
    </w:p>
    <w:p w14:paraId="27504A0E" w14:textId="77777777" w:rsidR="008B006D" w:rsidRDefault="008B006D" w:rsidP="00602309">
      <w:pPr>
        <w:jc w:val="both"/>
        <w:rPr>
          <w:rFonts w:ascii="FrankRuehl" w:hAnsi="FrankRuehl" w:cs="FrankRuehl"/>
          <w:b/>
          <w:bCs/>
          <w:sz w:val="26"/>
          <w:szCs w:val="26"/>
        </w:rPr>
      </w:pPr>
      <w:proofErr w:type="spellStart"/>
      <w:r>
        <w:rPr>
          <w:rFonts w:ascii="FrankRuehl" w:hAnsi="FrankRuehl" w:cs="FrankRuehl" w:hint="cs"/>
          <w:sz w:val="26"/>
          <w:szCs w:val="26"/>
          <w:rtl/>
        </w:rPr>
        <w:t>בתכנית</w:t>
      </w:r>
      <w:proofErr w:type="spellEnd"/>
      <w:r>
        <w:rPr>
          <w:rFonts w:ascii="FrankRuehl" w:hAnsi="FrankRuehl" w:cs="FrankRuehl" w:hint="cs"/>
          <w:sz w:val="26"/>
          <w:szCs w:val="26"/>
          <w:rtl/>
        </w:rPr>
        <w:t xml:space="preserve"> זו מתוקצבת כלל הפעילות של רשות החירום הלאומית. הרשות פועלת להכשרות והיערכות משרדי הממשלה לחירום, כתיבת תפיסות לאומיות לחירום, הגדרת יעדי שירות למשרדי ממשלה לחירום, הצגת תמונת מצב לאומית לעורף ומימון הפעילות השוטפת של הוועדה הבין- משרדית לרעידות אדמה, וקידום המודעות לחירום בקרב האוכלוסייה</w:t>
      </w:r>
      <w:r>
        <w:rPr>
          <w:rFonts w:ascii="FrankRuehl" w:hAnsi="FrankRuehl" w:cs="FrankRuehl" w:hint="cs"/>
          <w:b/>
          <w:bCs/>
          <w:sz w:val="26"/>
          <w:szCs w:val="26"/>
          <w:rtl/>
        </w:rPr>
        <w:t>.</w:t>
      </w:r>
    </w:p>
    <w:p w14:paraId="4E35D021"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מטרת השינוי: </w:t>
      </w:r>
    </w:p>
    <w:p w14:paraId="017E620D" w14:textId="597C3133" w:rsidR="008B006D" w:rsidRDefault="008B006D" w:rsidP="00602309">
      <w:pPr>
        <w:jc w:val="both"/>
        <w:rPr>
          <w:rFonts w:ascii="FrankRuehl" w:hAnsi="FrankRuehl" w:cs="FrankRuehl"/>
          <w:sz w:val="26"/>
          <w:szCs w:val="26"/>
          <w:rtl/>
        </w:rPr>
      </w:pPr>
      <w:r>
        <w:rPr>
          <w:rFonts w:ascii="FrankRuehl" w:hAnsi="FrankRuehl" w:cs="FrankRuehl" w:hint="cs"/>
          <w:sz w:val="26"/>
          <w:szCs w:val="26"/>
          <w:rtl/>
        </w:rPr>
        <w:t xml:space="preserve">תקצוב בסך של 3,000 אלפי ש"ח בהוצאה עבור התאמת התקציב </w:t>
      </w:r>
      <w:r w:rsidR="00873534">
        <w:rPr>
          <w:rFonts w:ascii="FrankRuehl" w:hAnsi="FrankRuehl" w:cs="FrankRuehl" w:hint="cs"/>
          <w:sz w:val="26"/>
          <w:szCs w:val="26"/>
          <w:rtl/>
        </w:rPr>
        <w:t>לתחזית</w:t>
      </w:r>
      <w:r>
        <w:rPr>
          <w:rFonts w:ascii="FrankRuehl" w:hAnsi="FrankRuehl" w:cs="FrankRuehl" w:hint="cs"/>
          <w:sz w:val="26"/>
          <w:szCs w:val="26"/>
          <w:rtl/>
        </w:rPr>
        <w:t>.</w:t>
      </w:r>
    </w:p>
    <w:p w14:paraId="68843AF4" w14:textId="77777777" w:rsidR="008B006D" w:rsidRDefault="008B006D" w:rsidP="00602309">
      <w:pPr>
        <w:jc w:val="both"/>
        <w:rPr>
          <w:rFonts w:ascii="FrankRuehl" w:hAnsi="FrankRuehl" w:cs="FrankRuehl"/>
          <w:sz w:val="26"/>
          <w:szCs w:val="26"/>
          <w:rtl/>
        </w:rPr>
      </w:pPr>
    </w:p>
    <w:p w14:paraId="33D67F41" w14:textId="77777777" w:rsidR="008B006D" w:rsidRDefault="008B006D" w:rsidP="00602309">
      <w:pPr>
        <w:jc w:val="both"/>
        <w:rPr>
          <w:rFonts w:ascii="FrankRuehl" w:hAnsi="FrankRuehl" w:cs="FrankRuehl"/>
          <w:b/>
          <w:bCs/>
          <w:sz w:val="26"/>
          <w:szCs w:val="26"/>
          <w:rtl/>
        </w:rPr>
      </w:pPr>
      <w:r>
        <w:rPr>
          <w:rFonts w:ascii="FrankRuehl" w:hAnsi="FrankRuehl" w:cs="FrankRuehl" w:hint="cs"/>
          <w:b/>
          <w:bCs/>
          <w:sz w:val="26"/>
          <w:szCs w:val="26"/>
          <w:rtl/>
        </w:rPr>
        <w:t>161704 – העמדה לדין של מבצעי טבח השבעה באוקטובר - תקצוב בסך של 34,000 אלפי ש"ח בהוצאה וסך של 62,000 אלפי ש"ח בהרשאה להתחייב</w:t>
      </w:r>
    </w:p>
    <w:p w14:paraId="46DCB309"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תיאור התוכנית: </w:t>
      </w:r>
    </w:p>
    <w:p w14:paraId="1BCD329E" w14:textId="77777777" w:rsidR="008B006D" w:rsidRDefault="008B006D" w:rsidP="00602309">
      <w:pPr>
        <w:jc w:val="both"/>
        <w:rPr>
          <w:rFonts w:ascii="FrankRuehl" w:hAnsi="FrankRuehl" w:cs="FrankRuehl"/>
          <w:b/>
          <w:bCs/>
          <w:sz w:val="26"/>
          <w:szCs w:val="26"/>
        </w:rPr>
      </w:pPr>
      <w:proofErr w:type="spellStart"/>
      <w:r>
        <w:rPr>
          <w:rFonts w:ascii="FrankRuehl" w:hAnsi="FrankRuehl" w:cs="FrankRuehl" w:hint="cs"/>
          <w:sz w:val="26"/>
          <w:szCs w:val="26"/>
          <w:rtl/>
        </w:rPr>
        <w:lastRenderedPageBreak/>
        <w:t>בתכנית</w:t>
      </w:r>
      <w:proofErr w:type="spellEnd"/>
      <w:r>
        <w:rPr>
          <w:rFonts w:ascii="FrankRuehl" w:hAnsi="FrankRuehl" w:cs="FrankRuehl" w:hint="cs"/>
          <w:sz w:val="26"/>
          <w:szCs w:val="26"/>
          <w:rtl/>
        </w:rPr>
        <w:t xml:space="preserve"> זו מתוקצבת כלל הפעילות עבור העמדתם לדין של מבצעי טבח ה-7 באוקטובר 2023.</w:t>
      </w:r>
    </w:p>
    <w:p w14:paraId="2A1BA2C7" w14:textId="77777777" w:rsidR="008B006D" w:rsidRDefault="008B006D" w:rsidP="00602309">
      <w:pPr>
        <w:jc w:val="both"/>
        <w:rPr>
          <w:rFonts w:ascii="FrankRuehl" w:hAnsi="FrankRuehl" w:cs="FrankRuehl"/>
          <w:sz w:val="26"/>
          <w:szCs w:val="26"/>
          <w:rtl/>
        </w:rPr>
      </w:pPr>
      <w:r>
        <w:rPr>
          <w:rFonts w:ascii="FrankRuehl" w:hAnsi="FrankRuehl" w:cs="FrankRuehl" w:hint="cs"/>
          <w:b/>
          <w:bCs/>
          <w:sz w:val="26"/>
          <w:szCs w:val="26"/>
          <w:rtl/>
        </w:rPr>
        <w:t xml:space="preserve">מטרת השינוי: </w:t>
      </w:r>
    </w:p>
    <w:p w14:paraId="01407BCC" w14:textId="77777777" w:rsidR="008B006D" w:rsidRDefault="008B006D" w:rsidP="00602309">
      <w:pPr>
        <w:jc w:val="both"/>
        <w:rPr>
          <w:rFonts w:ascii="FrankRuehl" w:hAnsi="FrankRuehl" w:cs="FrankRuehl"/>
          <w:sz w:val="26"/>
          <w:szCs w:val="26"/>
          <w:rtl/>
        </w:rPr>
      </w:pPr>
      <w:bookmarkStart w:id="10" w:name="_Hlk233043198"/>
      <w:r>
        <w:rPr>
          <w:rFonts w:ascii="FrankRuehl" w:hAnsi="FrankRuehl" w:cs="FrankRuehl" w:hint="cs"/>
          <w:sz w:val="26"/>
          <w:szCs w:val="26"/>
          <w:rtl/>
        </w:rPr>
        <w:t xml:space="preserve">תקצוב בסך של 34,000 אלפי ש"ח בהוצאה וסך של 62,000 אלפי ש"ח בהרשאה להתחייב </w:t>
      </w:r>
      <w:bookmarkEnd w:id="10"/>
      <w:r>
        <w:rPr>
          <w:rFonts w:ascii="FrankRuehl" w:hAnsi="FrankRuehl" w:cs="FrankRuehl" w:hint="cs"/>
          <w:sz w:val="26"/>
          <w:szCs w:val="26"/>
          <w:rtl/>
        </w:rPr>
        <w:t xml:space="preserve">עבור מימוש החלטת הממשלה מס' 4189 מיום 2 ביוני 2026 שעניינה "העמדה לדין של מבצעי אירועי טבח ה-7 באוקטובר 2023 (טבח שמיני עצרת </w:t>
      </w:r>
      <w:proofErr w:type="spellStart"/>
      <w:r>
        <w:rPr>
          <w:rFonts w:ascii="FrankRuehl" w:hAnsi="FrankRuehl" w:cs="FrankRuehl" w:hint="cs"/>
          <w:sz w:val="26"/>
          <w:szCs w:val="26"/>
          <w:rtl/>
        </w:rPr>
        <w:t>התשפ"ד</w:t>
      </w:r>
      <w:proofErr w:type="spellEnd"/>
      <w:r>
        <w:rPr>
          <w:rFonts w:ascii="FrankRuehl" w:hAnsi="FrankRuehl" w:cs="FrankRuehl" w:hint="cs"/>
          <w:sz w:val="26"/>
          <w:szCs w:val="26"/>
          <w:rtl/>
        </w:rPr>
        <w:t>) ותיקון החלטת ממשלה".</w:t>
      </w:r>
    </w:p>
    <w:p w14:paraId="21D9E9DF" w14:textId="77777777" w:rsidR="008B006D" w:rsidRDefault="008B006D" w:rsidP="00602309">
      <w:pPr>
        <w:jc w:val="both"/>
        <w:rPr>
          <w:rFonts w:ascii="FrankRuehl" w:hAnsi="FrankRuehl" w:cs="FrankRuehl"/>
          <w:sz w:val="26"/>
          <w:szCs w:val="26"/>
          <w:rtl/>
        </w:rPr>
      </w:pPr>
    </w:p>
    <w:p w14:paraId="3FEDE2A9" w14:textId="357BAF7F" w:rsidR="008B006D" w:rsidRDefault="008B006D" w:rsidP="00602309">
      <w:pPr>
        <w:jc w:val="both"/>
        <w:rPr>
          <w:rFonts w:ascii="FrankRuehl" w:hAnsi="FrankRuehl" w:cs="FrankRuehl"/>
          <w:b/>
          <w:bCs/>
          <w:sz w:val="26"/>
          <w:szCs w:val="26"/>
          <w:rtl/>
        </w:rPr>
      </w:pP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sz w:val="26"/>
          <w:szCs w:val="26"/>
          <w:rtl/>
        </w:rPr>
        <w:softHyphen/>
      </w:r>
      <w:r>
        <w:rPr>
          <w:rFonts w:ascii="FrankRuehl" w:hAnsi="FrankRuehl" w:cs="FrankRuehl" w:hint="cs"/>
          <w:b/>
          <w:bCs/>
          <w:sz w:val="26"/>
          <w:szCs w:val="26"/>
          <w:rtl/>
        </w:rPr>
        <w:t>השפעה על כוח אדם:</w:t>
      </w:r>
      <w:r>
        <w:rPr>
          <w:rFonts w:ascii="FrankRuehl" w:hAnsi="FrankRuehl" w:cs="FrankRuehl" w:hint="cs"/>
          <w:sz w:val="26"/>
          <w:szCs w:val="26"/>
          <w:rtl/>
        </w:rPr>
        <w:t xml:space="preserve"> אין</w:t>
      </w:r>
      <w:r>
        <w:rPr>
          <w:rFonts w:ascii="FrankRuehl" w:hAnsi="FrankRuehl" w:cs="FrankRuehl" w:hint="cs"/>
          <w:b/>
          <w:bCs/>
          <w:sz w:val="26"/>
          <w:szCs w:val="26"/>
          <w:rtl/>
        </w:rPr>
        <w:t>.</w:t>
      </w:r>
    </w:p>
    <w:p w14:paraId="650879D8" w14:textId="77777777" w:rsidR="00D763CB" w:rsidRDefault="00D763CB" w:rsidP="00602309">
      <w:pPr>
        <w:jc w:val="both"/>
        <w:rPr>
          <w:rFonts w:ascii="FrankRuehl" w:hAnsi="FrankRuehl" w:cs="FrankRuehl"/>
          <w:b/>
          <w:bCs/>
          <w:sz w:val="26"/>
          <w:szCs w:val="26"/>
          <w:rtl/>
        </w:rPr>
      </w:pPr>
    </w:p>
    <w:p w14:paraId="5B74DD55" w14:textId="77777777" w:rsidR="00436E4E" w:rsidRPr="002E1D22" w:rsidRDefault="00436E4E">
      <w:pPr>
        <w:tabs>
          <w:tab w:val="center" w:pos="6867"/>
        </w:tabs>
        <w:rPr>
          <w:rFonts w:cs="FrankRuehl"/>
          <w:sz w:val="26"/>
          <w:szCs w:val="26"/>
          <w:rtl/>
        </w:rPr>
      </w:pPr>
    </w:p>
    <w:p w14:paraId="2D5BEB1C"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3A5753DC" w14:textId="77777777" w:rsidR="00436E4E" w:rsidRDefault="00C13197">
      <w:pPr>
        <w:tabs>
          <w:tab w:val="center" w:pos="6867"/>
        </w:tabs>
        <w:rPr>
          <w:rFonts w:cs="FrankRuehl"/>
          <w:sz w:val="26"/>
          <w:szCs w:val="26"/>
          <w:rtl/>
        </w:rPr>
      </w:pPr>
      <w:r>
        <w:rPr>
          <w:rFonts w:cs="FrankRuehl"/>
          <w:sz w:val="26"/>
          <w:szCs w:val="26"/>
          <w:rtl/>
        </w:rPr>
        <w:tab/>
      </w:r>
    </w:p>
    <w:p w14:paraId="4338EBB9" w14:textId="77777777" w:rsidR="00C13197" w:rsidRPr="002E1D22" w:rsidRDefault="00C13197">
      <w:pPr>
        <w:tabs>
          <w:tab w:val="center" w:pos="6867"/>
        </w:tabs>
        <w:rPr>
          <w:rFonts w:cs="FrankRuehl"/>
          <w:sz w:val="26"/>
          <w:szCs w:val="26"/>
        </w:rPr>
      </w:pPr>
      <w:r>
        <w:rPr>
          <w:rFonts w:cs="FrankRuehl"/>
          <w:sz w:val="26"/>
          <w:szCs w:val="26"/>
          <w:rtl/>
        </w:rPr>
        <w:tab/>
      </w:r>
      <w:bookmarkStart w:id="11" w:name="Sign_Image"/>
      <w:bookmarkEnd w:id="11"/>
    </w:p>
    <w:p w14:paraId="79B7F903"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21D8DC02"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177CEC35"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2E7E5890" w14:textId="77777777" w:rsidR="00436E4E" w:rsidRPr="002E1D22" w:rsidRDefault="00436E4E">
      <w:pPr>
        <w:rPr>
          <w:rFonts w:cs="FrankRuehl"/>
          <w:sz w:val="26"/>
          <w:szCs w:val="26"/>
          <w:rtl/>
        </w:rPr>
      </w:pPr>
      <w:r w:rsidRPr="002E1D22">
        <w:rPr>
          <w:rFonts w:cs="FrankRuehl"/>
          <w:sz w:val="26"/>
          <w:szCs w:val="26"/>
          <w:rtl/>
        </w:rPr>
        <w:t>העתק:</w:t>
      </w:r>
    </w:p>
    <w:p w14:paraId="401865B4" w14:textId="77777777" w:rsidR="00436E4E" w:rsidRPr="002E1D22" w:rsidRDefault="00436E4E">
      <w:pPr>
        <w:rPr>
          <w:rFonts w:cs="FrankRuehl"/>
          <w:sz w:val="26"/>
          <w:szCs w:val="26"/>
          <w:rtl/>
        </w:rPr>
      </w:pPr>
      <w:r w:rsidRPr="002E1D22">
        <w:rPr>
          <w:rFonts w:cs="FrankRuehl"/>
          <w:sz w:val="26"/>
          <w:szCs w:val="26"/>
          <w:rtl/>
        </w:rPr>
        <w:t>החשב הכללי</w:t>
      </w:r>
    </w:p>
    <w:p w14:paraId="0302789F" w14:textId="77777777" w:rsidR="00436E4E" w:rsidRPr="002E1D22" w:rsidRDefault="00436E4E">
      <w:pPr>
        <w:rPr>
          <w:rFonts w:cs="FrankRuehl"/>
          <w:sz w:val="26"/>
          <w:szCs w:val="26"/>
          <w:rtl/>
        </w:rPr>
      </w:pPr>
      <w:r w:rsidRPr="002E1D22">
        <w:rPr>
          <w:rFonts w:cs="FrankRuehl"/>
          <w:sz w:val="26"/>
          <w:szCs w:val="26"/>
          <w:rtl/>
        </w:rPr>
        <w:t>מבקר המדינה (2)</w:t>
      </w:r>
    </w:p>
    <w:p w14:paraId="10DA1127" w14:textId="74F28EE4" w:rsidR="00436E4E" w:rsidRPr="002E1D22" w:rsidRDefault="001730FB">
      <w:pPr>
        <w:rPr>
          <w:rFonts w:cs="FrankRuehl"/>
          <w:sz w:val="26"/>
          <w:szCs w:val="26"/>
          <w:rtl/>
        </w:rPr>
      </w:pPr>
      <w:bookmarkStart w:id="12" w:name="TAKZIV22"/>
      <w:r>
        <w:rPr>
          <w:rFonts w:cs="FrankRuehl"/>
          <w:sz w:val="26"/>
          <w:szCs w:val="26"/>
          <w:rtl/>
        </w:rPr>
        <w:t>חשב החשב הכללי</w:t>
      </w:r>
      <w:bookmarkEnd w:id="12"/>
    </w:p>
    <w:p w14:paraId="18D0D126" w14:textId="66EFC16D" w:rsidR="00436E4E" w:rsidRPr="002E1D22" w:rsidRDefault="00436E4E">
      <w:pPr>
        <w:rPr>
          <w:rFonts w:cs="FrankRuehl"/>
          <w:sz w:val="26"/>
          <w:szCs w:val="26"/>
          <w:rtl/>
        </w:rPr>
      </w:pPr>
      <w:r w:rsidRPr="002E1D22">
        <w:rPr>
          <w:rFonts w:cs="FrankRuehl"/>
          <w:sz w:val="26"/>
          <w:szCs w:val="26"/>
          <w:rtl/>
        </w:rPr>
        <w:t xml:space="preserve">קצין תקציבים </w:t>
      </w:r>
      <w:bookmarkStart w:id="13" w:name="TAKZIV6_1"/>
      <w:r w:rsidR="001730FB">
        <w:rPr>
          <w:rFonts w:cs="FrankRuehl"/>
          <w:sz w:val="26"/>
          <w:szCs w:val="26"/>
          <w:rtl/>
        </w:rPr>
        <w:t>הוצאות חירום אזרחיות</w:t>
      </w:r>
      <w:bookmarkEnd w:id="13"/>
    </w:p>
    <w:p w14:paraId="1DF47054" w14:textId="16DC6AB6" w:rsidR="00436E4E" w:rsidRPr="002E1D22" w:rsidRDefault="00436E4E">
      <w:pPr>
        <w:rPr>
          <w:rFonts w:cs="FrankRuehl"/>
          <w:sz w:val="26"/>
          <w:szCs w:val="26"/>
          <w:rtl/>
        </w:rPr>
      </w:pPr>
      <w:r w:rsidRPr="002E1D22">
        <w:rPr>
          <w:rFonts w:cs="FrankRuehl"/>
          <w:sz w:val="26"/>
          <w:szCs w:val="26"/>
          <w:rtl/>
        </w:rPr>
        <w:t xml:space="preserve">רפרנט </w:t>
      </w:r>
      <w:bookmarkStart w:id="14" w:name="TAKZIV6_2"/>
      <w:r w:rsidR="001730FB">
        <w:rPr>
          <w:rFonts w:cs="FrankRuehl"/>
          <w:sz w:val="26"/>
          <w:szCs w:val="26"/>
          <w:rtl/>
        </w:rPr>
        <w:t>הוצאות חירום אזרחיות</w:t>
      </w:r>
      <w:bookmarkEnd w:id="14"/>
    </w:p>
    <w:p w14:paraId="458611F8" w14:textId="77777777" w:rsidR="00436E4E" w:rsidRPr="002E1D22" w:rsidRDefault="00436E4E">
      <w:pPr>
        <w:rPr>
          <w:rFonts w:cs="FrankRuehl"/>
          <w:sz w:val="26"/>
          <w:szCs w:val="26"/>
          <w:rtl/>
        </w:rPr>
      </w:pPr>
      <w:bookmarkStart w:id="15" w:name="TAKZIV23"/>
      <w:bookmarkEnd w:id="15"/>
    </w:p>
    <w:p w14:paraId="2567C8CC" w14:textId="77777777" w:rsidR="008B006D" w:rsidRDefault="008B006D" w:rsidP="008B006D">
      <w:pPr>
        <w:rPr>
          <w:rFonts w:eastAsia="Calibri" w:cs="FrankRuehl"/>
          <w:sz w:val="26"/>
          <w:szCs w:val="26"/>
          <w:rtl/>
          <w:lang w:eastAsia="en-US"/>
        </w:rPr>
      </w:pPr>
      <w:bookmarkStart w:id="16" w:name="TAKZIV25"/>
      <w:bookmarkEnd w:id="16"/>
    </w:p>
    <w:p w14:paraId="198EEEC9" w14:textId="77777777" w:rsidR="008B006D" w:rsidRDefault="008B006D" w:rsidP="008B006D">
      <w:pPr>
        <w:tabs>
          <w:tab w:val="center" w:pos="6888"/>
        </w:tabs>
        <w:jc w:val="center"/>
        <w:rPr>
          <w:rFonts w:ascii="FrankRuehl" w:hAnsi="FrankRuehl" w:cs="FrankRuehl"/>
          <w:b/>
          <w:bCs/>
          <w:sz w:val="26"/>
          <w:szCs w:val="26"/>
          <w:u w:val="single"/>
        </w:rPr>
      </w:pPr>
      <w:r>
        <w:rPr>
          <w:rFonts w:ascii="FrankRuehl" w:hAnsi="FrankRuehl" w:cs="FrankRuehl" w:hint="cs"/>
          <w:b/>
          <w:bCs/>
          <w:sz w:val="26"/>
          <w:szCs w:val="26"/>
          <w:u w:val="single"/>
          <w:rtl/>
        </w:rPr>
        <w:t>נספח לדברי ההסבר</w:t>
      </w:r>
    </w:p>
    <w:p w14:paraId="1B6B6319" w14:textId="77777777" w:rsidR="008B006D" w:rsidRDefault="008B006D" w:rsidP="008B006D">
      <w:pPr>
        <w:contextualSpacing/>
        <w:jc w:val="center"/>
        <w:rPr>
          <w:rFonts w:ascii="FrankRuehl" w:hAnsi="FrankRuehl" w:cs="FrankRuehl"/>
          <w:b/>
          <w:bCs/>
          <w:sz w:val="26"/>
          <w:szCs w:val="26"/>
        </w:rPr>
      </w:pPr>
      <w:r>
        <w:rPr>
          <w:rFonts w:ascii="FrankRuehl" w:hAnsi="FrankRuehl" w:cs="FrankRuehl" w:hint="cs"/>
          <w:b/>
          <w:bCs/>
          <w:sz w:val="26"/>
          <w:szCs w:val="26"/>
          <w:rtl/>
        </w:rPr>
        <w:t>היסטוריה תקציבית של הפנייה – הוצאה נטו</w:t>
      </w:r>
    </w:p>
    <w:tbl>
      <w:tblPr>
        <w:bidiVisual/>
        <w:tblW w:w="5000" w:type="pct"/>
        <w:tblLook w:val="04A0" w:firstRow="1" w:lastRow="0" w:firstColumn="1" w:lastColumn="0" w:noHBand="0" w:noVBand="1"/>
      </w:tblPr>
      <w:tblGrid>
        <w:gridCol w:w="993"/>
        <w:gridCol w:w="1223"/>
        <w:gridCol w:w="844"/>
        <w:gridCol w:w="994"/>
        <w:gridCol w:w="844"/>
        <w:gridCol w:w="994"/>
        <w:gridCol w:w="844"/>
        <w:gridCol w:w="994"/>
        <w:gridCol w:w="793"/>
      </w:tblGrid>
      <w:tr w:rsidR="008B006D" w14:paraId="0459B36F" w14:textId="77777777" w:rsidTr="0098029D">
        <w:trPr>
          <w:trHeight w:val="630"/>
        </w:trPr>
        <w:tc>
          <w:tcPr>
            <w:tcW w:w="583" w:type="pct"/>
            <w:tcBorders>
              <w:top w:val="single" w:sz="4" w:space="0" w:color="979991"/>
              <w:left w:val="single" w:sz="4" w:space="0" w:color="979991"/>
              <w:bottom w:val="nil"/>
              <w:right w:val="nil"/>
            </w:tcBorders>
            <w:shd w:val="clear" w:color="auto" w:fill="F0F4FA"/>
            <w:vAlign w:val="center"/>
            <w:hideMark/>
          </w:tcPr>
          <w:p w14:paraId="01C573E7"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718" w:type="pct"/>
            <w:tcBorders>
              <w:top w:val="single" w:sz="4" w:space="0" w:color="979991"/>
              <w:left w:val="single" w:sz="4" w:space="0" w:color="979991"/>
              <w:bottom w:val="single" w:sz="4" w:space="0" w:color="979991"/>
              <w:right w:val="nil"/>
            </w:tcBorders>
            <w:shd w:val="clear" w:color="auto" w:fill="F0F4FA"/>
            <w:vAlign w:val="center"/>
            <w:hideMark/>
          </w:tcPr>
          <w:p w14:paraId="0EFC12C7" w14:textId="77777777" w:rsidR="008B006D" w:rsidRDefault="008B006D" w:rsidP="0098029D">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77691610"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15805661"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777E96BC"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4E699FC9"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4523B4AA"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05D6C503"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466"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1B50C31B"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8B006D" w14:paraId="5CCC7742" w14:textId="77777777" w:rsidTr="0098029D">
        <w:trPr>
          <w:trHeight w:val="290"/>
        </w:trPr>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00456DE3" w14:textId="77777777" w:rsidR="008B006D" w:rsidRDefault="008B006D" w:rsidP="0098029D">
            <w:pPr>
              <w:bidi w:val="0"/>
              <w:jc w:val="center"/>
              <w:rPr>
                <w:rFonts w:ascii="Calibri" w:hAnsi="Calibri" w:cs="Calibri"/>
                <w:color w:val="000000"/>
                <w:sz w:val="16"/>
                <w:szCs w:val="16"/>
                <w:rtl/>
              </w:rPr>
            </w:pPr>
            <w:r>
              <w:rPr>
                <w:rFonts w:ascii="Calibri" w:hAnsi="Calibri" w:cs="Calibri"/>
                <w:color w:val="000000"/>
                <w:sz w:val="16"/>
                <w:szCs w:val="16"/>
              </w:rPr>
              <w:t>161303</w:t>
            </w:r>
          </w:p>
        </w:tc>
        <w:tc>
          <w:tcPr>
            <w:tcW w:w="718" w:type="pct"/>
            <w:tcBorders>
              <w:top w:val="nil"/>
              <w:left w:val="single" w:sz="4" w:space="0" w:color="979991"/>
              <w:bottom w:val="single" w:sz="4" w:space="0" w:color="979991"/>
              <w:right w:val="nil"/>
            </w:tcBorders>
            <w:shd w:val="clear" w:color="auto" w:fill="FFFFFF"/>
            <w:vAlign w:val="center"/>
            <w:hideMark/>
          </w:tcPr>
          <w:p w14:paraId="029558AA" w14:textId="77777777" w:rsidR="008B006D" w:rsidRDefault="008B006D" w:rsidP="0098029D">
            <w:pPr>
              <w:bidi w:val="0"/>
              <w:jc w:val="center"/>
              <w:rPr>
                <w:rFonts w:ascii="Calibri" w:hAnsi="Calibri" w:cs="Calibri"/>
                <w:color w:val="000000"/>
                <w:sz w:val="16"/>
                <w:szCs w:val="16"/>
                <w:rtl/>
              </w:rPr>
            </w:pPr>
            <w:r>
              <w:rPr>
                <w:rFonts w:ascii="Calibri" w:hAnsi="Calibri" w:cs="Calibri"/>
                <w:color w:val="000000"/>
                <w:sz w:val="16"/>
                <w:szCs w:val="16"/>
              </w:rPr>
              <w:t>31,050</w:t>
            </w:r>
          </w:p>
        </w:tc>
        <w:tc>
          <w:tcPr>
            <w:tcW w:w="495" w:type="pct"/>
            <w:tcBorders>
              <w:top w:val="nil"/>
              <w:left w:val="single" w:sz="4" w:space="0" w:color="979991"/>
              <w:bottom w:val="single" w:sz="4" w:space="0" w:color="979991"/>
              <w:right w:val="nil"/>
            </w:tcBorders>
            <w:shd w:val="clear" w:color="auto" w:fill="FFFFFF"/>
            <w:vAlign w:val="center"/>
            <w:hideMark/>
          </w:tcPr>
          <w:p w14:paraId="367711E8"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56,371</w:t>
            </w:r>
          </w:p>
        </w:tc>
        <w:tc>
          <w:tcPr>
            <w:tcW w:w="583" w:type="pct"/>
            <w:tcBorders>
              <w:top w:val="nil"/>
              <w:left w:val="single" w:sz="4" w:space="0" w:color="979991"/>
              <w:bottom w:val="single" w:sz="4" w:space="0" w:color="979991"/>
              <w:right w:val="nil"/>
            </w:tcBorders>
            <w:shd w:val="clear" w:color="auto" w:fill="FFFFFF"/>
            <w:vAlign w:val="center"/>
            <w:hideMark/>
          </w:tcPr>
          <w:p w14:paraId="10F6B036"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90,791</w:t>
            </w:r>
          </w:p>
        </w:tc>
        <w:tc>
          <w:tcPr>
            <w:tcW w:w="495" w:type="pct"/>
            <w:tcBorders>
              <w:top w:val="nil"/>
              <w:left w:val="single" w:sz="4" w:space="0" w:color="979991"/>
              <w:bottom w:val="single" w:sz="4" w:space="0" w:color="979991"/>
              <w:right w:val="nil"/>
            </w:tcBorders>
            <w:shd w:val="clear" w:color="auto" w:fill="FFFFFF"/>
            <w:vAlign w:val="center"/>
            <w:hideMark/>
          </w:tcPr>
          <w:p w14:paraId="62D2D158"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91,237</w:t>
            </w:r>
          </w:p>
        </w:tc>
        <w:tc>
          <w:tcPr>
            <w:tcW w:w="583" w:type="pct"/>
            <w:tcBorders>
              <w:top w:val="nil"/>
              <w:left w:val="single" w:sz="4" w:space="0" w:color="979991"/>
              <w:bottom w:val="single" w:sz="4" w:space="0" w:color="979991"/>
              <w:right w:val="nil"/>
            </w:tcBorders>
            <w:shd w:val="clear" w:color="auto" w:fill="FFFFFF"/>
            <w:vAlign w:val="center"/>
            <w:hideMark/>
          </w:tcPr>
          <w:p w14:paraId="4CB612FB"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90,291</w:t>
            </w:r>
          </w:p>
        </w:tc>
        <w:tc>
          <w:tcPr>
            <w:tcW w:w="495" w:type="pct"/>
            <w:tcBorders>
              <w:top w:val="nil"/>
              <w:left w:val="single" w:sz="4" w:space="0" w:color="979991"/>
              <w:bottom w:val="single" w:sz="4" w:space="0" w:color="979991"/>
              <w:right w:val="nil"/>
            </w:tcBorders>
            <w:shd w:val="clear" w:color="auto" w:fill="FFFFFF"/>
            <w:vAlign w:val="center"/>
            <w:hideMark/>
          </w:tcPr>
          <w:p w14:paraId="00030440"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85,057</w:t>
            </w:r>
          </w:p>
        </w:tc>
        <w:tc>
          <w:tcPr>
            <w:tcW w:w="583" w:type="pct"/>
            <w:tcBorders>
              <w:top w:val="nil"/>
              <w:left w:val="single" w:sz="4" w:space="0" w:color="979991"/>
              <w:bottom w:val="single" w:sz="4" w:space="0" w:color="979991"/>
              <w:right w:val="nil"/>
            </w:tcBorders>
            <w:shd w:val="clear" w:color="auto" w:fill="FFFFFF"/>
            <w:vAlign w:val="center"/>
            <w:hideMark/>
          </w:tcPr>
          <w:p w14:paraId="0EC6AF4B"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82,179</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773F91E2"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86,260</w:t>
            </w:r>
          </w:p>
        </w:tc>
      </w:tr>
      <w:tr w:rsidR="008B006D" w14:paraId="1A9B49E1" w14:textId="77777777" w:rsidTr="0098029D">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2B0813A4"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161602</w:t>
            </w:r>
          </w:p>
        </w:tc>
        <w:tc>
          <w:tcPr>
            <w:tcW w:w="718" w:type="pct"/>
            <w:tcBorders>
              <w:top w:val="nil"/>
              <w:left w:val="single" w:sz="4" w:space="0" w:color="979991"/>
              <w:bottom w:val="single" w:sz="4" w:space="0" w:color="979991"/>
              <w:right w:val="nil"/>
            </w:tcBorders>
            <w:shd w:val="clear" w:color="auto" w:fill="FFFFFF"/>
            <w:vAlign w:val="center"/>
            <w:hideMark/>
          </w:tcPr>
          <w:p w14:paraId="6FE64D4C"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4,250</w:t>
            </w:r>
          </w:p>
        </w:tc>
        <w:tc>
          <w:tcPr>
            <w:tcW w:w="495" w:type="pct"/>
            <w:tcBorders>
              <w:top w:val="nil"/>
              <w:left w:val="single" w:sz="4" w:space="0" w:color="979991"/>
              <w:bottom w:val="single" w:sz="4" w:space="0" w:color="979991"/>
              <w:right w:val="nil"/>
            </w:tcBorders>
            <w:shd w:val="clear" w:color="auto" w:fill="FFFFFF"/>
            <w:vAlign w:val="center"/>
            <w:hideMark/>
          </w:tcPr>
          <w:p w14:paraId="71304AD4"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485,184</w:t>
            </w:r>
          </w:p>
        </w:tc>
        <w:tc>
          <w:tcPr>
            <w:tcW w:w="583" w:type="pct"/>
            <w:tcBorders>
              <w:top w:val="nil"/>
              <w:left w:val="single" w:sz="4" w:space="0" w:color="979991"/>
              <w:bottom w:val="single" w:sz="4" w:space="0" w:color="979991"/>
              <w:right w:val="nil"/>
            </w:tcBorders>
            <w:shd w:val="clear" w:color="auto" w:fill="FFFFFF"/>
            <w:vAlign w:val="center"/>
            <w:hideMark/>
          </w:tcPr>
          <w:p w14:paraId="64B38858"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170,345</w:t>
            </w:r>
          </w:p>
        </w:tc>
        <w:tc>
          <w:tcPr>
            <w:tcW w:w="495" w:type="pct"/>
            <w:tcBorders>
              <w:top w:val="nil"/>
              <w:left w:val="single" w:sz="4" w:space="0" w:color="979991"/>
              <w:bottom w:val="single" w:sz="4" w:space="0" w:color="979991"/>
              <w:right w:val="nil"/>
            </w:tcBorders>
            <w:shd w:val="clear" w:color="auto" w:fill="FFFFFF"/>
            <w:vAlign w:val="center"/>
            <w:hideMark/>
          </w:tcPr>
          <w:p w14:paraId="5682965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238,015</w:t>
            </w:r>
          </w:p>
        </w:tc>
        <w:tc>
          <w:tcPr>
            <w:tcW w:w="583" w:type="pct"/>
            <w:tcBorders>
              <w:top w:val="nil"/>
              <w:left w:val="single" w:sz="4" w:space="0" w:color="979991"/>
              <w:bottom w:val="single" w:sz="4" w:space="0" w:color="979991"/>
              <w:right w:val="nil"/>
            </w:tcBorders>
            <w:shd w:val="clear" w:color="auto" w:fill="FFFFFF"/>
            <w:vAlign w:val="center"/>
            <w:hideMark/>
          </w:tcPr>
          <w:p w14:paraId="6ACFA4C2"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204,562</w:t>
            </w:r>
          </w:p>
        </w:tc>
        <w:tc>
          <w:tcPr>
            <w:tcW w:w="495" w:type="pct"/>
            <w:tcBorders>
              <w:top w:val="nil"/>
              <w:left w:val="single" w:sz="4" w:space="0" w:color="979991"/>
              <w:bottom w:val="single" w:sz="4" w:space="0" w:color="979991"/>
              <w:right w:val="nil"/>
            </w:tcBorders>
            <w:shd w:val="clear" w:color="auto" w:fill="FFFFFF"/>
            <w:vAlign w:val="center"/>
            <w:hideMark/>
          </w:tcPr>
          <w:p w14:paraId="3AF0960C"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867,851</w:t>
            </w:r>
          </w:p>
        </w:tc>
        <w:tc>
          <w:tcPr>
            <w:tcW w:w="583" w:type="pct"/>
            <w:tcBorders>
              <w:top w:val="nil"/>
              <w:left w:val="single" w:sz="4" w:space="0" w:color="979991"/>
              <w:bottom w:val="single" w:sz="4" w:space="0" w:color="979991"/>
              <w:right w:val="nil"/>
            </w:tcBorders>
            <w:shd w:val="clear" w:color="auto" w:fill="FFFFFF"/>
            <w:vAlign w:val="center"/>
            <w:hideMark/>
          </w:tcPr>
          <w:p w14:paraId="3AB90FAB"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685,168</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689AEDA2"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258,641</w:t>
            </w:r>
          </w:p>
        </w:tc>
      </w:tr>
      <w:tr w:rsidR="008B006D" w14:paraId="797EF0A1" w14:textId="77777777" w:rsidTr="0098029D">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526DF10A"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161603</w:t>
            </w:r>
          </w:p>
        </w:tc>
        <w:tc>
          <w:tcPr>
            <w:tcW w:w="718" w:type="pct"/>
            <w:tcBorders>
              <w:top w:val="nil"/>
              <w:left w:val="single" w:sz="4" w:space="0" w:color="979991"/>
              <w:bottom w:val="single" w:sz="4" w:space="0" w:color="979991"/>
              <w:right w:val="nil"/>
            </w:tcBorders>
            <w:shd w:val="clear" w:color="auto" w:fill="FFFFFF"/>
            <w:vAlign w:val="center"/>
            <w:hideMark/>
          </w:tcPr>
          <w:p w14:paraId="5EC4DE3A"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7,000</w:t>
            </w:r>
          </w:p>
        </w:tc>
        <w:tc>
          <w:tcPr>
            <w:tcW w:w="495" w:type="pct"/>
            <w:tcBorders>
              <w:top w:val="nil"/>
              <w:left w:val="single" w:sz="4" w:space="0" w:color="979991"/>
              <w:bottom w:val="single" w:sz="4" w:space="0" w:color="979991"/>
              <w:right w:val="nil"/>
            </w:tcBorders>
            <w:shd w:val="clear" w:color="auto" w:fill="FFFFFF"/>
            <w:vAlign w:val="center"/>
            <w:hideMark/>
          </w:tcPr>
          <w:p w14:paraId="418E4FDB"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20,782</w:t>
            </w:r>
          </w:p>
        </w:tc>
        <w:tc>
          <w:tcPr>
            <w:tcW w:w="583" w:type="pct"/>
            <w:tcBorders>
              <w:top w:val="nil"/>
              <w:left w:val="single" w:sz="4" w:space="0" w:color="979991"/>
              <w:bottom w:val="single" w:sz="4" w:space="0" w:color="979991"/>
              <w:right w:val="nil"/>
            </w:tcBorders>
            <w:shd w:val="clear" w:color="auto" w:fill="FFFFFF"/>
            <w:vAlign w:val="center"/>
            <w:hideMark/>
          </w:tcPr>
          <w:p w14:paraId="0B9A56E9"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31,200</w:t>
            </w:r>
          </w:p>
        </w:tc>
        <w:tc>
          <w:tcPr>
            <w:tcW w:w="495" w:type="pct"/>
            <w:tcBorders>
              <w:top w:val="nil"/>
              <w:left w:val="single" w:sz="4" w:space="0" w:color="979991"/>
              <w:bottom w:val="single" w:sz="4" w:space="0" w:color="979991"/>
              <w:right w:val="nil"/>
            </w:tcBorders>
            <w:shd w:val="clear" w:color="auto" w:fill="FFFFFF"/>
            <w:vAlign w:val="center"/>
            <w:hideMark/>
          </w:tcPr>
          <w:p w14:paraId="3B04CDA9"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24,889</w:t>
            </w:r>
          </w:p>
        </w:tc>
        <w:tc>
          <w:tcPr>
            <w:tcW w:w="583" w:type="pct"/>
            <w:tcBorders>
              <w:top w:val="nil"/>
              <w:left w:val="single" w:sz="4" w:space="0" w:color="979991"/>
              <w:bottom w:val="single" w:sz="4" w:space="0" w:color="979991"/>
              <w:right w:val="nil"/>
            </w:tcBorders>
            <w:shd w:val="clear" w:color="auto" w:fill="FFFFFF"/>
            <w:vAlign w:val="center"/>
            <w:hideMark/>
          </w:tcPr>
          <w:p w14:paraId="42529BE5"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28,090</w:t>
            </w:r>
          </w:p>
        </w:tc>
        <w:tc>
          <w:tcPr>
            <w:tcW w:w="495" w:type="pct"/>
            <w:tcBorders>
              <w:top w:val="nil"/>
              <w:left w:val="single" w:sz="4" w:space="0" w:color="979991"/>
              <w:bottom w:val="single" w:sz="4" w:space="0" w:color="979991"/>
              <w:right w:val="nil"/>
            </w:tcBorders>
            <w:shd w:val="clear" w:color="auto" w:fill="FFFFFF"/>
            <w:vAlign w:val="center"/>
            <w:hideMark/>
          </w:tcPr>
          <w:p w14:paraId="76336F50"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17,729</w:t>
            </w:r>
          </w:p>
        </w:tc>
        <w:tc>
          <w:tcPr>
            <w:tcW w:w="583" w:type="pct"/>
            <w:tcBorders>
              <w:top w:val="nil"/>
              <w:left w:val="single" w:sz="4" w:space="0" w:color="979991"/>
              <w:bottom w:val="single" w:sz="4" w:space="0" w:color="979991"/>
              <w:right w:val="nil"/>
            </w:tcBorders>
            <w:shd w:val="clear" w:color="auto" w:fill="FFFFFF"/>
            <w:vAlign w:val="center"/>
            <w:hideMark/>
          </w:tcPr>
          <w:p w14:paraId="2E424913"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21,124</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3FFA1EDE"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37,248</w:t>
            </w:r>
          </w:p>
        </w:tc>
      </w:tr>
      <w:tr w:rsidR="008B006D" w14:paraId="4FB8DC8E" w14:textId="77777777" w:rsidTr="0098029D">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15E2435B"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161605</w:t>
            </w:r>
          </w:p>
        </w:tc>
        <w:tc>
          <w:tcPr>
            <w:tcW w:w="718" w:type="pct"/>
            <w:tcBorders>
              <w:top w:val="nil"/>
              <w:left w:val="single" w:sz="4" w:space="0" w:color="979991"/>
              <w:bottom w:val="single" w:sz="4" w:space="0" w:color="979991"/>
              <w:right w:val="nil"/>
            </w:tcBorders>
            <w:shd w:val="clear" w:color="auto" w:fill="FFFFFF"/>
            <w:vAlign w:val="center"/>
            <w:hideMark/>
          </w:tcPr>
          <w:p w14:paraId="243EBF12"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81,700</w:t>
            </w:r>
          </w:p>
        </w:tc>
        <w:tc>
          <w:tcPr>
            <w:tcW w:w="495" w:type="pct"/>
            <w:tcBorders>
              <w:top w:val="nil"/>
              <w:left w:val="single" w:sz="4" w:space="0" w:color="979991"/>
              <w:bottom w:val="single" w:sz="4" w:space="0" w:color="979991"/>
              <w:right w:val="nil"/>
            </w:tcBorders>
            <w:shd w:val="clear" w:color="auto" w:fill="FFFFFF"/>
            <w:vAlign w:val="center"/>
            <w:hideMark/>
          </w:tcPr>
          <w:p w14:paraId="1634D42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0</w:t>
            </w:r>
          </w:p>
        </w:tc>
        <w:tc>
          <w:tcPr>
            <w:tcW w:w="583" w:type="pct"/>
            <w:tcBorders>
              <w:top w:val="nil"/>
              <w:left w:val="single" w:sz="4" w:space="0" w:color="979991"/>
              <w:bottom w:val="single" w:sz="4" w:space="0" w:color="979991"/>
              <w:right w:val="nil"/>
            </w:tcBorders>
            <w:shd w:val="clear" w:color="auto" w:fill="FFFFFF"/>
            <w:vAlign w:val="center"/>
            <w:hideMark/>
          </w:tcPr>
          <w:p w14:paraId="03BCBCDC"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14,224</w:t>
            </w:r>
          </w:p>
        </w:tc>
        <w:tc>
          <w:tcPr>
            <w:tcW w:w="495" w:type="pct"/>
            <w:tcBorders>
              <w:top w:val="nil"/>
              <w:left w:val="single" w:sz="4" w:space="0" w:color="979991"/>
              <w:bottom w:val="single" w:sz="4" w:space="0" w:color="979991"/>
              <w:right w:val="nil"/>
            </w:tcBorders>
            <w:shd w:val="clear" w:color="auto" w:fill="FFFFFF"/>
            <w:vAlign w:val="center"/>
            <w:hideMark/>
          </w:tcPr>
          <w:p w14:paraId="7AA5F6B8"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82,965</w:t>
            </w:r>
          </w:p>
        </w:tc>
        <w:tc>
          <w:tcPr>
            <w:tcW w:w="583" w:type="pct"/>
            <w:tcBorders>
              <w:top w:val="nil"/>
              <w:left w:val="single" w:sz="4" w:space="0" w:color="979991"/>
              <w:bottom w:val="single" w:sz="4" w:space="0" w:color="979991"/>
              <w:right w:val="nil"/>
            </w:tcBorders>
            <w:shd w:val="clear" w:color="auto" w:fill="FFFFFF"/>
            <w:vAlign w:val="center"/>
            <w:hideMark/>
          </w:tcPr>
          <w:p w14:paraId="4BF6F6E4"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40,946</w:t>
            </w:r>
          </w:p>
        </w:tc>
        <w:tc>
          <w:tcPr>
            <w:tcW w:w="495" w:type="pct"/>
            <w:tcBorders>
              <w:top w:val="nil"/>
              <w:left w:val="single" w:sz="4" w:space="0" w:color="979991"/>
              <w:bottom w:val="single" w:sz="4" w:space="0" w:color="979991"/>
              <w:right w:val="nil"/>
            </w:tcBorders>
            <w:shd w:val="clear" w:color="auto" w:fill="FFFFFF"/>
            <w:vAlign w:val="center"/>
            <w:hideMark/>
          </w:tcPr>
          <w:p w14:paraId="5C6A6104"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156,167</w:t>
            </w:r>
          </w:p>
        </w:tc>
        <w:tc>
          <w:tcPr>
            <w:tcW w:w="583" w:type="pct"/>
            <w:tcBorders>
              <w:top w:val="nil"/>
              <w:left w:val="single" w:sz="4" w:space="0" w:color="979991"/>
              <w:bottom w:val="single" w:sz="4" w:space="0" w:color="979991"/>
              <w:right w:val="nil"/>
            </w:tcBorders>
            <w:shd w:val="clear" w:color="auto" w:fill="FFFFFF"/>
            <w:vAlign w:val="center"/>
            <w:hideMark/>
          </w:tcPr>
          <w:p w14:paraId="7818CEA3"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69,351</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6ABC2A8A"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70,756</w:t>
            </w:r>
          </w:p>
        </w:tc>
      </w:tr>
      <w:tr w:rsidR="008B006D" w14:paraId="63E76FAB" w14:textId="77777777" w:rsidTr="0098029D">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01F2070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161703</w:t>
            </w:r>
          </w:p>
        </w:tc>
        <w:tc>
          <w:tcPr>
            <w:tcW w:w="718" w:type="pct"/>
            <w:tcBorders>
              <w:top w:val="nil"/>
              <w:left w:val="single" w:sz="4" w:space="0" w:color="979991"/>
              <w:bottom w:val="single" w:sz="4" w:space="0" w:color="979991"/>
              <w:right w:val="nil"/>
            </w:tcBorders>
            <w:shd w:val="clear" w:color="auto" w:fill="FFFFFF"/>
            <w:vAlign w:val="center"/>
            <w:hideMark/>
          </w:tcPr>
          <w:p w14:paraId="3D058B43"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3,000</w:t>
            </w:r>
          </w:p>
        </w:tc>
        <w:tc>
          <w:tcPr>
            <w:tcW w:w="495" w:type="pct"/>
            <w:tcBorders>
              <w:top w:val="nil"/>
              <w:left w:val="single" w:sz="4" w:space="0" w:color="979991"/>
              <w:bottom w:val="single" w:sz="4" w:space="0" w:color="979991"/>
              <w:right w:val="nil"/>
            </w:tcBorders>
            <w:shd w:val="clear" w:color="auto" w:fill="FFFFFF"/>
            <w:vAlign w:val="center"/>
            <w:hideMark/>
          </w:tcPr>
          <w:p w14:paraId="18BC67C1"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119,239</w:t>
            </w:r>
          </w:p>
        </w:tc>
        <w:tc>
          <w:tcPr>
            <w:tcW w:w="583" w:type="pct"/>
            <w:tcBorders>
              <w:top w:val="nil"/>
              <w:left w:val="single" w:sz="4" w:space="0" w:color="979991"/>
              <w:bottom w:val="single" w:sz="4" w:space="0" w:color="979991"/>
              <w:right w:val="nil"/>
            </w:tcBorders>
            <w:shd w:val="clear" w:color="auto" w:fill="FFFFFF"/>
            <w:vAlign w:val="center"/>
            <w:hideMark/>
          </w:tcPr>
          <w:p w14:paraId="0EE51C80"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61,854</w:t>
            </w:r>
          </w:p>
        </w:tc>
        <w:tc>
          <w:tcPr>
            <w:tcW w:w="495" w:type="pct"/>
            <w:tcBorders>
              <w:top w:val="nil"/>
              <w:left w:val="single" w:sz="4" w:space="0" w:color="979991"/>
              <w:bottom w:val="single" w:sz="4" w:space="0" w:color="979991"/>
              <w:right w:val="nil"/>
            </w:tcBorders>
            <w:shd w:val="clear" w:color="auto" w:fill="FFFFFF"/>
            <w:vAlign w:val="center"/>
            <w:hideMark/>
          </w:tcPr>
          <w:p w14:paraId="0683159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80,340</w:t>
            </w:r>
          </w:p>
        </w:tc>
        <w:tc>
          <w:tcPr>
            <w:tcW w:w="583" w:type="pct"/>
            <w:tcBorders>
              <w:top w:val="nil"/>
              <w:left w:val="single" w:sz="4" w:space="0" w:color="979991"/>
              <w:bottom w:val="single" w:sz="4" w:space="0" w:color="979991"/>
              <w:right w:val="nil"/>
            </w:tcBorders>
            <w:shd w:val="clear" w:color="auto" w:fill="FFFFFF"/>
            <w:vAlign w:val="center"/>
            <w:hideMark/>
          </w:tcPr>
          <w:p w14:paraId="6DE1344C"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66,683</w:t>
            </w:r>
          </w:p>
        </w:tc>
        <w:tc>
          <w:tcPr>
            <w:tcW w:w="495" w:type="pct"/>
            <w:tcBorders>
              <w:top w:val="nil"/>
              <w:left w:val="single" w:sz="4" w:space="0" w:color="979991"/>
              <w:bottom w:val="single" w:sz="4" w:space="0" w:color="979991"/>
              <w:right w:val="nil"/>
            </w:tcBorders>
            <w:shd w:val="clear" w:color="auto" w:fill="FFFFFF"/>
            <w:vAlign w:val="center"/>
            <w:hideMark/>
          </w:tcPr>
          <w:p w14:paraId="73A04902"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81,773</w:t>
            </w:r>
          </w:p>
        </w:tc>
        <w:tc>
          <w:tcPr>
            <w:tcW w:w="583" w:type="pct"/>
            <w:tcBorders>
              <w:top w:val="nil"/>
              <w:left w:val="single" w:sz="4" w:space="0" w:color="979991"/>
              <w:bottom w:val="single" w:sz="4" w:space="0" w:color="979991"/>
              <w:right w:val="nil"/>
            </w:tcBorders>
            <w:shd w:val="clear" w:color="auto" w:fill="FFFFFF"/>
            <w:vAlign w:val="center"/>
            <w:hideMark/>
          </w:tcPr>
          <w:p w14:paraId="671DC63D"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73,042</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7C4AFD61"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80,800</w:t>
            </w:r>
          </w:p>
        </w:tc>
      </w:tr>
    </w:tbl>
    <w:p w14:paraId="40B3CFA8" w14:textId="77777777" w:rsidR="008B006D" w:rsidRDefault="008B006D" w:rsidP="008B006D">
      <w:pPr>
        <w:contextualSpacing/>
        <w:rPr>
          <w:rFonts w:ascii="FrankRuehl" w:eastAsia="Calibri" w:hAnsi="FrankRuehl" w:cs="FrankRuehl"/>
          <w:b/>
          <w:bCs/>
          <w:sz w:val="26"/>
          <w:szCs w:val="26"/>
        </w:rPr>
      </w:pPr>
    </w:p>
    <w:p w14:paraId="4D324662" w14:textId="77777777" w:rsidR="008B006D" w:rsidRDefault="008B006D" w:rsidP="008B006D">
      <w:pPr>
        <w:contextualSpacing/>
        <w:jc w:val="center"/>
        <w:rPr>
          <w:rFonts w:ascii="FrankRuehl" w:hAnsi="FrankRuehl" w:cs="FrankRuehl"/>
          <w:b/>
          <w:bCs/>
          <w:sz w:val="26"/>
          <w:szCs w:val="26"/>
          <w:rtl/>
        </w:rPr>
      </w:pPr>
      <w:r>
        <w:rPr>
          <w:rFonts w:ascii="FrankRuehl" w:hAnsi="FrankRuehl" w:cs="FrankRuehl" w:hint="cs"/>
          <w:b/>
          <w:bCs/>
          <w:sz w:val="26"/>
          <w:szCs w:val="26"/>
          <w:rtl/>
        </w:rPr>
        <w:t>היסטוריה תקציבית של הפנייה – הרשאה להתחייב</w:t>
      </w:r>
    </w:p>
    <w:tbl>
      <w:tblPr>
        <w:bidiVisual/>
        <w:tblW w:w="5000" w:type="pct"/>
        <w:tblLook w:val="04A0" w:firstRow="1" w:lastRow="0" w:firstColumn="1" w:lastColumn="0" w:noHBand="0" w:noVBand="1"/>
      </w:tblPr>
      <w:tblGrid>
        <w:gridCol w:w="1064"/>
        <w:gridCol w:w="1064"/>
        <w:gridCol w:w="926"/>
        <w:gridCol w:w="926"/>
        <w:gridCol w:w="926"/>
        <w:gridCol w:w="926"/>
        <w:gridCol w:w="926"/>
        <w:gridCol w:w="926"/>
        <w:gridCol w:w="839"/>
      </w:tblGrid>
      <w:tr w:rsidR="008B006D" w14:paraId="0999FCC8" w14:textId="77777777" w:rsidTr="0098029D">
        <w:trPr>
          <w:trHeight w:val="420"/>
        </w:trPr>
        <w:tc>
          <w:tcPr>
            <w:tcW w:w="625" w:type="pct"/>
            <w:tcBorders>
              <w:top w:val="single" w:sz="4" w:space="0" w:color="979991"/>
              <w:left w:val="single" w:sz="4" w:space="0" w:color="979991"/>
              <w:bottom w:val="nil"/>
              <w:right w:val="nil"/>
            </w:tcBorders>
            <w:shd w:val="clear" w:color="auto" w:fill="F0F4FA"/>
            <w:vAlign w:val="center"/>
            <w:hideMark/>
          </w:tcPr>
          <w:p w14:paraId="1CC2FC17"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7F4DB3B3" w14:textId="77777777" w:rsidR="008B006D" w:rsidRDefault="008B006D" w:rsidP="0098029D">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62F3E6D1"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1EAC574"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66A5D1B3"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026AA2B6"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FF0DC0F"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66371147"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492"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699EBBDD" w14:textId="77777777" w:rsidR="008B006D" w:rsidRDefault="008B006D" w:rsidP="0098029D">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8B006D" w14:paraId="6609D165" w14:textId="77777777" w:rsidTr="0098029D">
        <w:trPr>
          <w:trHeight w:val="290"/>
        </w:trPr>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738342EB" w14:textId="77777777" w:rsidR="008B006D" w:rsidRDefault="008B006D" w:rsidP="0098029D">
            <w:pPr>
              <w:bidi w:val="0"/>
              <w:jc w:val="center"/>
              <w:rPr>
                <w:rFonts w:ascii="Calibri" w:hAnsi="Calibri" w:cs="Calibri"/>
                <w:color w:val="000000"/>
                <w:sz w:val="16"/>
                <w:szCs w:val="16"/>
                <w:rtl/>
              </w:rPr>
            </w:pPr>
            <w:r>
              <w:rPr>
                <w:rFonts w:ascii="Calibri" w:hAnsi="Calibri" w:cs="Calibri"/>
                <w:color w:val="000000"/>
                <w:sz w:val="16"/>
                <w:szCs w:val="16"/>
              </w:rPr>
              <w:t>161303</w:t>
            </w:r>
          </w:p>
        </w:tc>
        <w:tc>
          <w:tcPr>
            <w:tcW w:w="625" w:type="pct"/>
            <w:tcBorders>
              <w:top w:val="nil"/>
              <w:left w:val="single" w:sz="4" w:space="0" w:color="979991"/>
              <w:bottom w:val="single" w:sz="4" w:space="0" w:color="979991"/>
              <w:right w:val="nil"/>
            </w:tcBorders>
            <w:shd w:val="clear" w:color="auto" w:fill="FFFFFF"/>
            <w:vAlign w:val="center"/>
            <w:hideMark/>
          </w:tcPr>
          <w:p w14:paraId="0DAB2F67" w14:textId="77777777" w:rsidR="008B006D" w:rsidRDefault="008B006D" w:rsidP="0098029D">
            <w:pPr>
              <w:bidi w:val="0"/>
              <w:jc w:val="center"/>
              <w:rPr>
                <w:rFonts w:ascii="Calibri" w:hAnsi="Calibri" w:cs="Calibri"/>
                <w:color w:val="000000"/>
                <w:sz w:val="16"/>
                <w:szCs w:val="16"/>
                <w:rtl/>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7B4649F9"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40,000</w:t>
            </w:r>
          </w:p>
        </w:tc>
        <w:tc>
          <w:tcPr>
            <w:tcW w:w="543" w:type="pct"/>
            <w:tcBorders>
              <w:top w:val="nil"/>
              <w:left w:val="single" w:sz="4" w:space="0" w:color="979991"/>
              <w:bottom w:val="single" w:sz="4" w:space="0" w:color="979991"/>
              <w:right w:val="nil"/>
            </w:tcBorders>
            <w:shd w:val="clear" w:color="auto" w:fill="FFFFFF"/>
            <w:vAlign w:val="center"/>
            <w:hideMark/>
          </w:tcPr>
          <w:p w14:paraId="5290C134"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14,000</w:t>
            </w:r>
          </w:p>
        </w:tc>
        <w:tc>
          <w:tcPr>
            <w:tcW w:w="543" w:type="pct"/>
            <w:tcBorders>
              <w:top w:val="nil"/>
              <w:left w:val="single" w:sz="4" w:space="0" w:color="979991"/>
              <w:bottom w:val="single" w:sz="4" w:space="0" w:color="979991"/>
              <w:right w:val="nil"/>
            </w:tcBorders>
            <w:shd w:val="clear" w:color="auto" w:fill="FFFFFF"/>
            <w:vAlign w:val="center"/>
            <w:hideMark/>
          </w:tcPr>
          <w:p w14:paraId="1650C986"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50,000</w:t>
            </w:r>
          </w:p>
        </w:tc>
        <w:tc>
          <w:tcPr>
            <w:tcW w:w="543" w:type="pct"/>
            <w:tcBorders>
              <w:top w:val="nil"/>
              <w:left w:val="single" w:sz="4" w:space="0" w:color="979991"/>
              <w:bottom w:val="single" w:sz="4" w:space="0" w:color="979991"/>
              <w:right w:val="nil"/>
            </w:tcBorders>
            <w:shd w:val="clear" w:color="auto" w:fill="FFFFFF"/>
            <w:vAlign w:val="center"/>
            <w:hideMark/>
          </w:tcPr>
          <w:p w14:paraId="344FE728"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110,000</w:t>
            </w:r>
          </w:p>
        </w:tc>
        <w:tc>
          <w:tcPr>
            <w:tcW w:w="543" w:type="pct"/>
            <w:tcBorders>
              <w:top w:val="nil"/>
              <w:left w:val="single" w:sz="4" w:space="0" w:color="979991"/>
              <w:bottom w:val="single" w:sz="4" w:space="0" w:color="979991"/>
              <w:right w:val="nil"/>
            </w:tcBorders>
            <w:shd w:val="clear" w:color="auto" w:fill="FFFFFF"/>
            <w:vAlign w:val="center"/>
            <w:hideMark/>
          </w:tcPr>
          <w:p w14:paraId="7863BC53"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103,560</w:t>
            </w:r>
          </w:p>
        </w:tc>
        <w:tc>
          <w:tcPr>
            <w:tcW w:w="543" w:type="pct"/>
            <w:tcBorders>
              <w:top w:val="nil"/>
              <w:left w:val="single" w:sz="4" w:space="0" w:color="979991"/>
              <w:bottom w:val="single" w:sz="4" w:space="0" w:color="979991"/>
              <w:right w:val="nil"/>
            </w:tcBorders>
            <w:shd w:val="clear" w:color="auto" w:fill="FFFFFF"/>
            <w:vAlign w:val="center"/>
            <w:hideMark/>
          </w:tcPr>
          <w:p w14:paraId="253CB158"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21,200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246C33BE"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21,200</w:t>
            </w:r>
          </w:p>
        </w:tc>
      </w:tr>
      <w:tr w:rsidR="008B006D" w14:paraId="29D4A99A" w14:textId="77777777" w:rsidTr="0098029D">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21B2F393"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161602</w:t>
            </w:r>
          </w:p>
        </w:tc>
        <w:tc>
          <w:tcPr>
            <w:tcW w:w="625" w:type="pct"/>
            <w:tcBorders>
              <w:top w:val="nil"/>
              <w:left w:val="single" w:sz="4" w:space="0" w:color="979991"/>
              <w:bottom w:val="single" w:sz="4" w:space="0" w:color="979991"/>
              <w:right w:val="nil"/>
            </w:tcBorders>
            <w:shd w:val="clear" w:color="auto" w:fill="FFFFFF"/>
            <w:vAlign w:val="center"/>
            <w:hideMark/>
          </w:tcPr>
          <w:p w14:paraId="693706B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411,100</w:t>
            </w:r>
          </w:p>
        </w:tc>
        <w:tc>
          <w:tcPr>
            <w:tcW w:w="543" w:type="pct"/>
            <w:tcBorders>
              <w:top w:val="nil"/>
              <w:left w:val="single" w:sz="4" w:space="0" w:color="979991"/>
              <w:bottom w:val="single" w:sz="4" w:space="0" w:color="979991"/>
              <w:right w:val="nil"/>
            </w:tcBorders>
            <w:shd w:val="clear" w:color="auto" w:fill="FFFFFF"/>
            <w:vAlign w:val="center"/>
            <w:hideMark/>
          </w:tcPr>
          <w:p w14:paraId="7F0ABE00"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332,500</w:t>
            </w:r>
          </w:p>
        </w:tc>
        <w:tc>
          <w:tcPr>
            <w:tcW w:w="543" w:type="pct"/>
            <w:tcBorders>
              <w:top w:val="nil"/>
              <w:left w:val="single" w:sz="4" w:space="0" w:color="979991"/>
              <w:bottom w:val="single" w:sz="4" w:space="0" w:color="979991"/>
              <w:right w:val="nil"/>
            </w:tcBorders>
            <w:shd w:val="clear" w:color="auto" w:fill="FFFFFF"/>
            <w:vAlign w:val="center"/>
            <w:hideMark/>
          </w:tcPr>
          <w:p w14:paraId="5A28066D"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687,660</w:t>
            </w:r>
          </w:p>
        </w:tc>
        <w:tc>
          <w:tcPr>
            <w:tcW w:w="543" w:type="pct"/>
            <w:tcBorders>
              <w:top w:val="nil"/>
              <w:left w:val="single" w:sz="4" w:space="0" w:color="979991"/>
              <w:bottom w:val="single" w:sz="4" w:space="0" w:color="979991"/>
              <w:right w:val="nil"/>
            </w:tcBorders>
            <w:shd w:val="clear" w:color="auto" w:fill="FFFFFF"/>
            <w:vAlign w:val="center"/>
            <w:hideMark/>
          </w:tcPr>
          <w:p w14:paraId="4C8B6A53"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661,360</w:t>
            </w:r>
          </w:p>
        </w:tc>
        <w:tc>
          <w:tcPr>
            <w:tcW w:w="543" w:type="pct"/>
            <w:tcBorders>
              <w:top w:val="nil"/>
              <w:left w:val="single" w:sz="4" w:space="0" w:color="979991"/>
              <w:bottom w:val="single" w:sz="4" w:space="0" w:color="979991"/>
              <w:right w:val="nil"/>
            </w:tcBorders>
            <w:shd w:val="clear" w:color="auto" w:fill="FFFFFF"/>
            <w:vAlign w:val="center"/>
            <w:hideMark/>
          </w:tcPr>
          <w:p w14:paraId="1B7ACD1E"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1,775,371</w:t>
            </w:r>
          </w:p>
        </w:tc>
        <w:tc>
          <w:tcPr>
            <w:tcW w:w="543" w:type="pct"/>
            <w:tcBorders>
              <w:top w:val="nil"/>
              <w:left w:val="single" w:sz="4" w:space="0" w:color="979991"/>
              <w:bottom w:val="single" w:sz="4" w:space="0" w:color="979991"/>
              <w:right w:val="nil"/>
            </w:tcBorders>
            <w:shd w:val="clear" w:color="auto" w:fill="FFFFFF"/>
            <w:vAlign w:val="center"/>
            <w:hideMark/>
          </w:tcPr>
          <w:p w14:paraId="511BBF01"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1,775,371</w:t>
            </w:r>
          </w:p>
        </w:tc>
        <w:tc>
          <w:tcPr>
            <w:tcW w:w="543" w:type="pct"/>
            <w:tcBorders>
              <w:top w:val="nil"/>
              <w:left w:val="single" w:sz="4" w:space="0" w:color="979991"/>
              <w:bottom w:val="single" w:sz="4" w:space="0" w:color="979991"/>
              <w:right w:val="nil"/>
            </w:tcBorders>
            <w:shd w:val="clear" w:color="auto" w:fill="FFFFFF"/>
            <w:vAlign w:val="center"/>
            <w:hideMark/>
          </w:tcPr>
          <w:p w14:paraId="307B71AA"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364,800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0AC45A9B"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193,800</w:t>
            </w:r>
          </w:p>
        </w:tc>
      </w:tr>
      <w:tr w:rsidR="008B006D" w14:paraId="001052BC" w14:textId="77777777" w:rsidTr="0098029D">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5E7B42C0"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161603</w:t>
            </w:r>
          </w:p>
        </w:tc>
        <w:tc>
          <w:tcPr>
            <w:tcW w:w="625" w:type="pct"/>
            <w:tcBorders>
              <w:top w:val="nil"/>
              <w:left w:val="single" w:sz="4" w:space="0" w:color="979991"/>
              <w:bottom w:val="single" w:sz="4" w:space="0" w:color="979991"/>
              <w:right w:val="nil"/>
            </w:tcBorders>
            <w:shd w:val="clear" w:color="auto" w:fill="FFFFFF"/>
            <w:vAlign w:val="center"/>
            <w:hideMark/>
          </w:tcPr>
          <w:p w14:paraId="39BC965E"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12E16D17"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110,000</w:t>
            </w:r>
          </w:p>
        </w:tc>
        <w:tc>
          <w:tcPr>
            <w:tcW w:w="543" w:type="pct"/>
            <w:tcBorders>
              <w:top w:val="nil"/>
              <w:left w:val="single" w:sz="4" w:space="0" w:color="979991"/>
              <w:bottom w:val="single" w:sz="4" w:space="0" w:color="979991"/>
              <w:right w:val="nil"/>
            </w:tcBorders>
            <w:shd w:val="clear" w:color="auto" w:fill="FFFFFF"/>
            <w:vAlign w:val="center"/>
            <w:hideMark/>
          </w:tcPr>
          <w:p w14:paraId="6D22D622"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50,687</w:t>
            </w:r>
          </w:p>
        </w:tc>
        <w:tc>
          <w:tcPr>
            <w:tcW w:w="543" w:type="pct"/>
            <w:tcBorders>
              <w:top w:val="nil"/>
              <w:left w:val="single" w:sz="4" w:space="0" w:color="979991"/>
              <w:bottom w:val="single" w:sz="4" w:space="0" w:color="979991"/>
              <w:right w:val="nil"/>
            </w:tcBorders>
            <w:shd w:val="clear" w:color="auto" w:fill="FFFFFF"/>
            <w:vAlign w:val="center"/>
            <w:hideMark/>
          </w:tcPr>
          <w:p w14:paraId="6C7DBAD4"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10,000</w:t>
            </w:r>
          </w:p>
        </w:tc>
        <w:tc>
          <w:tcPr>
            <w:tcW w:w="543" w:type="pct"/>
            <w:tcBorders>
              <w:top w:val="nil"/>
              <w:left w:val="single" w:sz="4" w:space="0" w:color="979991"/>
              <w:bottom w:val="single" w:sz="4" w:space="0" w:color="979991"/>
              <w:right w:val="nil"/>
            </w:tcBorders>
            <w:shd w:val="clear" w:color="auto" w:fill="FFFFFF"/>
            <w:vAlign w:val="center"/>
            <w:hideMark/>
          </w:tcPr>
          <w:p w14:paraId="2E75472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13,303</w:t>
            </w:r>
          </w:p>
        </w:tc>
        <w:tc>
          <w:tcPr>
            <w:tcW w:w="543" w:type="pct"/>
            <w:tcBorders>
              <w:top w:val="nil"/>
              <w:left w:val="single" w:sz="4" w:space="0" w:color="979991"/>
              <w:bottom w:val="single" w:sz="4" w:space="0" w:color="979991"/>
              <w:right w:val="nil"/>
            </w:tcBorders>
            <w:shd w:val="clear" w:color="auto" w:fill="FFFFFF"/>
            <w:vAlign w:val="center"/>
            <w:hideMark/>
          </w:tcPr>
          <w:p w14:paraId="6438ACC4"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9,863</w:t>
            </w:r>
          </w:p>
        </w:tc>
        <w:tc>
          <w:tcPr>
            <w:tcW w:w="543" w:type="pct"/>
            <w:tcBorders>
              <w:top w:val="nil"/>
              <w:left w:val="single" w:sz="4" w:space="0" w:color="979991"/>
              <w:bottom w:val="single" w:sz="4" w:space="0" w:color="979991"/>
              <w:right w:val="nil"/>
            </w:tcBorders>
            <w:shd w:val="clear" w:color="auto" w:fill="FFFFFF"/>
            <w:vAlign w:val="center"/>
            <w:hideMark/>
          </w:tcPr>
          <w:p w14:paraId="6D48BB1C"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10,500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1A3F0E32"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10,000</w:t>
            </w:r>
          </w:p>
        </w:tc>
      </w:tr>
      <w:tr w:rsidR="008B006D" w14:paraId="77847934" w14:textId="77777777" w:rsidTr="0098029D">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0D429D1D"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161605</w:t>
            </w:r>
          </w:p>
        </w:tc>
        <w:tc>
          <w:tcPr>
            <w:tcW w:w="625" w:type="pct"/>
            <w:tcBorders>
              <w:top w:val="nil"/>
              <w:left w:val="single" w:sz="4" w:space="0" w:color="979991"/>
              <w:bottom w:val="single" w:sz="4" w:space="0" w:color="979991"/>
              <w:right w:val="nil"/>
            </w:tcBorders>
            <w:shd w:val="clear" w:color="auto" w:fill="FFFFFF"/>
            <w:vAlign w:val="center"/>
            <w:hideMark/>
          </w:tcPr>
          <w:p w14:paraId="4F921875"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24,000</w:t>
            </w:r>
          </w:p>
        </w:tc>
        <w:tc>
          <w:tcPr>
            <w:tcW w:w="543" w:type="pct"/>
            <w:tcBorders>
              <w:top w:val="nil"/>
              <w:left w:val="single" w:sz="4" w:space="0" w:color="979991"/>
              <w:bottom w:val="single" w:sz="4" w:space="0" w:color="979991"/>
              <w:right w:val="nil"/>
            </w:tcBorders>
            <w:shd w:val="clear" w:color="auto" w:fill="FFFFFF"/>
            <w:vAlign w:val="center"/>
            <w:hideMark/>
          </w:tcPr>
          <w:p w14:paraId="32C12D78"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520,000</w:t>
            </w:r>
          </w:p>
        </w:tc>
        <w:tc>
          <w:tcPr>
            <w:tcW w:w="543" w:type="pct"/>
            <w:tcBorders>
              <w:top w:val="nil"/>
              <w:left w:val="single" w:sz="4" w:space="0" w:color="979991"/>
              <w:bottom w:val="single" w:sz="4" w:space="0" w:color="979991"/>
              <w:right w:val="nil"/>
            </w:tcBorders>
            <w:shd w:val="clear" w:color="auto" w:fill="FFFFFF"/>
            <w:vAlign w:val="center"/>
            <w:hideMark/>
          </w:tcPr>
          <w:p w14:paraId="37FA2A9D"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1,236,100</w:t>
            </w:r>
          </w:p>
        </w:tc>
        <w:tc>
          <w:tcPr>
            <w:tcW w:w="543" w:type="pct"/>
            <w:tcBorders>
              <w:top w:val="nil"/>
              <w:left w:val="single" w:sz="4" w:space="0" w:color="979991"/>
              <w:bottom w:val="single" w:sz="4" w:space="0" w:color="979991"/>
              <w:right w:val="nil"/>
            </w:tcBorders>
            <w:shd w:val="clear" w:color="auto" w:fill="FFFFFF"/>
            <w:vAlign w:val="center"/>
            <w:hideMark/>
          </w:tcPr>
          <w:p w14:paraId="13419098"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1,254,000</w:t>
            </w:r>
          </w:p>
        </w:tc>
        <w:tc>
          <w:tcPr>
            <w:tcW w:w="543" w:type="pct"/>
            <w:tcBorders>
              <w:top w:val="nil"/>
              <w:left w:val="single" w:sz="4" w:space="0" w:color="979991"/>
              <w:bottom w:val="single" w:sz="4" w:space="0" w:color="979991"/>
              <w:right w:val="nil"/>
            </w:tcBorders>
            <w:shd w:val="clear" w:color="auto" w:fill="FFFFFF"/>
            <w:vAlign w:val="center"/>
            <w:hideMark/>
          </w:tcPr>
          <w:p w14:paraId="5554DC9A"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1,098,628</w:t>
            </w:r>
          </w:p>
        </w:tc>
        <w:tc>
          <w:tcPr>
            <w:tcW w:w="543" w:type="pct"/>
            <w:tcBorders>
              <w:top w:val="nil"/>
              <w:left w:val="single" w:sz="4" w:space="0" w:color="979991"/>
              <w:bottom w:val="single" w:sz="4" w:space="0" w:color="979991"/>
              <w:right w:val="nil"/>
            </w:tcBorders>
            <w:shd w:val="clear" w:color="auto" w:fill="FFFFFF"/>
            <w:vAlign w:val="center"/>
            <w:hideMark/>
          </w:tcPr>
          <w:p w14:paraId="339FE16E"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1,098,628</w:t>
            </w:r>
          </w:p>
        </w:tc>
        <w:tc>
          <w:tcPr>
            <w:tcW w:w="543" w:type="pct"/>
            <w:tcBorders>
              <w:top w:val="nil"/>
              <w:left w:val="single" w:sz="4" w:space="0" w:color="979991"/>
              <w:bottom w:val="single" w:sz="4" w:space="0" w:color="979991"/>
              <w:right w:val="nil"/>
            </w:tcBorders>
            <w:shd w:val="clear" w:color="auto" w:fill="FFFFFF"/>
            <w:vAlign w:val="center"/>
            <w:hideMark/>
          </w:tcPr>
          <w:p w14:paraId="1797F881"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110,000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3C25218A"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100,000</w:t>
            </w:r>
          </w:p>
        </w:tc>
      </w:tr>
      <w:tr w:rsidR="008B006D" w14:paraId="7553C2B4" w14:textId="77777777" w:rsidTr="0098029D">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302ACA6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161703</w:t>
            </w:r>
          </w:p>
        </w:tc>
        <w:tc>
          <w:tcPr>
            <w:tcW w:w="625" w:type="pct"/>
            <w:tcBorders>
              <w:top w:val="nil"/>
              <w:left w:val="single" w:sz="4" w:space="0" w:color="979991"/>
              <w:bottom w:val="single" w:sz="4" w:space="0" w:color="979991"/>
              <w:right w:val="nil"/>
            </w:tcBorders>
            <w:shd w:val="clear" w:color="auto" w:fill="FFFFFF"/>
            <w:vAlign w:val="center"/>
            <w:hideMark/>
          </w:tcPr>
          <w:p w14:paraId="74A4D89E"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73170C7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40,000</w:t>
            </w:r>
          </w:p>
        </w:tc>
        <w:tc>
          <w:tcPr>
            <w:tcW w:w="543" w:type="pct"/>
            <w:tcBorders>
              <w:top w:val="nil"/>
              <w:left w:val="single" w:sz="4" w:space="0" w:color="979991"/>
              <w:bottom w:val="single" w:sz="4" w:space="0" w:color="979991"/>
              <w:right w:val="nil"/>
            </w:tcBorders>
            <w:shd w:val="clear" w:color="auto" w:fill="FFFFFF"/>
            <w:vAlign w:val="center"/>
            <w:hideMark/>
          </w:tcPr>
          <w:p w14:paraId="564761F1"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7,713</w:t>
            </w:r>
          </w:p>
        </w:tc>
        <w:tc>
          <w:tcPr>
            <w:tcW w:w="543" w:type="pct"/>
            <w:tcBorders>
              <w:top w:val="nil"/>
              <w:left w:val="single" w:sz="4" w:space="0" w:color="979991"/>
              <w:bottom w:val="single" w:sz="4" w:space="0" w:color="979991"/>
              <w:right w:val="nil"/>
            </w:tcBorders>
            <w:shd w:val="clear" w:color="auto" w:fill="FFFFFF"/>
            <w:vAlign w:val="center"/>
            <w:hideMark/>
          </w:tcPr>
          <w:p w14:paraId="0B85337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29,640</w:t>
            </w:r>
          </w:p>
        </w:tc>
        <w:tc>
          <w:tcPr>
            <w:tcW w:w="543" w:type="pct"/>
            <w:tcBorders>
              <w:top w:val="nil"/>
              <w:left w:val="single" w:sz="4" w:space="0" w:color="979991"/>
              <w:bottom w:val="single" w:sz="4" w:space="0" w:color="979991"/>
              <w:right w:val="nil"/>
            </w:tcBorders>
            <w:shd w:val="clear" w:color="auto" w:fill="FFFFFF"/>
            <w:vAlign w:val="center"/>
            <w:hideMark/>
          </w:tcPr>
          <w:p w14:paraId="1015338E"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24,640</w:t>
            </w:r>
          </w:p>
        </w:tc>
        <w:tc>
          <w:tcPr>
            <w:tcW w:w="543" w:type="pct"/>
            <w:tcBorders>
              <w:top w:val="nil"/>
              <w:left w:val="single" w:sz="4" w:space="0" w:color="979991"/>
              <w:bottom w:val="single" w:sz="4" w:space="0" w:color="979991"/>
              <w:right w:val="nil"/>
            </w:tcBorders>
            <w:shd w:val="clear" w:color="auto" w:fill="FFFFFF"/>
            <w:vAlign w:val="center"/>
            <w:hideMark/>
          </w:tcPr>
          <w:p w14:paraId="18678CB4"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34,520</w:t>
            </w:r>
          </w:p>
        </w:tc>
        <w:tc>
          <w:tcPr>
            <w:tcW w:w="543" w:type="pct"/>
            <w:tcBorders>
              <w:top w:val="nil"/>
              <w:left w:val="single" w:sz="4" w:space="0" w:color="979991"/>
              <w:bottom w:val="single" w:sz="4" w:space="0" w:color="979991"/>
              <w:right w:val="nil"/>
            </w:tcBorders>
            <w:shd w:val="clear" w:color="auto" w:fill="FFFFFF"/>
            <w:vAlign w:val="center"/>
            <w:hideMark/>
          </w:tcPr>
          <w:p w14:paraId="578D9F1E"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24,500</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6F1E37E8"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35,000</w:t>
            </w:r>
          </w:p>
        </w:tc>
      </w:tr>
      <w:tr w:rsidR="008B006D" w14:paraId="7B21BE18" w14:textId="77777777" w:rsidTr="0098029D">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2961644F"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161704</w:t>
            </w:r>
          </w:p>
        </w:tc>
        <w:tc>
          <w:tcPr>
            <w:tcW w:w="625" w:type="pct"/>
            <w:tcBorders>
              <w:top w:val="nil"/>
              <w:left w:val="single" w:sz="4" w:space="0" w:color="979991"/>
              <w:bottom w:val="single" w:sz="4" w:space="0" w:color="979991"/>
              <w:right w:val="nil"/>
            </w:tcBorders>
            <w:shd w:val="clear" w:color="auto" w:fill="FFFFFF"/>
            <w:vAlign w:val="center"/>
            <w:hideMark/>
          </w:tcPr>
          <w:p w14:paraId="1851FA5A"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Pr>
              <w:t>62,000</w:t>
            </w:r>
          </w:p>
        </w:tc>
        <w:tc>
          <w:tcPr>
            <w:tcW w:w="3749" w:type="pct"/>
            <w:gridSpan w:val="7"/>
            <w:tcBorders>
              <w:top w:val="nil"/>
              <w:left w:val="single" w:sz="4" w:space="0" w:color="979991"/>
              <w:bottom w:val="single" w:sz="4" w:space="0" w:color="979991"/>
              <w:right w:val="single" w:sz="4" w:space="0" w:color="979991"/>
            </w:tcBorders>
            <w:shd w:val="clear" w:color="auto" w:fill="FFFFFF"/>
            <w:vAlign w:val="center"/>
            <w:hideMark/>
          </w:tcPr>
          <w:p w14:paraId="1BFE0565" w14:textId="77777777" w:rsidR="008B006D" w:rsidRDefault="008B006D" w:rsidP="0098029D">
            <w:pPr>
              <w:bidi w:val="0"/>
              <w:jc w:val="center"/>
              <w:rPr>
                <w:rFonts w:ascii="Calibri" w:hAnsi="Calibri" w:cs="Calibri"/>
                <w:color w:val="000000"/>
                <w:sz w:val="16"/>
                <w:szCs w:val="16"/>
              </w:rPr>
            </w:pPr>
            <w:r>
              <w:rPr>
                <w:rFonts w:ascii="Calibri" w:hAnsi="Calibri" w:cs="Calibri"/>
                <w:color w:val="000000"/>
                <w:sz w:val="16"/>
                <w:szCs w:val="16"/>
                <w:rtl/>
              </w:rPr>
              <w:t>תוכנית חדשה</w:t>
            </w:r>
          </w:p>
        </w:tc>
      </w:tr>
    </w:tbl>
    <w:p w14:paraId="588686B8" w14:textId="77777777" w:rsidR="008B006D" w:rsidRPr="002E1D22" w:rsidRDefault="008B006D" w:rsidP="008B006D">
      <w:pPr>
        <w:rPr>
          <w:rFonts w:cs="FrankRuehl"/>
          <w:sz w:val="26"/>
          <w:szCs w:val="26"/>
          <w:rtl/>
        </w:rPr>
      </w:pPr>
    </w:p>
    <w:p w14:paraId="281CB851" w14:textId="77777777" w:rsidR="00436E4E" w:rsidRPr="002E1D22" w:rsidRDefault="00436E4E">
      <w:pPr>
        <w:rPr>
          <w:rFonts w:cs="FrankRuehl"/>
          <w:sz w:val="26"/>
          <w:szCs w:val="26"/>
          <w:rtl/>
        </w:rPr>
      </w:pPr>
    </w:p>
    <w:sectPr w:rsidR="00436E4E" w:rsidRPr="002E1D22" w:rsidSect="004374A5">
      <w:headerReference w:type="even" r:id="rId12"/>
      <w:headerReference w:type="default" r:id="rId13"/>
      <w:footerReference w:type="even" r:id="rId14"/>
      <w:footerReference w:type="default" r:id="rId15"/>
      <w:headerReference w:type="first" r:id="rId16"/>
      <w:footerReference w:type="first" r:id="rId17"/>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13F9D" w14:textId="77777777" w:rsidR="00B44AB9" w:rsidRDefault="00B44AB9" w:rsidP="004374A5">
      <w:r>
        <w:separator/>
      </w:r>
    </w:p>
  </w:endnote>
  <w:endnote w:type="continuationSeparator" w:id="0">
    <w:p w14:paraId="6D96D310" w14:textId="77777777" w:rsidR="00B44AB9" w:rsidRDefault="00B44AB9"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4757B"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FA80D"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1A33A"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8CE83" w14:textId="77777777" w:rsidR="00B44AB9" w:rsidRDefault="00B44AB9" w:rsidP="004374A5">
      <w:r>
        <w:separator/>
      </w:r>
    </w:p>
  </w:footnote>
  <w:footnote w:type="continuationSeparator" w:id="0">
    <w:p w14:paraId="41E03F67" w14:textId="77777777" w:rsidR="00B44AB9" w:rsidRDefault="00B44AB9"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ABE9"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56F0" w14:textId="77777777" w:rsidR="004374A5" w:rsidRDefault="00B44AB9">
    <w:pPr>
      <w:pStyle w:val="a4"/>
    </w:pPr>
    <w:r>
      <w:rPr>
        <w:noProof/>
      </w:rPr>
      <w:pict w14:anchorId="686B77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F4272" w14:textId="77777777" w:rsidR="00EF0529" w:rsidRDefault="00EF0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574132"/>
    <w:multiLevelType w:val="multilevel"/>
    <w:tmpl w:val="D3F88DCE"/>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1" w15:restartNumberingAfterBreak="0">
    <w:nsid w:val="59DC14F8"/>
    <w:multiLevelType w:val="hybridMultilevel"/>
    <w:tmpl w:val="1C4297A8"/>
    <w:lvl w:ilvl="0" w:tplc="6848232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0C1A10"/>
    <w:rsid w:val="00147D0B"/>
    <w:rsid w:val="001730FB"/>
    <w:rsid w:val="00235242"/>
    <w:rsid w:val="002634E4"/>
    <w:rsid w:val="002E1D22"/>
    <w:rsid w:val="00436E4E"/>
    <w:rsid w:val="004374A5"/>
    <w:rsid w:val="004C44FC"/>
    <w:rsid w:val="00602309"/>
    <w:rsid w:val="007847C9"/>
    <w:rsid w:val="007C275A"/>
    <w:rsid w:val="00873534"/>
    <w:rsid w:val="008B006D"/>
    <w:rsid w:val="00AC2EE6"/>
    <w:rsid w:val="00B0145B"/>
    <w:rsid w:val="00B42666"/>
    <w:rsid w:val="00B44AB9"/>
    <w:rsid w:val="00B61EA5"/>
    <w:rsid w:val="00BB3BA1"/>
    <w:rsid w:val="00C13197"/>
    <w:rsid w:val="00D763CB"/>
    <w:rsid w:val="00EF0529"/>
    <w:rsid w:val="00F926D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5376337"/>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character" w:styleId="Hyperlink">
    <w:name w:val="Hyperlink"/>
    <w:uiPriority w:val="99"/>
    <w:semiHidden/>
    <w:unhideWhenUsed/>
    <w:rsid w:val="008B006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il/he/pages/dec4088-202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il/he/pages/dec3124-2025"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il/he/pages/dec-3813-202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gov.il/he/pages/dec4193-202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ov.il/he/pages/dec-3813-2026"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1203</Words>
  <Characters>6018</Characters>
  <Application>Microsoft Office Word</Application>
  <DocSecurity>0</DocSecurity>
  <Lines>50</Lines>
  <Paragraphs>14</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7</cp:revision>
  <cp:lastPrinted>1899-12-31T22:00:00Z</cp:lastPrinted>
  <dcterms:created xsi:type="dcterms:W3CDTF">2026-07-14T19:22:00Z</dcterms:created>
  <dcterms:modified xsi:type="dcterms:W3CDTF">2026-07-15T13:34:00Z</dcterms:modified>
</cp:coreProperties>
</file>