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A4F0" w14:textId="77777777" w:rsidR="00AA4BE2" w:rsidRPr="00105112" w:rsidRDefault="00AA4BE2">
      <w:pPr>
        <w:pStyle w:val="a6"/>
        <w:rPr>
          <w:rFonts w:ascii="FrankRuehl" w:hAnsi="FrankRuehl" w:cs="FrankRuehl"/>
          <w:rtl/>
        </w:rPr>
      </w:pPr>
      <w:r w:rsidRPr="00105112">
        <w:rPr>
          <w:rFonts w:ascii="FrankRuehl" w:hAnsi="FrankRuehl" w:cs="FrankRuehl"/>
          <w:rtl/>
        </w:rPr>
        <w:t>מדינת ישראל</w:t>
      </w:r>
    </w:p>
    <w:p w14:paraId="377C712A" w14:textId="77777777" w:rsidR="00AA4BE2" w:rsidRPr="00105112" w:rsidRDefault="00AA4BE2">
      <w:pPr>
        <w:pStyle w:val="a6"/>
        <w:rPr>
          <w:rFonts w:ascii="FrankRuehl" w:hAnsi="FrankRuehl" w:cs="FrankRuehl"/>
          <w:szCs w:val="24"/>
          <w:rtl/>
        </w:rPr>
      </w:pPr>
      <w:r w:rsidRPr="00105112">
        <w:rPr>
          <w:rFonts w:ascii="FrankRuehl" w:hAnsi="FrankRuehl" w:cs="FrankRuehl"/>
          <w:rtl/>
        </w:rPr>
        <w:t>האוצר - אגף התקציבים</w:t>
      </w:r>
    </w:p>
    <w:p w14:paraId="3C0E3A44" w14:textId="77777777" w:rsidR="00AA4BE2" w:rsidRPr="00105112" w:rsidRDefault="00AA4BE2">
      <w:pPr>
        <w:rPr>
          <w:rFonts w:ascii="FrankRuehl" w:hAnsi="FrankRuehl" w:cs="FrankRuehl"/>
          <w:rtl/>
        </w:rPr>
      </w:pPr>
    </w:p>
    <w:p w14:paraId="08DE0CA9" w14:textId="776662C8" w:rsidR="00AA4BE2" w:rsidRPr="00105112" w:rsidRDefault="00AA4BE2">
      <w:pPr>
        <w:tabs>
          <w:tab w:val="left" w:pos="6158"/>
        </w:tabs>
        <w:rPr>
          <w:rFonts w:ascii="FrankRuehl" w:hAnsi="FrankRuehl" w:cs="FrankRuehl"/>
          <w:rtl/>
        </w:rPr>
      </w:pPr>
      <w:r w:rsidRPr="00105112">
        <w:rPr>
          <w:rFonts w:ascii="FrankRuehl" w:hAnsi="FrankRuehl" w:cs="FrankRuehl"/>
          <w:rtl/>
        </w:rPr>
        <w:tab/>
      </w:r>
      <w:bookmarkStart w:id="0" w:name="TAKZIV8"/>
      <w:r w:rsidR="00B47792" w:rsidRPr="00105112">
        <w:rPr>
          <w:rFonts w:ascii="FrankRuehl" w:hAnsi="FrankRuehl" w:cs="FrankRuehl"/>
          <w:rtl/>
        </w:rPr>
        <w:t>תקציב רגיל</w:t>
      </w:r>
      <w:bookmarkEnd w:id="0"/>
    </w:p>
    <w:p w14:paraId="49986D96" w14:textId="77777777" w:rsidR="00AA4BE2" w:rsidRPr="00105112" w:rsidRDefault="00AA4BE2" w:rsidP="000355A2">
      <w:pPr>
        <w:tabs>
          <w:tab w:val="left" w:pos="5613"/>
        </w:tabs>
        <w:rPr>
          <w:rFonts w:ascii="FrankRuehl" w:hAnsi="FrankRuehl" w:cs="FrankRuehl"/>
          <w:szCs w:val="26"/>
          <w:rtl/>
        </w:rPr>
      </w:pPr>
      <w:r w:rsidRPr="00105112">
        <w:rPr>
          <w:rFonts w:ascii="FrankRuehl" w:hAnsi="FrankRuehl" w:cs="FrankRuehl"/>
          <w:szCs w:val="26"/>
          <w:rtl/>
        </w:rPr>
        <w:tab/>
      </w:r>
    </w:p>
    <w:p w14:paraId="77B0E430" w14:textId="77777777" w:rsidR="00AA4BE2" w:rsidRPr="00105112" w:rsidRDefault="00AA4BE2" w:rsidP="000355A2">
      <w:pPr>
        <w:tabs>
          <w:tab w:val="left" w:pos="5613"/>
        </w:tabs>
        <w:rPr>
          <w:rFonts w:ascii="FrankRuehl" w:hAnsi="FrankRuehl" w:cs="FrankRuehl"/>
          <w:szCs w:val="26"/>
          <w:rtl/>
        </w:rPr>
      </w:pPr>
      <w:r w:rsidRPr="00105112">
        <w:rPr>
          <w:rFonts w:ascii="FrankRuehl" w:hAnsi="FrankRuehl" w:cs="FrankRuehl"/>
          <w:szCs w:val="26"/>
          <w:rtl/>
        </w:rPr>
        <w:tab/>
        <w:t xml:space="preserve">ירושלים, </w:t>
      </w:r>
      <w:bookmarkStart w:id="1" w:name="TAKZIV9"/>
      <w:bookmarkEnd w:id="1"/>
    </w:p>
    <w:p w14:paraId="582EF754" w14:textId="0ABB9F99" w:rsidR="00AA4BE2" w:rsidRPr="00105112" w:rsidRDefault="00AA4BE2" w:rsidP="000355A2">
      <w:pPr>
        <w:tabs>
          <w:tab w:val="left" w:pos="5613"/>
        </w:tabs>
        <w:rPr>
          <w:rFonts w:ascii="FrankRuehl" w:hAnsi="FrankRuehl" w:cs="FrankRuehl"/>
          <w:szCs w:val="26"/>
          <w:rtl/>
        </w:rPr>
      </w:pPr>
      <w:r w:rsidRPr="00105112">
        <w:rPr>
          <w:rFonts w:ascii="FrankRuehl" w:hAnsi="FrankRuehl" w:cs="FrankRuehl"/>
          <w:szCs w:val="26"/>
          <w:rtl/>
        </w:rPr>
        <w:tab/>
        <w:t xml:space="preserve">בקשה מספר </w:t>
      </w:r>
      <w:bookmarkStart w:id="2" w:name="TAKZIV4"/>
      <w:r w:rsidR="00B47792" w:rsidRPr="00105112">
        <w:rPr>
          <w:rFonts w:ascii="FrankRuehl" w:hAnsi="FrankRuehl" w:cs="FrankRuehl"/>
          <w:szCs w:val="26"/>
          <w:rtl/>
        </w:rPr>
        <w:t>206</w:t>
      </w:r>
      <w:bookmarkEnd w:id="2"/>
      <w:r w:rsidRPr="00105112">
        <w:rPr>
          <w:rFonts w:ascii="FrankRuehl" w:hAnsi="FrankRuehl" w:cs="FrankRuehl"/>
          <w:szCs w:val="26"/>
          <w:rtl/>
        </w:rPr>
        <w:t xml:space="preserve"> - </w:t>
      </w:r>
      <w:bookmarkStart w:id="3" w:name="TAKZIV3"/>
      <w:r w:rsidR="00B47792" w:rsidRPr="00105112">
        <w:rPr>
          <w:rFonts w:ascii="FrankRuehl" w:hAnsi="FrankRuehl" w:cs="FrankRuehl"/>
          <w:szCs w:val="26"/>
          <w:rtl/>
        </w:rPr>
        <w:t>13</w:t>
      </w:r>
      <w:bookmarkEnd w:id="3"/>
    </w:p>
    <w:p w14:paraId="1CD32EF4" w14:textId="2DE89D6D" w:rsidR="00AA4BE2" w:rsidRPr="00105112" w:rsidRDefault="00AA4BE2" w:rsidP="000355A2">
      <w:pPr>
        <w:tabs>
          <w:tab w:val="left" w:pos="5613"/>
        </w:tabs>
        <w:rPr>
          <w:rFonts w:ascii="FrankRuehl" w:hAnsi="FrankRuehl" w:cs="FrankRuehl"/>
          <w:szCs w:val="26"/>
          <w:rtl/>
        </w:rPr>
      </w:pPr>
      <w:r w:rsidRPr="00105112">
        <w:rPr>
          <w:rFonts w:ascii="FrankRuehl" w:hAnsi="FrankRuehl" w:cs="FrankRuehl"/>
          <w:szCs w:val="26"/>
          <w:rtl/>
        </w:rPr>
        <w:tab/>
        <w:t xml:space="preserve">מספר פניה </w:t>
      </w:r>
      <w:proofErr w:type="spellStart"/>
      <w:r w:rsidRPr="00105112">
        <w:rPr>
          <w:rFonts w:ascii="FrankRuehl" w:hAnsi="FrankRuehl" w:cs="FrankRuehl"/>
          <w:szCs w:val="26"/>
          <w:rtl/>
        </w:rPr>
        <w:t>לועדה</w:t>
      </w:r>
      <w:proofErr w:type="spellEnd"/>
      <w:r w:rsidRPr="00105112">
        <w:rPr>
          <w:rFonts w:ascii="FrankRuehl" w:hAnsi="FrankRuehl" w:cs="FrankRuehl"/>
          <w:szCs w:val="26"/>
          <w:rtl/>
        </w:rPr>
        <w:t xml:space="preserve">: </w:t>
      </w:r>
      <w:bookmarkStart w:id="4" w:name="TAKZIV11"/>
      <w:r w:rsidR="00B47792" w:rsidRPr="00105112">
        <w:rPr>
          <w:rFonts w:ascii="FrankRuehl" w:hAnsi="FrankRuehl" w:cs="FrankRuehl"/>
          <w:szCs w:val="26"/>
          <w:rtl/>
        </w:rPr>
        <w:t>21</w:t>
      </w:r>
      <w:bookmarkEnd w:id="4"/>
    </w:p>
    <w:p w14:paraId="6CBD0D85" w14:textId="77777777" w:rsidR="00AA4BE2" w:rsidRPr="00105112" w:rsidRDefault="00AA4BE2" w:rsidP="000355A2">
      <w:pPr>
        <w:tabs>
          <w:tab w:val="left" w:pos="5613"/>
        </w:tabs>
        <w:rPr>
          <w:rFonts w:ascii="FrankRuehl" w:hAnsi="FrankRuehl" w:cs="FrankRuehl"/>
          <w:szCs w:val="26"/>
          <w:rtl/>
        </w:rPr>
      </w:pPr>
      <w:r w:rsidRPr="00105112">
        <w:rPr>
          <w:rFonts w:ascii="FrankRuehl" w:hAnsi="FrankRuehl" w:cs="FrankRuehl"/>
          <w:szCs w:val="26"/>
          <w:rtl/>
        </w:rPr>
        <w:tab/>
      </w:r>
    </w:p>
    <w:p w14:paraId="2BBCA114" w14:textId="77777777" w:rsidR="00AA4BE2" w:rsidRPr="00105112" w:rsidRDefault="00AA4BE2">
      <w:pPr>
        <w:tabs>
          <w:tab w:val="left" w:pos="6158"/>
        </w:tabs>
        <w:rPr>
          <w:rFonts w:ascii="FrankRuehl" w:hAnsi="FrankRuehl" w:cs="FrankRuehl"/>
          <w:sz w:val="26"/>
          <w:szCs w:val="26"/>
          <w:rtl/>
        </w:rPr>
      </w:pPr>
      <w:r w:rsidRPr="00105112">
        <w:rPr>
          <w:rFonts w:ascii="FrankRuehl" w:hAnsi="FrankRuehl" w:cs="FrankRuehl"/>
          <w:sz w:val="26"/>
          <w:szCs w:val="26"/>
          <w:rtl/>
        </w:rPr>
        <w:tab/>
      </w:r>
    </w:p>
    <w:p w14:paraId="7E7C362F" w14:textId="77777777" w:rsidR="00AA4BE2" w:rsidRPr="00105112" w:rsidRDefault="00AA4BE2">
      <w:pPr>
        <w:tabs>
          <w:tab w:val="left" w:pos="6300"/>
        </w:tabs>
        <w:rPr>
          <w:rFonts w:ascii="FrankRuehl" w:hAnsi="FrankRuehl" w:cs="FrankRuehl"/>
          <w:sz w:val="26"/>
          <w:szCs w:val="26"/>
          <w:rtl/>
        </w:rPr>
      </w:pPr>
      <w:r w:rsidRPr="00105112">
        <w:rPr>
          <w:rFonts w:ascii="FrankRuehl" w:hAnsi="FrankRuehl" w:cs="FrankRuehl"/>
          <w:sz w:val="26"/>
          <w:szCs w:val="26"/>
          <w:rtl/>
        </w:rPr>
        <w:t>לכבוד,</w:t>
      </w:r>
    </w:p>
    <w:p w14:paraId="7E379292" w14:textId="77777777" w:rsidR="00AA4BE2" w:rsidRPr="00105112" w:rsidRDefault="00AA4BE2">
      <w:pPr>
        <w:rPr>
          <w:rFonts w:ascii="FrankRuehl" w:hAnsi="FrankRuehl" w:cs="FrankRuehl"/>
          <w:sz w:val="26"/>
          <w:szCs w:val="26"/>
          <w:rtl/>
        </w:rPr>
      </w:pPr>
      <w:r w:rsidRPr="00105112">
        <w:rPr>
          <w:rFonts w:ascii="FrankRuehl" w:hAnsi="FrankRuehl" w:cs="FrankRuehl"/>
          <w:sz w:val="26"/>
          <w:szCs w:val="26"/>
          <w:rtl/>
        </w:rPr>
        <w:t>יו"ר ועדת הכספים</w:t>
      </w:r>
    </w:p>
    <w:p w14:paraId="34FEE1A7" w14:textId="77777777" w:rsidR="00AA4BE2" w:rsidRPr="00105112" w:rsidRDefault="00AA4BE2">
      <w:pPr>
        <w:rPr>
          <w:rFonts w:ascii="FrankRuehl" w:hAnsi="FrankRuehl" w:cs="FrankRuehl"/>
          <w:sz w:val="26"/>
          <w:szCs w:val="26"/>
          <w:rtl/>
        </w:rPr>
      </w:pPr>
      <w:r w:rsidRPr="00105112">
        <w:rPr>
          <w:rFonts w:ascii="FrankRuehl" w:hAnsi="FrankRuehl" w:cs="FrankRuehl"/>
          <w:sz w:val="26"/>
          <w:szCs w:val="26"/>
          <w:rtl/>
        </w:rPr>
        <w:t>של הכנסת</w:t>
      </w:r>
    </w:p>
    <w:p w14:paraId="31238BD3" w14:textId="77777777" w:rsidR="00AA4BE2" w:rsidRPr="00105112" w:rsidRDefault="00AA4BE2">
      <w:pPr>
        <w:rPr>
          <w:rFonts w:ascii="FrankRuehl" w:hAnsi="FrankRuehl" w:cs="FrankRuehl"/>
          <w:sz w:val="26"/>
          <w:szCs w:val="26"/>
          <w:rtl/>
        </w:rPr>
      </w:pPr>
    </w:p>
    <w:p w14:paraId="3BB7F46B" w14:textId="77777777" w:rsidR="00AA4BE2" w:rsidRPr="00105112" w:rsidRDefault="00AA4BE2">
      <w:pPr>
        <w:rPr>
          <w:rFonts w:ascii="FrankRuehl" w:hAnsi="FrankRuehl" w:cs="FrankRuehl"/>
          <w:sz w:val="26"/>
          <w:szCs w:val="26"/>
          <w:rtl/>
        </w:rPr>
      </w:pPr>
      <w:r w:rsidRPr="00105112">
        <w:rPr>
          <w:rFonts w:ascii="FrankRuehl" w:hAnsi="FrankRuehl" w:cs="FrankRuehl"/>
          <w:sz w:val="26"/>
          <w:szCs w:val="26"/>
          <w:rtl/>
        </w:rPr>
        <w:t>א.נ.,</w:t>
      </w:r>
    </w:p>
    <w:p w14:paraId="1B2893C0" w14:textId="77777777" w:rsidR="00AA4BE2" w:rsidRPr="00105112" w:rsidRDefault="00AA4BE2">
      <w:pPr>
        <w:rPr>
          <w:rFonts w:ascii="FrankRuehl" w:hAnsi="FrankRuehl" w:cs="FrankRuehl"/>
          <w:sz w:val="26"/>
          <w:szCs w:val="26"/>
          <w:rtl/>
        </w:rPr>
      </w:pPr>
    </w:p>
    <w:p w14:paraId="7EB8EF48" w14:textId="77777777" w:rsidR="00AA4BE2" w:rsidRPr="00105112" w:rsidRDefault="00AA4BE2">
      <w:pPr>
        <w:pStyle w:val="a7"/>
        <w:rPr>
          <w:rFonts w:ascii="FrankRuehl" w:hAnsi="FrankRuehl" w:cs="FrankRuehl"/>
          <w:sz w:val="26"/>
          <w:rtl/>
        </w:rPr>
      </w:pPr>
      <w:r w:rsidRPr="00105112">
        <w:rPr>
          <w:rFonts w:ascii="FrankRuehl" w:hAnsi="FrankRuehl" w:cs="FrankRuehl"/>
          <w:bCs w:val="0"/>
          <w:sz w:val="26"/>
          <w:u w:val="none"/>
          <w:rtl/>
        </w:rPr>
        <w:t xml:space="preserve">הנדון: </w:t>
      </w:r>
      <w:r w:rsidRPr="00105112">
        <w:rPr>
          <w:rFonts w:ascii="FrankRuehl" w:hAnsi="FrankRuehl" w:cs="FrankRuehl"/>
          <w:bCs w:val="0"/>
          <w:sz w:val="26"/>
          <w:rtl/>
        </w:rPr>
        <w:t>שינויים בתקציב לשנת</w:t>
      </w:r>
      <w:r w:rsidRPr="00105112">
        <w:rPr>
          <w:rFonts w:ascii="FrankRuehl" w:hAnsi="FrankRuehl" w:cs="FrankRuehl"/>
          <w:sz w:val="26"/>
          <w:rtl/>
        </w:rPr>
        <w:t xml:space="preserve"> </w:t>
      </w:r>
      <w:bookmarkStart w:id="5" w:name="TAKZIV1"/>
      <w:r w:rsidR="00B47792" w:rsidRPr="00105112">
        <w:rPr>
          <w:rFonts w:ascii="FrankRuehl" w:hAnsi="FrankRuehl" w:cs="FrankRuehl"/>
          <w:sz w:val="26"/>
          <w:rtl/>
        </w:rPr>
        <w:t>2026</w:t>
      </w:r>
      <w:bookmarkEnd w:id="5"/>
      <w:r w:rsidRPr="00105112">
        <w:rPr>
          <w:rFonts w:ascii="FrankRuehl" w:hAnsi="FrankRuehl" w:cs="FrankRuehl"/>
          <w:sz w:val="26"/>
          <w:rtl/>
        </w:rPr>
        <w:t xml:space="preserve">     </w:t>
      </w:r>
    </w:p>
    <w:p w14:paraId="17C0A8C0" w14:textId="77777777" w:rsidR="00AA4BE2" w:rsidRPr="00105112" w:rsidRDefault="00AA4BE2">
      <w:pPr>
        <w:rPr>
          <w:rFonts w:ascii="FrankRuehl" w:hAnsi="FrankRuehl" w:cs="FrankRuehl"/>
          <w:sz w:val="26"/>
          <w:szCs w:val="26"/>
          <w:rtl/>
        </w:rPr>
      </w:pPr>
    </w:p>
    <w:p w14:paraId="55169083" w14:textId="3A3241BB" w:rsidR="00AA4BE2" w:rsidRPr="00105112" w:rsidRDefault="00AA4BE2" w:rsidP="006C747C">
      <w:pPr>
        <w:jc w:val="both"/>
        <w:rPr>
          <w:rFonts w:ascii="FrankRuehl" w:hAnsi="FrankRuehl" w:cs="FrankRuehl"/>
          <w:sz w:val="26"/>
          <w:szCs w:val="26"/>
          <w:rtl/>
        </w:rPr>
      </w:pPr>
      <w:r w:rsidRPr="00105112">
        <w:rPr>
          <w:rFonts w:ascii="FrankRuehl" w:hAnsi="FrankRuehl" w:cs="FrankRuehl"/>
          <w:sz w:val="26"/>
          <w:szCs w:val="26"/>
          <w:rtl/>
        </w:rPr>
        <w:t xml:space="preserve">שר </w:t>
      </w:r>
      <w:r w:rsidR="00105112">
        <w:rPr>
          <w:rFonts w:ascii="FrankRuehl" w:hAnsi="FrankRuehl" w:cs="FrankRuehl" w:hint="cs"/>
          <w:sz w:val="26"/>
          <w:szCs w:val="26"/>
          <w:rtl/>
        </w:rPr>
        <w:t>האוצר</w:t>
      </w:r>
      <w:r w:rsidR="00C01D16" w:rsidRPr="00105112">
        <w:rPr>
          <w:rFonts w:ascii="FrankRuehl" w:hAnsi="FrankRuehl" w:cs="FrankRuehl"/>
          <w:sz w:val="26"/>
          <w:szCs w:val="26"/>
          <w:rtl/>
        </w:rPr>
        <w:t xml:space="preserve"> </w:t>
      </w:r>
      <w:r w:rsidRPr="00105112">
        <w:rPr>
          <w:rFonts w:ascii="FrankRuehl" w:hAnsi="FrankRuehl" w:cs="FrankRuehl"/>
          <w:sz w:val="26"/>
          <w:szCs w:val="26"/>
          <w:rtl/>
        </w:rPr>
        <w:t xml:space="preserve">מציע שינויים בתקציב </w:t>
      </w:r>
      <w:r w:rsidR="00105112" w:rsidRPr="00105112">
        <w:rPr>
          <w:rFonts w:ascii="FrankRuehl" w:hAnsi="FrankRuehl" w:cs="FrankRuehl"/>
          <w:sz w:val="26"/>
          <w:szCs w:val="26"/>
          <w:rtl/>
        </w:rPr>
        <w:t>הוצאות שונות</w:t>
      </w:r>
      <w:r w:rsidRPr="00105112">
        <w:rPr>
          <w:rFonts w:ascii="FrankRuehl" w:hAnsi="FrankRuehl" w:cs="FrankRuehl"/>
          <w:sz w:val="26"/>
          <w:szCs w:val="26"/>
          <w:rtl/>
        </w:rPr>
        <w:t xml:space="preserve">, ומבקש אישורה של ועדת הכספים של הכנסת על כך, בהתאם לסעיף 11 לחוק יסודות התקציב </w:t>
      </w:r>
      <w:proofErr w:type="spellStart"/>
      <w:r w:rsidRPr="00105112">
        <w:rPr>
          <w:rFonts w:ascii="FrankRuehl" w:hAnsi="FrankRuehl" w:cs="FrankRuehl"/>
          <w:sz w:val="26"/>
          <w:szCs w:val="26"/>
          <w:rtl/>
        </w:rPr>
        <w:t>התשמ"ה</w:t>
      </w:r>
      <w:proofErr w:type="spellEnd"/>
      <w:r w:rsidRPr="00105112">
        <w:rPr>
          <w:rFonts w:ascii="FrankRuehl" w:hAnsi="FrankRuehl" w:cs="FrankRuehl"/>
          <w:sz w:val="26"/>
          <w:szCs w:val="26"/>
          <w:rtl/>
        </w:rPr>
        <w:t xml:space="preserve"> - 1985, כמפורט בתדפיס המצורף בזה.</w:t>
      </w:r>
    </w:p>
    <w:p w14:paraId="5DB2C55C" w14:textId="77777777" w:rsidR="00AA4BE2" w:rsidRPr="00105112" w:rsidRDefault="00AA4BE2" w:rsidP="006C747C">
      <w:pPr>
        <w:jc w:val="both"/>
        <w:rPr>
          <w:rFonts w:ascii="FrankRuehl" w:hAnsi="FrankRuehl" w:cs="FrankRuehl"/>
          <w:sz w:val="26"/>
          <w:szCs w:val="26"/>
          <w:rtl/>
        </w:rPr>
      </w:pPr>
    </w:p>
    <w:p w14:paraId="42F3AF65" w14:textId="77777777" w:rsidR="006C747C" w:rsidRDefault="006C747C" w:rsidP="006C747C">
      <w:pPr>
        <w:jc w:val="both"/>
        <w:rPr>
          <w:rFonts w:ascii="FrankRuehl" w:hAnsi="FrankRuehl" w:cs="FrankRuehl"/>
          <w:sz w:val="26"/>
          <w:szCs w:val="26"/>
          <w:lang w:eastAsia="en-US"/>
        </w:rPr>
      </w:pPr>
      <w:bookmarkStart w:id="6" w:name="DIVREY_HESBER"/>
      <w:bookmarkEnd w:id="6"/>
      <w:r>
        <w:rPr>
          <w:rFonts w:ascii="FrankRuehl" w:hAnsi="FrankRuehl" w:cs="FrankRuehl" w:hint="cs"/>
          <w:b/>
          <w:bCs/>
          <w:sz w:val="26"/>
          <w:szCs w:val="26"/>
          <w:rtl/>
        </w:rPr>
        <w:t>הבקשה דנה בסעיף תקציבי:</w:t>
      </w:r>
      <w:r>
        <w:rPr>
          <w:rFonts w:ascii="FrankRuehl" w:hAnsi="FrankRuehl" w:cs="FrankRuehl" w:hint="cs"/>
          <w:sz w:val="26"/>
          <w:szCs w:val="26"/>
          <w:rtl/>
        </w:rPr>
        <w:t xml:space="preserve"> 13 – הוצאות שונות</w:t>
      </w:r>
    </w:p>
    <w:p w14:paraId="199C965A" w14:textId="77777777" w:rsidR="006C747C" w:rsidRDefault="006C747C" w:rsidP="006C747C">
      <w:pPr>
        <w:jc w:val="both"/>
        <w:rPr>
          <w:rFonts w:ascii="FrankRuehl" w:hAnsi="FrankRuehl" w:cs="FrankRuehl" w:hint="cs"/>
          <w:sz w:val="26"/>
          <w:szCs w:val="26"/>
          <w:rtl/>
        </w:rPr>
      </w:pPr>
    </w:p>
    <w:p w14:paraId="2740BA50"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עיקרי הפנייה:</w:t>
      </w:r>
    </w:p>
    <w:p w14:paraId="79384AB4"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 xml:space="preserve">הפנייה התקציבית נועדה לתקצוב סך של 18,000 אלפי ש"ח בהוצאה עבור תמיכה בפעילות המנהל המורשה שמונה לחברת </w:t>
      </w:r>
      <w:proofErr w:type="spellStart"/>
      <w:r>
        <w:rPr>
          <w:rFonts w:ascii="FrankRuehl" w:hAnsi="FrankRuehl" w:cs="FrankRuehl" w:hint="cs"/>
          <w:sz w:val="26"/>
          <w:szCs w:val="26"/>
          <w:rtl/>
        </w:rPr>
        <w:t>סלייס</w:t>
      </w:r>
      <w:proofErr w:type="spellEnd"/>
      <w:r>
        <w:rPr>
          <w:rFonts w:ascii="FrankRuehl" w:hAnsi="FrankRuehl" w:cs="FrankRuehl" w:hint="cs"/>
          <w:sz w:val="26"/>
          <w:szCs w:val="26"/>
          <w:rtl/>
        </w:rPr>
        <w:t xml:space="preserve"> גמל בע"מ, תוכנית הפיצויים למשפחות עולי תימן והמשך פעילות הקרן </w:t>
      </w:r>
      <w:proofErr w:type="spellStart"/>
      <w:r>
        <w:rPr>
          <w:rFonts w:ascii="FrankRuehl" w:hAnsi="FrankRuehl" w:cs="FrankRuehl" w:hint="cs"/>
          <w:sz w:val="26"/>
          <w:szCs w:val="26"/>
          <w:rtl/>
        </w:rPr>
        <w:t>למודרי</w:t>
      </w:r>
      <w:proofErr w:type="spellEnd"/>
      <w:r>
        <w:rPr>
          <w:rFonts w:ascii="FrankRuehl" w:hAnsi="FrankRuehl" w:cs="FrankRuehl" w:hint="cs"/>
          <w:sz w:val="26"/>
          <w:szCs w:val="26"/>
          <w:rtl/>
        </w:rPr>
        <w:t xml:space="preserve"> אשראי. </w:t>
      </w:r>
    </w:p>
    <w:p w14:paraId="7F96CBB4" w14:textId="77777777" w:rsidR="006C747C" w:rsidRDefault="006C747C" w:rsidP="006C747C">
      <w:pPr>
        <w:jc w:val="both"/>
        <w:rPr>
          <w:rFonts w:ascii="FrankRuehl" w:hAnsi="FrankRuehl" w:cs="FrankRuehl" w:hint="cs"/>
          <w:sz w:val="26"/>
          <w:szCs w:val="26"/>
          <w:rtl/>
        </w:rPr>
      </w:pPr>
    </w:p>
    <w:p w14:paraId="5711C362"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 xml:space="preserve">עיקרי הפנייה התקציבית בחלוקה </w:t>
      </w:r>
      <w:proofErr w:type="spellStart"/>
      <w:r>
        <w:rPr>
          <w:rFonts w:ascii="FrankRuehl" w:hAnsi="FrankRuehl" w:cs="FrankRuehl" w:hint="cs"/>
          <w:b/>
          <w:bCs/>
          <w:sz w:val="26"/>
          <w:szCs w:val="26"/>
          <w:rtl/>
        </w:rPr>
        <w:t>לתכניות</w:t>
      </w:r>
      <w:proofErr w:type="spellEnd"/>
      <w:r>
        <w:rPr>
          <w:rFonts w:ascii="FrankRuehl" w:hAnsi="FrankRuehl" w:cs="FrankRuehl" w:hint="cs"/>
          <w:b/>
          <w:bCs/>
          <w:sz w:val="26"/>
          <w:szCs w:val="26"/>
          <w:rtl/>
        </w:rPr>
        <w:t xml:space="preserve"> מובאים להלן:</w:t>
      </w:r>
    </w:p>
    <w:p w14:paraId="5F815E57" w14:textId="77777777" w:rsidR="006C747C" w:rsidRDefault="006C747C" w:rsidP="006C747C">
      <w:pPr>
        <w:jc w:val="both"/>
        <w:rPr>
          <w:rFonts w:ascii="FrankRuehl" w:hAnsi="FrankRuehl" w:cs="FrankRuehl" w:hint="cs"/>
          <w:sz w:val="26"/>
          <w:szCs w:val="26"/>
          <w:rtl/>
        </w:rPr>
      </w:pPr>
    </w:p>
    <w:p w14:paraId="010D2459"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130201 – עובדי מדינה – 13,000 אלפי ש"ח</w:t>
      </w:r>
    </w:p>
    <w:p w14:paraId="70381DA8"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 xml:space="preserve">תיאור התוכנית: </w:t>
      </w:r>
    </w:p>
    <w:p w14:paraId="33D6A022"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 xml:space="preserve">פנייה זו מיועדת לתמיכה בפעילות המנהל המורשה שמונה לחברת </w:t>
      </w:r>
      <w:proofErr w:type="spellStart"/>
      <w:r>
        <w:rPr>
          <w:rFonts w:ascii="FrankRuehl" w:hAnsi="FrankRuehl" w:cs="FrankRuehl" w:hint="cs"/>
          <w:sz w:val="26"/>
          <w:szCs w:val="26"/>
          <w:rtl/>
        </w:rPr>
        <w:t>סלייס</w:t>
      </w:r>
      <w:proofErr w:type="spellEnd"/>
      <w:r>
        <w:rPr>
          <w:rFonts w:ascii="FrankRuehl" w:hAnsi="FrankRuehl" w:cs="FrankRuehl" w:hint="cs"/>
          <w:sz w:val="26"/>
          <w:szCs w:val="26"/>
          <w:rtl/>
        </w:rPr>
        <w:t xml:space="preserve"> גמל בע"מ מכוח סעיף 68(א) לחוק הפיקוח ע</w:t>
      </w:r>
      <w:r>
        <w:rPr>
          <w:rFonts w:ascii="FrankRuehl" w:hAnsi="FrankRuehl" w:cs="FrankRuehl" w:hint="cs"/>
          <w:sz w:val="26"/>
          <w:szCs w:val="26"/>
          <w:rtl/>
        </w:rPr>
        <w:softHyphen/>
        <w:t xml:space="preserve">ל שירותים פיננסיים (ביטוח), </w:t>
      </w:r>
      <w:proofErr w:type="spellStart"/>
      <w:r>
        <w:rPr>
          <w:rFonts w:ascii="FrankRuehl" w:hAnsi="FrankRuehl" w:cs="FrankRuehl" w:hint="cs"/>
          <w:sz w:val="26"/>
          <w:szCs w:val="26"/>
          <w:rtl/>
        </w:rPr>
        <w:t>התשמ"א</w:t>
      </w:r>
      <w:proofErr w:type="spellEnd"/>
      <w:r>
        <w:rPr>
          <w:rFonts w:ascii="FrankRuehl" w:hAnsi="FrankRuehl" w:cs="FrankRuehl" w:hint="cs"/>
          <w:sz w:val="26"/>
          <w:szCs w:val="26"/>
          <w:rtl/>
        </w:rPr>
        <w:t xml:space="preserve">–1981, החל על החברה מכוח סעיף 39(ג) לחוק הפיקוח על שירותים פיננסיים (קופות גמל), </w:t>
      </w:r>
      <w:proofErr w:type="spellStart"/>
      <w:r>
        <w:rPr>
          <w:rFonts w:ascii="FrankRuehl" w:hAnsi="FrankRuehl" w:cs="FrankRuehl" w:hint="cs"/>
          <w:sz w:val="26"/>
          <w:szCs w:val="26"/>
          <w:rtl/>
        </w:rPr>
        <w:t>התשס"ה</w:t>
      </w:r>
      <w:proofErr w:type="spellEnd"/>
      <w:r>
        <w:rPr>
          <w:rFonts w:ascii="FrankRuehl" w:hAnsi="FrankRuehl" w:cs="FrankRuehl" w:hint="cs"/>
          <w:sz w:val="26"/>
          <w:szCs w:val="26"/>
          <w:rtl/>
        </w:rPr>
        <w:t>–2005. ההלוואה מועמדת לחברה לשם הבטחת המשך ניהולה התקין, לרבות פעולות לאיתור נכסי עמיתים, יישום תכנית הסדר שאושרה על ידי בית המשפט המחוזי, וקיום ההליכים הנדרשים לשמירת זכויות ציבור החוסכים.</w:t>
      </w:r>
    </w:p>
    <w:p w14:paraId="4BC9FF29"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מטרת השינוי התקציבי:</w:t>
      </w:r>
    </w:p>
    <w:p w14:paraId="1F4E9453"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 xml:space="preserve">תקצוב סך של 13,000 אלפי ש"ח בהוצאה נטו, לצורך העמדת הלוואה נוספת לחברת </w:t>
      </w:r>
      <w:proofErr w:type="spellStart"/>
      <w:r>
        <w:rPr>
          <w:rFonts w:ascii="FrankRuehl" w:hAnsi="FrankRuehl" w:cs="FrankRuehl" w:hint="cs"/>
          <w:sz w:val="26"/>
          <w:szCs w:val="26"/>
          <w:rtl/>
        </w:rPr>
        <w:t>סלייס</w:t>
      </w:r>
      <w:proofErr w:type="spellEnd"/>
      <w:r>
        <w:rPr>
          <w:rFonts w:ascii="FrankRuehl" w:hAnsi="FrankRuehl" w:cs="FrankRuehl" w:hint="cs"/>
          <w:sz w:val="26"/>
          <w:szCs w:val="26"/>
          <w:rtl/>
        </w:rPr>
        <w:t xml:space="preserve"> גמל בע"מ (בניהול מורשה). ההלוואה תועמד בהתאם להסכם הלוואה שייחתם בין החשב הכללי במשרד האוצר לבין החברה. כספי ההלוואה ישמשו אך ורק לצורך כיסוי הגירעון התזרימי השוטף הנובע מפער בין ההכנסות מדמי ניהול לבין הוצאות הפעילות ההכרחיות של המנהל המורשה, לרבות שכר עובדים, שכר </w:t>
      </w:r>
      <w:proofErr w:type="spellStart"/>
      <w:r>
        <w:rPr>
          <w:rFonts w:ascii="FrankRuehl" w:hAnsi="FrankRuehl" w:cs="FrankRuehl" w:hint="cs"/>
          <w:sz w:val="26"/>
          <w:szCs w:val="26"/>
          <w:rtl/>
        </w:rPr>
        <w:t>טירחה</w:t>
      </w:r>
      <w:proofErr w:type="spellEnd"/>
      <w:r>
        <w:rPr>
          <w:rFonts w:ascii="FrankRuehl" w:hAnsi="FrankRuehl" w:cs="FrankRuehl" w:hint="cs"/>
          <w:sz w:val="26"/>
          <w:szCs w:val="26"/>
          <w:rtl/>
        </w:rPr>
        <w:t xml:space="preserve"> לבעלי מקצוע, וניהול ההליכים המשפטיים לאיתור כספי העמיתים.</w:t>
      </w:r>
    </w:p>
    <w:p w14:paraId="249CF21F"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יצוין כי הלוואה זו מצטרפת להלוואה קודמת בסך 20,000 אלפי ש"ח שהועמדה לחברה בשנת 2025. שתי ההלוואות נרשמות כהתחייבות מלאה לפירעון על ידי החברה.</w:t>
      </w:r>
    </w:p>
    <w:p w14:paraId="34014B0E" w14:textId="77777777" w:rsidR="006C747C" w:rsidRDefault="006C747C" w:rsidP="006C747C">
      <w:pPr>
        <w:jc w:val="both"/>
        <w:rPr>
          <w:rFonts w:ascii="FrankRuehl" w:hAnsi="FrankRuehl" w:cs="FrankRuehl" w:hint="cs"/>
          <w:b/>
          <w:bCs/>
          <w:sz w:val="26"/>
          <w:szCs w:val="26"/>
          <w:rtl/>
        </w:rPr>
      </w:pPr>
    </w:p>
    <w:p w14:paraId="30A92FFA"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 xml:space="preserve">130105 – הוצאות שונות – 2,500 אלפי ש"ח </w:t>
      </w:r>
    </w:p>
    <w:p w14:paraId="65A26621"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 xml:space="preserve">תיאור התוכנית: </w:t>
      </w:r>
    </w:p>
    <w:p w14:paraId="2234F7CD"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הוצאות שונות וביניהן תוכנית הפיצויים למשפחות עולי תימן.</w:t>
      </w:r>
    </w:p>
    <w:p w14:paraId="651337F5" w14:textId="77777777" w:rsidR="006C747C" w:rsidRDefault="006C747C" w:rsidP="006C747C">
      <w:pPr>
        <w:jc w:val="both"/>
        <w:rPr>
          <w:rFonts w:ascii="FrankRuehl" w:hAnsi="FrankRuehl" w:cs="FrankRuehl" w:hint="cs"/>
          <w:sz w:val="26"/>
          <w:szCs w:val="26"/>
          <w:rtl/>
        </w:rPr>
      </w:pP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זו קיימת חריגה מהתקציב המאושר בסך של 1 מיליון ש"ח. החריגה האמורה התפתחה בשל</w:t>
      </w:r>
    </w:p>
    <w:p w14:paraId="2D568C98"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עיתוי תשלומים מתוקף זכאות לפיצויים של משפחות "ילדי תימן", אשר חויבו כנגד תקציב הרשאה להתחייב.</w:t>
      </w:r>
    </w:p>
    <w:p w14:paraId="6C5C6DD8"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מטרת השינוי התקציבי:</w:t>
      </w:r>
    </w:p>
    <w:p w14:paraId="30EEF460"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lastRenderedPageBreak/>
        <w:t>תקצוב ההוצאה הצפויה בשעת 2026 עבור פיצויים למשפחות עולי תימן בהתאם להחלטת ממשלה 821 מיום 22.02.2021 - הסדר כספי למשפחות עולי תימן, המזרח והבלקן אשר עניין ילדיהן נדון במסגרת ועדות, והחלטת ממשלה מיום 19.02.2023 להארכת תקופת הגשת הבקשה.</w:t>
      </w:r>
    </w:p>
    <w:p w14:paraId="5A21D8EC" w14:textId="77777777" w:rsidR="006C747C" w:rsidRDefault="006C747C" w:rsidP="006C747C">
      <w:pPr>
        <w:jc w:val="both"/>
        <w:rPr>
          <w:rFonts w:ascii="FrankRuehl" w:hAnsi="FrankRuehl" w:cs="FrankRuehl" w:hint="cs"/>
          <w:b/>
          <w:bCs/>
          <w:sz w:val="26"/>
          <w:szCs w:val="26"/>
          <w:rtl/>
        </w:rPr>
      </w:pPr>
    </w:p>
    <w:p w14:paraId="5F8BAB9A" w14:textId="77777777" w:rsidR="006C747C" w:rsidRDefault="006C747C" w:rsidP="006C747C">
      <w:pPr>
        <w:jc w:val="both"/>
        <w:rPr>
          <w:rFonts w:ascii="FrankRuehl" w:hAnsi="FrankRuehl" w:cs="FrankRuehl" w:hint="cs"/>
          <w:b/>
          <w:bCs/>
          <w:sz w:val="26"/>
          <w:szCs w:val="26"/>
          <w:u w:val="single"/>
          <w:rtl/>
        </w:rPr>
      </w:pPr>
      <w:r>
        <w:rPr>
          <w:rFonts w:ascii="FrankRuehl" w:hAnsi="FrankRuehl" w:cs="FrankRuehl" w:hint="cs"/>
          <w:b/>
          <w:bCs/>
          <w:sz w:val="26"/>
          <w:szCs w:val="26"/>
          <w:rtl/>
        </w:rPr>
        <w:t>130205 – פעילות פיננסית – 2,500 אלפי ש"ח</w:t>
      </w:r>
    </w:p>
    <w:p w14:paraId="0C4312EF"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תיאור התוכנית:</w:t>
      </w:r>
    </w:p>
    <w:p w14:paraId="043A0217"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הפנייה נועדה לביצוע שינויים פנימיים בתקציב</w:t>
      </w:r>
      <w:r>
        <w:rPr>
          <w:rFonts w:ascii="FrankRuehl" w:hAnsi="FrankRuehl" w:cs="FrankRuehl" w:hint="cs"/>
          <w:sz w:val="26"/>
          <w:szCs w:val="26"/>
        </w:rPr>
        <w:t xml:space="preserve"> </w:t>
      </w:r>
      <w:r>
        <w:rPr>
          <w:rFonts w:ascii="FrankRuehl" w:hAnsi="FrankRuehl" w:cs="FrankRuehl" w:hint="cs"/>
          <w:sz w:val="26"/>
          <w:szCs w:val="26"/>
          <w:rtl/>
        </w:rPr>
        <w:t>בסך של 2,500 אלפי ש</w:t>
      </w:r>
      <w:r>
        <w:rPr>
          <w:rFonts w:ascii="FrankRuehl" w:hAnsi="FrankRuehl" w:cs="FrankRuehl" w:hint="cs"/>
          <w:sz w:val="26"/>
          <w:szCs w:val="26"/>
        </w:rPr>
        <w:t>"</w:t>
      </w:r>
      <w:r>
        <w:rPr>
          <w:rFonts w:ascii="FrankRuehl" w:hAnsi="FrankRuehl" w:cs="FrankRuehl" w:hint="cs"/>
          <w:sz w:val="26"/>
          <w:szCs w:val="26"/>
          <w:rtl/>
        </w:rPr>
        <w:t>ח</w:t>
      </w:r>
      <w:r>
        <w:rPr>
          <w:rFonts w:ascii="FrankRuehl" w:hAnsi="FrankRuehl" w:cs="FrankRuehl" w:hint="cs"/>
          <w:sz w:val="26"/>
          <w:szCs w:val="26"/>
        </w:rPr>
        <w:t xml:space="preserve"> </w:t>
      </w:r>
      <w:r>
        <w:rPr>
          <w:rFonts w:ascii="FrankRuehl" w:hAnsi="FrankRuehl" w:cs="FrankRuehl" w:hint="cs"/>
          <w:sz w:val="26"/>
          <w:szCs w:val="26"/>
          <w:rtl/>
        </w:rPr>
        <w:t>לצורך</w:t>
      </w:r>
      <w:r>
        <w:rPr>
          <w:rFonts w:ascii="FrankRuehl" w:hAnsi="FrankRuehl" w:cs="FrankRuehl" w:hint="cs"/>
          <w:sz w:val="26"/>
          <w:szCs w:val="26"/>
        </w:rPr>
        <w:t xml:space="preserve"> "</w:t>
      </w:r>
      <w:r>
        <w:rPr>
          <w:rFonts w:ascii="FrankRuehl" w:hAnsi="FrankRuehl" w:cs="FrankRuehl" w:hint="cs"/>
          <w:sz w:val="26"/>
          <w:szCs w:val="26"/>
          <w:rtl/>
        </w:rPr>
        <w:t>פעילות פיננסית" על מנת לאפשר</w:t>
      </w:r>
      <w:r>
        <w:rPr>
          <w:rFonts w:ascii="FrankRuehl" w:hAnsi="FrankRuehl" w:cs="FrankRuehl" w:hint="cs"/>
          <w:sz w:val="26"/>
          <w:szCs w:val="26"/>
        </w:rPr>
        <w:t xml:space="preserve"> </w:t>
      </w:r>
      <w:r>
        <w:rPr>
          <w:rFonts w:ascii="FrankRuehl" w:hAnsi="FrankRuehl" w:cs="FrankRuehl" w:hint="cs"/>
          <w:sz w:val="26"/>
          <w:szCs w:val="26"/>
          <w:rtl/>
        </w:rPr>
        <w:t xml:space="preserve">המשך פעילות של מתן ליווי וייעוץ פיננסי </w:t>
      </w:r>
      <w:proofErr w:type="spellStart"/>
      <w:r>
        <w:rPr>
          <w:rFonts w:ascii="FrankRuehl" w:hAnsi="FrankRuehl" w:cs="FrankRuehl" w:hint="cs"/>
          <w:sz w:val="26"/>
          <w:szCs w:val="26"/>
          <w:rtl/>
        </w:rPr>
        <w:t>למודרי</w:t>
      </w:r>
      <w:proofErr w:type="spellEnd"/>
      <w:r>
        <w:rPr>
          <w:rFonts w:ascii="FrankRuehl" w:hAnsi="FrankRuehl" w:cs="FrankRuehl" w:hint="cs"/>
          <w:sz w:val="26"/>
          <w:szCs w:val="26"/>
          <w:rtl/>
        </w:rPr>
        <w:t xml:space="preserve"> אשראי, במסגרת הקרן </w:t>
      </w:r>
      <w:proofErr w:type="spellStart"/>
      <w:r>
        <w:rPr>
          <w:rFonts w:ascii="FrankRuehl" w:hAnsi="FrankRuehl" w:cs="FrankRuehl" w:hint="cs"/>
          <w:sz w:val="26"/>
          <w:szCs w:val="26"/>
          <w:rtl/>
        </w:rPr>
        <w:t>למודרי</w:t>
      </w:r>
      <w:proofErr w:type="spellEnd"/>
      <w:r>
        <w:rPr>
          <w:rFonts w:ascii="FrankRuehl" w:hAnsi="FrankRuehl" w:cs="FrankRuehl" w:hint="cs"/>
          <w:sz w:val="26"/>
          <w:szCs w:val="26"/>
          <w:rtl/>
        </w:rPr>
        <w:t xml:space="preserve"> אשראי</w:t>
      </w:r>
      <w:r>
        <w:rPr>
          <w:rFonts w:ascii="FrankRuehl" w:hAnsi="FrankRuehl" w:cs="FrankRuehl" w:hint="cs"/>
          <w:sz w:val="26"/>
          <w:szCs w:val="26"/>
        </w:rPr>
        <w:t>.</w:t>
      </w:r>
    </w:p>
    <w:p w14:paraId="406EE6BA" w14:textId="77777777" w:rsidR="006C747C" w:rsidRDefault="006C747C" w:rsidP="006C747C">
      <w:pPr>
        <w:jc w:val="both"/>
        <w:rPr>
          <w:rFonts w:ascii="FrankRuehl" w:hAnsi="FrankRuehl" w:cs="FrankRuehl" w:hint="cs"/>
          <w:sz w:val="26"/>
          <w:szCs w:val="26"/>
          <w:rtl/>
        </w:rPr>
      </w:pP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זו קיימת חריגה מהתקציב המאושר בסך של 0.4 מיליון ש"ח. החריגה האמורה התפתחה בשל</w:t>
      </w:r>
    </w:p>
    <w:p w14:paraId="79963426"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כך שהתקציב שנקבע ע"י ועדת המכרזים שהקימה את הקרן לא הספיק עבור הפעולות ההכרחיות של הקרן הנלוות לצורך ביצוע ייעודה.</w:t>
      </w:r>
    </w:p>
    <w:p w14:paraId="125B9A0E" w14:textId="77777777" w:rsidR="006C747C" w:rsidRDefault="006C747C" w:rsidP="006C747C">
      <w:pPr>
        <w:jc w:val="both"/>
        <w:rPr>
          <w:rFonts w:ascii="FrankRuehl" w:hAnsi="FrankRuehl" w:cs="FrankRuehl" w:hint="cs"/>
          <w:b/>
          <w:bCs/>
          <w:sz w:val="26"/>
          <w:szCs w:val="26"/>
          <w:rtl/>
        </w:rPr>
      </w:pPr>
      <w:r>
        <w:rPr>
          <w:rFonts w:ascii="FrankRuehl" w:hAnsi="FrankRuehl" w:cs="FrankRuehl" w:hint="cs"/>
          <w:b/>
          <w:bCs/>
          <w:sz w:val="26"/>
          <w:szCs w:val="26"/>
          <w:rtl/>
        </w:rPr>
        <w:t>מטרת השינוי התקציבי:</w:t>
      </w:r>
    </w:p>
    <w:p w14:paraId="5F31D57D"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 xml:space="preserve">תוכנית "הזדמנות שווה" לליווי וייעוץ פיננסי </w:t>
      </w:r>
      <w:proofErr w:type="spellStart"/>
      <w:r>
        <w:rPr>
          <w:rFonts w:ascii="FrankRuehl" w:hAnsi="FrankRuehl" w:cs="FrankRuehl" w:hint="cs"/>
          <w:sz w:val="26"/>
          <w:szCs w:val="26"/>
          <w:rtl/>
        </w:rPr>
        <w:t>למודרי</w:t>
      </w:r>
      <w:proofErr w:type="spellEnd"/>
      <w:r>
        <w:rPr>
          <w:rFonts w:ascii="FrankRuehl" w:hAnsi="FrankRuehl" w:cs="FrankRuehl" w:hint="cs"/>
          <w:sz w:val="26"/>
          <w:szCs w:val="26"/>
          <w:rtl/>
        </w:rPr>
        <w:t xml:space="preserve"> אשראי פועלת מכוח מכרז שפרסם משרד האוצר, ומסגרת תקציבית כוללת של 6 מיליון ש"ח הוקצתה לשירותי הליווי הכלכלי. נכון לסוף שנת 2025 נוצלו מתוכה כ-4,069 אלפי ש</w:t>
      </w:r>
      <w:r>
        <w:rPr>
          <w:rFonts w:ascii="FrankRuehl" w:hAnsi="FrankRuehl" w:cs="FrankRuehl" w:hint="cs"/>
          <w:sz w:val="26"/>
          <w:szCs w:val="26"/>
        </w:rPr>
        <w:t>"</w:t>
      </w:r>
      <w:r>
        <w:rPr>
          <w:rFonts w:ascii="FrankRuehl" w:hAnsi="FrankRuehl" w:cs="FrankRuehl" w:hint="cs"/>
          <w:sz w:val="26"/>
          <w:szCs w:val="26"/>
          <w:rtl/>
        </w:rPr>
        <w:t>ח.</w:t>
      </w:r>
    </w:p>
    <w:p w14:paraId="15D8046A"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הליווי הכלכלי מהווה תנאי הכרחי להעמדת הלוואות במסלול השיקום הכלכלי (הלוואות של עד 50 אלפי ש"ח). הפסקת מימונו תמנע מעשית את המשך פעילות מסלול זה, ותפגע ביכולת לנצל את יתרת כספי הקרן המשותפת עד להגעה ליעד המלא של 90 מיליון ש"ח.</w:t>
      </w:r>
    </w:p>
    <w:p w14:paraId="1B2E0E7B" w14:textId="77777777" w:rsidR="006C747C" w:rsidRDefault="006C747C" w:rsidP="006C747C">
      <w:pPr>
        <w:jc w:val="both"/>
        <w:rPr>
          <w:rFonts w:ascii="FrankRuehl" w:hAnsi="FrankRuehl" w:cs="FrankRuehl" w:hint="cs"/>
          <w:sz w:val="26"/>
          <w:szCs w:val="26"/>
          <w:rtl/>
        </w:rPr>
      </w:pPr>
      <w:r>
        <w:rPr>
          <w:rFonts w:ascii="FrankRuehl" w:hAnsi="FrankRuehl" w:cs="FrankRuehl" w:hint="cs"/>
          <w:sz w:val="26"/>
          <w:szCs w:val="26"/>
          <w:rtl/>
        </w:rPr>
        <w:t>תוספת של 2,500 אלפי ש"ח תאפשר את המשך הפעילות הרציפה של שירות הליווי עד לסיום השנה, בהתאם לתנאי המכרז ולהתחייבויות המדינה כלפי ספק הליווי.</w:t>
      </w:r>
    </w:p>
    <w:p w14:paraId="50EE5275" w14:textId="77777777" w:rsidR="006C747C" w:rsidRDefault="006C747C" w:rsidP="006C747C">
      <w:pPr>
        <w:jc w:val="both"/>
        <w:rPr>
          <w:rFonts w:ascii="FrankRuehl" w:hAnsi="FrankRuehl" w:cs="FrankRuehl" w:hint="cs"/>
          <w:b/>
          <w:bCs/>
          <w:sz w:val="26"/>
          <w:szCs w:val="26"/>
          <w:rtl/>
        </w:rPr>
      </w:pPr>
    </w:p>
    <w:p w14:paraId="61DE412C" w14:textId="77777777" w:rsidR="006C747C" w:rsidRDefault="006C747C" w:rsidP="006C747C">
      <w:pPr>
        <w:jc w:val="both"/>
        <w:rPr>
          <w:rFonts w:ascii="FrankRuehl" w:hAnsi="FrankRuehl" w:cs="FrankRuehl" w:hint="cs"/>
          <w:sz w:val="26"/>
          <w:szCs w:val="26"/>
          <w:rtl/>
        </w:rPr>
      </w:pPr>
      <w:r>
        <w:rPr>
          <w:rFonts w:ascii="FrankRuehl" w:hAnsi="FrankRuehl" w:cs="FrankRuehl" w:hint="cs"/>
          <w:b/>
          <w:bCs/>
          <w:sz w:val="26"/>
          <w:szCs w:val="26"/>
          <w:rtl/>
        </w:rPr>
        <w:t xml:space="preserve">השפעה על </w:t>
      </w:r>
      <w:proofErr w:type="spellStart"/>
      <w:r>
        <w:rPr>
          <w:rFonts w:ascii="FrankRuehl" w:hAnsi="FrankRuehl" w:cs="FrankRuehl" w:hint="cs"/>
          <w:b/>
          <w:bCs/>
          <w:sz w:val="26"/>
          <w:szCs w:val="26"/>
          <w:rtl/>
        </w:rPr>
        <w:t>כח</w:t>
      </w:r>
      <w:proofErr w:type="spellEnd"/>
      <w:r>
        <w:rPr>
          <w:rFonts w:ascii="FrankRuehl" w:hAnsi="FrankRuehl" w:cs="FrankRuehl" w:hint="cs"/>
          <w:b/>
          <w:bCs/>
          <w:sz w:val="26"/>
          <w:szCs w:val="26"/>
          <w:rtl/>
        </w:rPr>
        <w:t xml:space="preserve"> אדם:</w:t>
      </w:r>
      <w:r>
        <w:rPr>
          <w:rFonts w:ascii="FrankRuehl" w:hAnsi="FrankRuehl" w:cs="FrankRuehl" w:hint="cs"/>
          <w:sz w:val="26"/>
          <w:szCs w:val="26"/>
          <w:rtl/>
        </w:rPr>
        <w:t xml:space="preserve"> אין.</w:t>
      </w:r>
    </w:p>
    <w:p w14:paraId="267719B1" w14:textId="77777777" w:rsidR="006C747C" w:rsidRDefault="006C747C" w:rsidP="006C747C">
      <w:pPr>
        <w:rPr>
          <w:rFonts w:ascii="FrankRuehl" w:hAnsi="FrankRuehl" w:cs="FrankRuehl" w:hint="cs"/>
          <w:sz w:val="26"/>
          <w:szCs w:val="26"/>
          <w:rtl/>
        </w:rPr>
      </w:pPr>
    </w:p>
    <w:p w14:paraId="6B0180B0" w14:textId="77777777" w:rsidR="00AA4BE2" w:rsidRPr="00105112" w:rsidRDefault="00AA4BE2">
      <w:pPr>
        <w:rPr>
          <w:rFonts w:ascii="FrankRuehl" w:hAnsi="FrankRuehl" w:cs="FrankRuehl"/>
          <w:sz w:val="26"/>
          <w:szCs w:val="26"/>
          <w:rtl/>
        </w:rPr>
      </w:pPr>
    </w:p>
    <w:p w14:paraId="33B2C64A" w14:textId="77777777" w:rsidR="00AA4BE2" w:rsidRPr="00105112" w:rsidRDefault="00AA4BE2">
      <w:pPr>
        <w:rPr>
          <w:rFonts w:ascii="FrankRuehl" w:hAnsi="FrankRuehl" w:cs="FrankRuehl"/>
          <w:sz w:val="26"/>
          <w:szCs w:val="26"/>
          <w:rtl/>
        </w:rPr>
      </w:pPr>
    </w:p>
    <w:p w14:paraId="6C6DE384" w14:textId="77777777" w:rsidR="00AA4BE2" w:rsidRPr="00105112" w:rsidRDefault="00AA4BE2">
      <w:pPr>
        <w:tabs>
          <w:tab w:val="center" w:pos="6867"/>
        </w:tabs>
        <w:rPr>
          <w:rFonts w:ascii="FrankRuehl" w:hAnsi="FrankRuehl" w:cs="FrankRuehl"/>
          <w:sz w:val="26"/>
          <w:szCs w:val="26"/>
          <w:rtl/>
        </w:rPr>
      </w:pPr>
      <w:r w:rsidRPr="00105112">
        <w:rPr>
          <w:rFonts w:ascii="FrankRuehl" w:hAnsi="FrankRuehl" w:cs="FrankRuehl"/>
          <w:sz w:val="26"/>
          <w:szCs w:val="26"/>
          <w:rtl/>
        </w:rPr>
        <w:tab/>
        <w:t>בכבוד רב,</w:t>
      </w:r>
    </w:p>
    <w:p w14:paraId="4EBE289A" w14:textId="77777777" w:rsidR="00AA4BE2" w:rsidRPr="00105112" w:rsidRDefault="00AA4BE2">
      <w:pPr>
        <w:tabs>
          <w:tab w:val="center" w:pos="6867"/>
        </w:tabs>
        <w:rPr>
          <w:rFonts w:ascii="FrankRuehl" w:hAnsi="FrankRuehl" w:cs="FrankRuehl"/>
          <w:sz w:val="26"/>
          <w:szCs w:val="26"/>
          <w:rtl/>
        </w:rPr>
      </w:pPr>
      <w:r w:rsidRPr="00105112">
        <w:rPr>
          <w:rFonts w:ascii="FrankRuehl" w:hAnsi="FrankRuehl" w:cs="FrankRuehl"/>
          <w:sz w:val="26"/>
          <w:szCs w:val="26"/>
          <w:rtl/>
        </w:rPr>
        <w:tab/>
      </w:r>
    </w:p>
    <w:p w14:paraId="70287A47" w14:textId="77777777" w:rsidR="00AA4BE2" w:rsidRPr="00105112" w:rsidRDefault="00A30AC7">
      <w:pPr>
        <w:tabs>
          <w:tab w:val="center" w:pos="6867"/>
        </w:tabs>
        <w:rPr>
          <w:rFonts w:ascii="FrankRuehl" w:hAnsi="FrankRuehl" w:cs="FrankRuehl"/>
          <w:sz w:val="26"/>
          <w:szCs w:val="26"/>
        </w:rPr>
      </w:pPr>
      <w:r w:rsidRPr="00105112">
        <w:rPr>
          <w:rFonts w:ascii="FrankRuehl" w:hAnsi="FrankRuehl" w:cs="FrankRuehl"/>
          <w:sz w:val="26"/>
          <w:szCs w:val="26"/>
          <w:rtl/>
        </w:rPr>
        <w:tab/>
      </w:r>
      <w:bookmarkStart w:id="7" w:name="Sign_Image"/>
      <w:bookmarkEnd w:id="7"/>
    </w:p>
    <w:p w14:paraId="5BE7E9EE" w14:textId="77777777" w:rsidR="00AA4BE2" w:rsidRPr="00105112" w:rsidRDefault="00AA4BE2">
      <w:pPr>
        <w:tabs>
          <w:tab w:val="center" w:pos="6867"/>
        </w:tabs>
        <w:rPr>
          <w:rFonts w:ascii="FrankRuehl" w:hAnsi="FrankRuehl" w:cs="FrankRuehl"/>
          <w:sz w:val="26"/>
          <w:szCs w:val="26"/>
          <w:rtl/>
        </w:rPr>
      </w:pPr>
    </w:p>
    <w:p w14:paraId="6B063E47" w14:textId="77777777" w:rsidR="00AA4BE2" w:rsidRPr="00105112" w:rsidRDefault="00AA4BE2">
      <w:pPr>
        <w:tabs>
          <w:tab w:val="center" w:pos="6867"/>
        </w:tabs>
        <w:rPr>
          <w:rFonts w:ascii="FrankRuehl" w:hAnsi="FrankRuehl" w:cs="FrankRuehl"/>
          <w:sz w:val="26"/>
          <w:szCs w:val="26"/>
          <w:rtl/>
        </w:rPr>
      </w:pPr>
      <w:r w:rsidRPr="00105112">
        <w:rPr>
          <w:rFonts w:ascii="FrankRuehl" w:hAnsi="FrankRuehl" w:cs="FrankRuehl"/>
          <w:sz w:val="26"/>
          <w:szCs w:val="26"/>
          <w:rtl/>
        </w:rPr>
        <w:tab/>
      </w:r>
    </w:p>
    <w:p w14:paraId="69901C6E" w14:textId="77777777" w:rsidR="00AA4BE2" w:rsidRPr="00105112" w:rsidRDefault="00AA4BE2" w:rsidP="00BB06E9">
      <w:pPr>
        <w:tabs>
          <w:tab w:val="center" w:pos="6867"/>
        </w:tabs>
        <w:rPr>
          <w:rFonts w:ascii="FrankRuehl" w:hAnsi="FrankRuehl" w:cs="FrankRuehl"/>
          <w:sz w:val="26"/>
          <w:szCs w:val="26"/>
          <w:rtl/>
        </w:rPr>
      </w:pPr>
      <w:r w:rsidRPr="00105112">
        <w:rPr>
          <w:rFonts w:ascii="FrankRuehl" w:hAnsi="FrankRuehl" w:cs="FrankRuehl"/>
          <w:sz w:val="26"/>
          <w:szCs w:val="26"/>
          <w:rtl/>
        </w:rPr>
        <w:tab/>
      </w:r>
    </w:p>
    <w:p w14:paraId="589FA4DD" w14:textId="77777777" w:rsidR="00AA4BE2" w:rsidRPr="00105112" w:rsidRDefault="00AA4BE2">
      <w:pPr>
        <w:rPr>
          <w:rFonts w:ascii="FrankRuehl" w:hAnsi="FrankRuehl" w:cs="FrankRuehl"/>
          <w:sz w:val="26"/>
          <w:szCs w:val="26"/>
          <w:rtl/>
        </w:rPr>
      </w:pPr>
      <w:r w:rsidRPr="00105112">
        <w:rPr>
          <w:rFonts w:ascii="FrankRuehl" w:hAnsi="FrankRuehl" w:cs="FrankRuehl"/>
          <w:sz w:val="26"/>
          <w:szCs w:val="26"/>
          <w:rtl/>
        </w:rPr>
        <w:t>העתק:</w:t>
      </w:r>
    </w:p>
    <w:p w14:paraId="7F84AA9E" w14:textId="77777777" w:rsidR="00AA4BE2" w:rsidRPr="00105112" w:rsidRDefault="00AA4BE2">
      <w:pPr>
        <w:rPr>
          <w:rFonts w:ascii="FrankRuehl" w:hAnsi="FrankRuehl" w:cs="FrankRuehl"/>
          <w:sz w:val="26"/>
          <w:szCs w:val="26"/>
          <w:rtl/>
        </w:rPr>
      </w:pPr>
      <w:r w:rsidRPr="00105112">
        <w:rPr>
          <w:rFonts w:ascii="FrankRuehl" w:hAnsi="FrankRuehl" w:cs="FrankRuehl"/>
          <w:sz w:val="26"/>
          <w:szCs w:val="26"/>
          <w:rtl/>
        </w:rPr>
        <w:t>החשב הכללי</w:t>
      </w:r>
    </w:p>
    <w:p w14:paraId="1F9264AA" w14:textId="77777777" w:rsidR="00AA4BE2" w:rsidRPr="00105112" w:rsidRDefault="00AA4BE2">
      <w:pPr>
        <w:rPr>
          <w:rFonts w:ascii="FrankRuehl" w:hAnsi="FrankRuehl" w:cs="FrankRuehl"/>
          <w:sz w:val="26"/>
          <w:szCs w:val="26"/>
          <w:rtl/>
        </w:rPr>
      </w:pPr>
      <w:r w:rsidRPr="00105112">
        <w:rPr>
          <w:rFonts w:ascii="FrankRuehl" w:hAnsi="FrankRuehl" w:cs="FrankRuehl"/>
          <w:sz w:val="26"/>
          <w:szCs w:val="26"/>
          <w:rtl/>
        </w:rPr>
        <w:t>מבקר המדינה (2)</w:t>
      </w:r>
    </w:p>
    <w:p w14:paraId="4E2C8B93" w14:textId="1AD0267D" w:rsidR="00AA4BE2" w:rsidRPr="00105112" w:rsidRDefault="00B47792">
      <w:pPr>
        <w:rPr>
          <w:rFonts w:ascii="FrankRuehl" w:hAnsi="FrankRuehl" w:cs="FrankRuehl"/>
          <w:sz w:val="26"/>
          <w:szCs w:val="26"/>
          <w:rtl/>
        </w:rPr>
      </w:pPr>
      <w:bookmarkStart w:id="8" w:name="TAKZIV22"/>
      <w:r w:rsidRPr="00105112">
        <w:rPr>
          <w:rFonts w:ascii="FrankRuehl" w:hAnsi="FrankRuehl" w:cs="FrankRuehl"/>
          <w:sz w:val="26"/>
          <w:szCs w:val="26"/>
          <w:rtl/>
        </w:rPr>
        <w:t>חשב החשב הכללי</w:t>
      </w:r>
      <w:bookmarkEnd w:id="8"/>
    </w:p>
    <w:p w14:paraId="1DF35AA0" w14:textId="5AE677D6" w:rsidR="00AA4BE2" w:rsidRPr="00105112" w:rsidRDefault="00AA4BE2">
      <w:pPr>
        <w:rPr>
          <w:rFonts w:ascii="FrankRuehl" w:hAnsi="FrankRuehl" w:cs="FrankRuehl"/>
          <w:sz w:val="26"/>
          <w:szCs w:val="26"/>
          <w:rtl/>
        </w:rPr>
      </w:pPr>
      <w:r w:rsidRPr="00105112">
        <w:rPr>
          <w:rFonts w:ascii="FrankRuehl" w:hAnsi="FrankRuehl" w:cs="FrankRuehl"/>
          <w:sz w:val="26"/>
          <w:szCs w:val="26"/>
          <w:rtl/>
        </w:rPr>
        <w:t xml:space="preserve">קצין תקציבים </w:t>
      </w:r>
      <w:bookmarkStart w:id="9" w:name="TAKZIV6"/>
      <w:r w:rsidR="00B47792" w:rsidRPr="00105112">
        <w:rPr>
          <w:rFonts w:ascii="FrankRuehl" w:hAnsi="FrankRuehl" w:cs="FrankRuehl"/>
          <w:sz w:val="26"/>
          <w:szCs w:val="26"/>
          <w:rtl/>
        </w:rPr>
        <w:t>הוצאות שונות</w:t>
      </w:r>
      <w:bookmarkEnd w:id="9"/>
    </w:p>
    <w:p w14:paraId="1BE865E6" w14:textId="569042FA" w:rsidR="00AA4BE2" w:rsidRPr="00105112" w:rsidRDefault="00AA4BE2">
      <w:pPr>
        <w:rPr>
          <w:rFonts w:ascii="FrankRuehl" w:hAnsi="FrankRuehl" w:cs="FrankRuehl"/>
          <w:sz w:val="26"/>
          <w:szCs w:val="26"/>
          <w:rtl/>
        </w:rPr>
      </w:pPr>
      <w:r w:rsidRPr="00105112">
        <w:rPr>
          <w:rFonts w:ascii="FrankRuehl" w:hAnsi="FrankRuehl" w:cs="FrankRuehl"/>
          <w:sz w:val="26"/>
          <w:szCs w:val="26"/>
          <w:rtl/>
        </w:rPr>
        <w:t xml:space="preserve">רפרנט </w:t>
      </w:r>
      <w:bookmarkStart w:id="10" w:name="TAKZIV6_1"/>
      <w:r w:rsidR="00B47792" w:rsidRPr="00105112">
        <w:rPr>
          <w:rFonts w:ascii="FrankRuehl" w:hAnsi="FrankRuehl" w:cs="FrankRuehl"/>
          <w:sz w:val="26"/>
          <w:szCs w:val="26"/>
          <w:rtl/>
        </w:rPr>
        <w:t>הוצאות שונות</w:t>
      </w:r>
      <w:bookmarkEnd w:id="10"/>
    </w:p>
    <w:p w14:paraId="3D99DDC1" w14:textId="77777777" w:rsidR="00AA4BE2" w:rsidRPr="00105112" w:rsidRDefault="00AA4BE2">
      <w:pPr>
        <w:rPr>
          <w:rFonts w:ascii="FrankRuehl" w:hAnsi="FrankRuehl" w:cs="FrankRuehl"/>
          <w:sz w:val="26"/>
          <w:szCs w:val="26"/>
          <w:rtl/>
        </w:rPr>
      </w:pPr>
      <w:bookmarkStart w:id="11" w:name="TAKZIV23"/>
      <w:bookmarkEnd w:id="11"/>
    </w:p>
    <w:p w14:paraId="52DD0D9A" w14:textId="77777777" w:rsidR="00AA4BE2" w:rsidRPr="00105112" w:rsidRDefault="00AA4BE2">
      <w:pPr>
        <w:rPr>
          <w:rFonts w:ascii="FrankRuehl" w:hAnsi="FrankRuehl" w:cs="FrankRuehl"/>
          <w:sz w:val="26"/>
          <w:szCs w:val="26"/>
          <w:rtl/>
        </w:rPr>
      </w:pPr>
    </w:p>
    <w:p w14:paraId="055FBAA5" w14:textId="3D1FB95B" w:rsidR="00AA4BE2" w:rsidRDefault="00AA4BE2">
      <w:pPr>
        <w:rPr>
          <w:rFonts w:ascii="FrankRuehl" w:hAnsi="FrankRuehl" w:cs="FrankRuehl"/>
          <w:sz w:val="26"/>
          <w:szCs w:val="26"/>
          <w:rtl/>
        </w:rPr>
      </w:pPr>
      <w:bookmarkStart w:id="12" w:name="TAKZIV25"/>
      <w:bookmarkEnd w:id="12"/>
    </w:p>
    <w:p w14:paraId="0516A623" w14:textId="50F04A88" w:rsidR="00105112" w:rsidRDefault="00105112">
      <w:pPr>
        <w:rPr>
          <w:rFonts w:ascii="FrankRuehl" w:hAnsi="FrankRuehl" w:cs="FrankRuehl"/>
          <w:sz w:val="26"/>
          <w:szCs w:val="26"/>
          <w:rtl/>
        </w:rPr>
      </w:pPr>
    </w:p>
    <w:p w14:paraId="2D6817A1" w14:textId="0D5F3543" w:rsidR="00105112" w:rsidRDefault="00105112">
      <w:pPr>
        <w:rPr>
          <w:rFonts w:ascii="FrankRuehl" w:hAnsi="FrankRuehl" w:cs="FrankRuehl"/>
          <w:sz w:val="26"/>
          <w:szCs w:val="26"/>
          <w:rtl/>
        </w:rPr>
      </w:pPr>
    </w:p>
    <w:p w14:paraId="188B008B" w14:textId="27A086A0" w:rsidR="00105112" w:rsidRDefault="00105112">
      <w:pPr>
        <w:rPr>
          <w:rFonts w:ascii="FrankRuehl" w:hAnsi="FrankRuehl" w:cs="FrankRuehl"/>
          <w:sz w:val="26"/>
          <w:szCs w:val="26"/>
          <w:rtl/>
        </w:rPr>
      </w:pPr>
    </w:p>
    <w:p w14:paraId="54596F75" w14:textId="0615B25A" w:rsidR="00105112" w:rsidRDefault="00105112">
      <w:pPr>
        <w:rPr>
          <w:rFonts w:ascii="FrankRuehl" w:hAnsi="FrankRuehl" w:cs="FrankRuehl"/>
          <w:sz w:val="26"/>
          <w:szCs w:val="26"/>
          <w:rtl/>
        </w:rPr>
      </w:pPr>
    </w:p>
    <w:p w14:paraId="0967C7D1" w14:textId="6D695B57" w:rsidR="00105112" w:rsidRDefault="00105112">
      <w:pPr>
        <w:rPr>
          <w:rFonts w:ascii="FrankRuehl" w:hAnsi="FrankRuehl" w:cs="FrankRuehl"/>
          <w:sz w:val="26"/>
          <w:szCs w:val="26"/>
          <w:rtl/>
        </w:rPr>
      </w:pPr>
    </w:p>
    <w:p w14:paraId="7DE1FE34" w14:textId="61E21CC8" w:rsidR="00105112" w:rsidRDefault="00105112">
      <w:pPr>
        <w:rPr>
          <w:rFonts w:ascii="FrankRuehl" w:hAnsi="FrankRuehl" w:cs="FrankRuehl"/>
          <w:sz w:val="26"/>
          <w:szCs w:val="26"/>
          <w:rtl/>
        </w:rPr>
      </w:pPr>
    </w:p>
    <w:p w14:paraId="3A77034B" w14:textId="02C61789" w:rsidR="00105112" w:rsidRDefault="00105112">
      <w:pPr>
        <w:rPr>
          <w:rFonts w:ascii="FrankRuehl" w:hAnsi="FrankRuehl" w:cs="FrankRuehl"/>
          <w:sz w:val="26"/>
          <w:szCs w:val="26"/>
          <w:rtl/>
        </w:rPr>
      </w:pPr>
    </w:p>
    <w:p w14:paraId="04819A98" w14:textId="7B14790F" w:rsidR="00105112" w:rsidRDefault="00105112">
      <w:pPr>
        <w:rPr>
          <w:rFonts w:ascii="FrankRuehl" w:hAnsi="FrankRuehl" w:cs="FrankRuehl"/>
          <w:sz w:val="26"/>
          <w:szCs w:val="26"/>
          <w:rtl/>
        </w:rPr>
      </w:pPr>
    </w:p>
    <w:p w14:paraId="5B751BFD" w14:textId="36BFAB07" w:rsidR="00105112" w:rsidRDefault="00105112">
      <w:pPr>
        <w:rPr>
          <w:rFonts w:ascii="FrankRuehl" w:hAnsi="FrankRuehl" w:cs="FrankRuehl"/>
          <w:sz w:val="26"/>
          <w:szCs w:val="26"/>
          <w:rtl/>
        </w:rPr>
      </w:pPr>
    </w:p>
    <w:p w14:paraId="7210F784" w14:textId="0FF48A34" w:rsidR="00105112" w:rsidRDefault="00105112">
      <w:pPr>
        <w:rPr>
          <w:rFonts w:ascii="FrankRuehl" w:hAnsi="FrankRuehl" w:cs="FrankRuehl"/>
          <w:sz w:val="26"/>
          <w:szCs w:val="26"/>
          <w:rtl/>
        </w:rPr>
      </w:pPr>
    </w:p>
    <w:p w14:paraId="33669B1F" w14:textId="0259D0E1" w:rsidR="00105112" w:rsidRDefault="00105112">
      <w:pPr>
        <w:rPr>
          <w:rFonts w:ascii="FrankRuehl" w:hAnsi="FrankRuehl" w:cs="FrankRuehl"/>
          <w:sz w:val="26"/>
          <w:szCs w:val="26"/>
          <w:rtl/>
        </w:rPr>
      </w:pPr>
    </w:p>
    <w:p w14:paraId="4AAEE855" w14:textId="3313DF3F" w:rsidR="00105112" w:rsidRDefault="00105112">
      <w:pPr>
        <w:rPr>
          <w:rFonts w:ascii="FrankRuehl" w:hAnsi="FrankRuehl" w:cs="FrankRuehl"/>
          <w:sz w:val="26"/>
          <w:szCs w:val="26"/>
          <w:rtl/>
        </w:rPr>
      </w:pPr>
    </w:p>
    <w:p w14:paraId="1C68409E" w14:textId="6683A0DF" w:rsidR="00105112" w:rsidRDefault="00105112">
      <w:pPr>
        <w:rPr>
          <w:rFonts w:ascii="FrankRuehl" w:hAnsi="FrankRuehl" w:cs="FrankRuehl"/>
          <w:sz w:val="26"/>
          <w:szCs w:val="26"/>
          <w:rtl/>
        </w:rPr>
      </w:pPr>
    </w:p>
    <w:p w14:paraId="62BF830C" w14:textId="68133CBF" w:rsidR="00105112" w:rsidRDefault="00105112">
      <w:pPr>
        <w:rPr>
          <w:rFonts w:ascii="FrankRuehl" w:hAnsi="FrankRuehl" w:cs="FrankRuehl"/>
          <w:sz w:val="26"/>
          <w:szCs w:val="26"/>
          <w:rtl/>
        </w:rPr>
      </w:pPr>
    </w:p>
    <w:p w14:paraId="450E5FFA" w14:textId="5384C592" w:rsidR="00105112" w:rsidRDefault="00105112">
      <w:pPr>
        <w:rPr>
          <w:rFonts w:ascii="FrankRuehl" w:hAnsi="FrankRuehl" w:cs="FrankRuehl"/>
          <w:sz w:val="26"/>
          <w:szCs w:val="26"/>
          <w:rtl/>
        </w:rPr>
      </w:pPr>
    </w:p>
    <w:p w14:paraId="380D77F3" w14:textId="77777777" w:rsidR="006C747C" w:rsidRDefault="006C747C" w:rsidP="006C747C">
      <w:pPr>
        <w:rPr>
          <w:rFonts w:ascii="FrankRuehl" w:hAnsi="FrankRuehl" w:cs="FrankRuehl" w:hint="cs"/>
          <w:sz w:val="26"/>
          <w:szCs w:val="26"/>
          <w:rtl/>
        </w:rPr>
      </w:pPr>
    </w:p>
    <w:tbl>
      <w:tblPr>
        <w:tblW w:w="9400" w:type="dxa"/>
        <w:jc w:val="center"/>
        <w:tblLook w:val="04A0" w:firstRow="1" w:lastRow="0" w:firstColumn="1" w:lastColumn="0" w:noHBand="0" w:noVBand="1"/>
      </w:tblPr>
      <w:tblGrid>
        <w:gridCol w:w="1045"/>
        <w:gridCol w:w="1526"/>
        <w:gridCol w:w="1156"/>
        <w:gridCol w:w="1256"/>
        <w:gridCol w:w="1256"/>
        <w:gridCol w:w="1256"/>
        <w:gridCol w:w="1256"/>
        <w:gridCol w:w="1157"/>
        <w:gridCol w:w="920"/>
      </w:tblGrid>
      <w:tr w:rsidR="006C747C" w14:paraId="0DD67849" w14:textId="77777777" w:rsidTr="006C747C">
        <w:trPr>
          <w:trHeight w:val="300"/>
          <w:jc w:val="center"/>
        </w:trPr>
        <w:tc>
          <w:tcPr>
            <w:tcW w:w="8480" w:type="dxa"/>
            <w:gridSpan w:val="8"/>
            <w:vAlign w:val="center"/>
          </w:tcPr>
          <w:tbl>
            <w:tblPr>
              <w:tblW w:w="9692" w:type="dxa"/>
              <w:tblCellSpacing w:w="0" w:type="dxa"/>
              <w:shd w:val="clear" w:color="auto" w:fill="FFFFFF"/>
              <w:tblLook w:val="04A0" w:firstRow="1" w:lastRow="0" w:firstColumn="1" w:lastColumn="0" w:noHBand="0" w:noVBand="1"/>
            </w:tblPr>
            <w:tblGrid>
              <w:gridCol w:w="9692"/>
            </w:tblGrid>
            <w:tr w:rsidR="006C747C" w14:paraId="2066DB04" w14:textId="77777777" w:rsidTr="006D22F1">
              <w:trPr>
                <w:trHeight w:val="312"/>
                <w:tblCellSpacing w:w="0" w:type="dxa"/>
              </w:trPr>
              <w:tc>
                <w:tcPr>
                  <w:tcW w:w="0" w:type="auto"/>
                  <w:shd w:val="clear" w:color="auto" w:fill="FFFFFF"/>
                  <w:tcMar>
                    <w:top w:w="0" w:type="dxa"/>
                    <w:left w:w="0" w:type="dxa"/>
                    <w:bottom w:w="0" w:type="dxa"/>
                    <w:right w:w="0" w:type="dxa"/>
                  </w:tcMar>
                  <w:vAlign w:val="center"/>
                  <w:hideMark/>
                </w:tcPr>
                <w:tbl>
                  <w:tblPr>
                    <w:tblW w:w="8250" w:type="dxa"/>
                    <w:jc w:val="center"/>
                    <w:tblCellSpacing w:w="0" w:type="dxa"/>
                    <w:tblLook w:val="04A0" w:firstRow="1" w:lastRow="0" w:firstColumn="1" w:lastColumn="0" w:noHBand="0" w:noVBand="1"/>
                  </w:tblPr>
                  <w:tblGrid>
                    <w:gridCol w:w="8250"/>
                  </w:tblGrid>
                  <w:tr w:rsidR="006C747C" w14:paraId="593BFE98" w14:textId="77777777" w:rsidTr="006D22F1">
                    <w:trPr>
                      <w:tblCellSpacing w:w="0" w:type="dxa"/>
                      <w:jc w:val="center"/>
                    </w:trPr>
                    <w:tc>
                      <w:tcPr>
                        <w:tcW w:w="0" w:type="auto"/>
                        <w:tcMar>
                          <w:top w:w="0" w:type="dxa"/>
                          <w:left w:w="0" w:type="dxa"/>
                          <w:bottom w:w="0" w:type="dxa"/>
                          <w:right w:w="1500" w:type="dxa"/>
                        </w:tcMar>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6750"/>
                        </w:tblGrid>
                        <w:tr w:rsidR="006C747C" w14:paraId="047761DF" w14:textId="77777777" w:rsidTr="006D22F1">
                          <w:trPr>
                            <w:tblCellSpacing w:w="0" w:type="dxa"/>
                            <w:jc w:val="center"/>
                          </w:trPr>
                          <w:tc>
                            <w:tcPr>
                              <w:tcW w:w="0" w:type="auto"/>
                              <w:vAlign w:val="center"/>
                              <w:hideMark/>
                            </w:tcPr>
                            <w:p w14:paraId="77BF644A" w14:textId="77777777" w:rsidR="006C747C" w:rsidRDefault="006C747C" w:rsidP="006C747C">
                              <w:pPr>
                                <w:bidi w:val="0"/>
                                <w:jc w:val="center"/>
                                <w:rPr>
                                  <w:rFonts w:ascii="FrankRuehl" w:hAnsi="FrankRuehl" w:cs="FrankRuehl" w:hint="cs"/>
                                  <w:b/>
                                  <w:bCs/>
                                  <w:sz w:val="26"/>
                                  <w:szCs w:val="26"/>
                                  <w:u w:val="single"/>
                                </w:rPr>
                              </w:pPr>
                              <w:r>
                                <w:rPr>
                                  <w:rFonts w:ascii="FrankRuehl" w:hAnsi="FrankRuehl" w:cs="FrankRuehl" w:hint="cs"/>
                                  <w:b/>
                                  <w:bCs/>
                                  <w:sz w:val="26"/>
                                  <w:szCs w:val="26"/>
                                  <w:u w:val="single"/>
                                  <w:rtl/>
                                </w:rPr>
                                <w:t>נספח דברי ההסבר לפנייה</w:t>
                              </w:r>
                            </w:p>
                          </w:tc>
                        </w:tr>
                      </w:tbl>
                      <w:p w14:paraId="72F26C91" w14:textId="77777777" w:rsidR="006C747C" w:rsidRDefault="006C747C" w:rsidP="006C747C">
                        <w:pPr>
                          <w:bidi w:val="0"/>
                          <w:jc w:val="right"/>
                          <w:rPr>
                            <w:rFonts w:ascii="Calibri" w:eastAsia="Calibri" w:hAnsi="Calibri" w:cs="Arial" w:hint="cs"/>
                            <w:szCs w:val="20"/>
                          </w:rPr>
                        </w:pPr>
                      </w:p>
                    </w:tc>
                  </w:tr>
                </w:tbl>
                <w:p w14:paraId="6DA2FA3D" w14:textId="77777777" w:rsidR="006C747C" w:rsidRDefault="006C747C" w:rsidP="006C747C">
                  <w:pPr>
                    <w:bidi w:val="0"/>
                    <w:jc w:val="right"/>
                    <w:rPr>
                      <w:rFonts w:ascii="Calibri" w:hAnsi="Calibri" w:cs="Arial"/>
                      <w:szCs w:val="20"/>
                    </w:rPr>
                  </w:pPr>
                </w:p>
              </w:tc>
            </w:tr>
          </w:tbl>
          <w:p w14:paraId="24ECEED0" w14:textId="77777777" w:rsidR="006C747C" w:rsidRDefault="006C747C" w:rsidP="006C747C">
            <w:pPr>
              <w:bidi w:val="0"/>
              <w:jc w:val="right"/>
              <w:rPr>
                <w:rFonts w:ascii="FrankRuehl" w:hAnsi="FrankRuehl" w:cs="FrankRuehl"/>
                <w:sz w:val="26"/>
                <w:szCs w:val="26"/>
              </w:rPr>
            </w:pPr>
          </w:p>
          <w:tbl>
            <w:tblPr>
              <w:tblW w:w="5000" w:type="pct"/>
              <w:jc w:val="center"/>
              <w:tblLook w:val="04A0" w:firstRow="1" w:lastRow="0" w:firstColumn="1" w:lastColumn="0" w:noHBand="0" w:noVBand="1"/>
            </w:tblPr>
            <w:tblGrid>
              <w:gridCol w:w="864"/>
              <w:gridCol w:w="1322"/>
              <w:gridCol w:w="1087"/>
              <w:gridCol w:w="1087"/>
              <w:gridCol w:w="1087"/>
              <w:gridCol w:w="1018"/>
              <w:gridCol w:w="1087"/>
              <w:gridCol w:w="1053"/>
              <w:gridCol w:w="1087"/>
            </w:tblGrid>
            <w:tr w:rsidR="006C747C" w14:paraId="46E86A58" w14:textId="77777777" w:rsidTr="006C747C">
              <w:trPr>
                <w:trHeight w:val="300"/>
                <w:jc w:val="center"/>
              </w:trPr>
              <w:tc>
                <w:tcPr>
                  <w:tcW w:w="4459" w:type="pct"/>
                  <w:gridSpan w:val="8"/>
                  <w:vAlign w:val="center"/>
                  <w:hideMark/>
                </w:tcPr>
                <w:p w14:paraId="30926A8B" w14:textId="77777777" w:rsidR="006C747C" w:rsidRDefault="006C747C" w:rsidP="006C747C">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היסטוריה תקציבית של הפנייה - הוצאה נטו</w:t>
                  </w:r>
                </w:p>
              </w:tc>
              <w:tc>
                <w:tcPr>
                  <w:tcW w:w="541" w:type="pct"/>
                  <w:noWrap/>
                  <w:vAlign w:val="bottom"/>
                  <w:hideMark/>
                </w:tcPr>
                <w:p w14:paraId="7C0E2D2F" w14:textId="77777777" w:rsidR="006C747C" w:rsidRDefault="006C747C" w:rsidP="006C747C">
                  <w:pPr>
                    <w:jc w:val="right"/>
                    <w:rPr>
                      <w:rFonts w:ascii="FrankRuehl" w:hAnsi="FrankRuehl" w:cs="FrankRuehl" w:hint="cs"/>
                      <w:b/>
                      <w:bCs/>
                      <w:color w:val="000000"/>
                      <w:sz w:val="26"/>
                      <w:szCs w:val="26"/>
                    </w:rPr>
                  </w:pPr>
                </w:p>
              </w:tc>
            </w:tr>
            <w:tr w:rsidR="006C747C" w14:paraId="422BD1D3" w14:textId="77777777" w:rsidTr="006C747C">
              <w:trPr>
                <w:trHeight w:val="300"/>
                <w:jc w:val="center"/>
              </w:trPr>
              <w:tc>
                <w:tcPr>
                  <w:tcW w:w="430" w:type="pct"/>
                  <w:vAlign w:val="center"/>
                  <w:hideMark/>
                </w:tcPr>
                <w:p w14:paraId="5D449EFD" w14:textId="77777777" w:rsidR="006C747C" w:rsidRDefault="006C747C" w:rsidP="006C747C">
                  <w:pPr>
                    <w:bidi w:val="0"/>
                    <w:jc w:val="right"/>
                    <w:rPr>
                      <w:rFonts w:ascii="Calibri" w:hAnsi="Calibri" w:cs="Arial"/>
                      <w:szCs w:val="20"/>
                    </w:rPr>
                  </w:pPr>
                </w:p>
              </w:tc>
              <w:tc>
                <w:tcPr>
                  <w:tcW w:w="706" w:type="pct"/>
                  <w:noWrap/>
                  <w:vAlign w:val="bottom"/>
                  <w:hideMark/>
                </w:tcPr>
                <w:p w14:paraId="2C9434C4" w14:textId="77777777" w:rsidR="006C747C" w:rsidRDefault="006C747C" w:rsidP="006C747C">
                  <w:pPr>
                    <w:bidi w:val="0"/>
                    <w:jc w:val="right"/>
                    <w:rPr>
                      <w:rFonts w:ascii="Calibri" w:hAnsi="Calibri" w:cs="Arial"/>
                      <w:szCs w:val="20"/>
                    </w:rPr>
                  </w:pPr>
                </w:p>
              </w:tc>
              <w:tc>
                <w:tcPr>
                  <w:tcW w:w="541" w:type="pct"/>
                  <w:noWrap/>
                  <w:vAlign w:val="bottom"/>
                  <w:hideMark/>
                </w:tcPr>
                <w:p w14:paraId="4CB90969" w14:textId="77777777" w:rsidR="006C747C" w:rsidRDefault="006C747C" w:rsidP="006C747C">
                  <w:pPr>
                    <w:bidi w:val="0"/>
                    <w:jc w:val="right"/>
                    <w:rPr>
                      <w:rFonts w:ascii="Calibri" w:hAnsi="Calibri" w:cs="Arial"/>
                      <w:szCs w:val="20"/>
                    </w:rPr>
                  </w:pPr>
                </w:p>
              </w:tc>
              <w:tc>
                <w:tcPr>
                  <w:tcW w:w="567" w:type="pct"/>
                  <w:noWrap/>
                  <w:vAlign w:val="bottom"/>
                  <w:hideMark/>
                </w:tcPr>
                <w:p w14:paraId="71AAE28C" w14:textId="77777777" w:rsidR="006C747C" w:rsidRDefault="006C747C" w:rsidP="006C747C">
                  <w:pPr>
                    <w:bidi w:val="0"/>
                    <w:jc w:val="right"/>
                    <w:rPr>
                      <w:rFonts w:ascii="Calibri" w:hAnsi="Calibri" w:cs="Arial"/>
                      <w:szCs w:val="20"/>
                    </w:rPr>
                  </w:pPr>
                </w:p>
              </w:tc>
              <w:tc>
                <w:tcPr>
                  <w:tcW w:w="541" w:type="pct"/>
                  <w:noWrap/>
                  <w:vAlign w:val="bottom"/>
                  <w:hideMark/>
                </w:tcPr>
                <w:p w14:paraId="43C21A28" w14:textId="77777777" w:rsidR="006C747C" w:rsidRDefault="006C747C" w:rsidP="006C747C">
                  <w:pPr>
                    <w:bidi w:val="0"/>
                    <w:jc w:val="right"/>
                    <w:rPr>
                      <w:rFonts w:ascii="Calibri" w:hAnsi="Calibri" w:cs="Arial"/>
                      <w:szCs w:val="20"/>
                    </w:rPr>
                  </w:pPr>
                </w:p>
              </w:tc>
              <w:tc>
                <w:tcPr>
                  <w:tcW w:w="567" w:type="pct"/>
                  <w:noWrap/>
                  <w:vAlign w:val="bottom"/>
                  <w:hideMark/>
                </w:tcPr>
                <w:p w14:paraId="08724FC5" w14:textId="77777777" w:rsidR="006C747C" w:rsidRDefault="006C747C" w:rsidP="006C747C">
                  <w:pPr>
                    <w:bidi w:val="0"/>
                    <w:jc w:val="right"/>
                    <w:rPr>
                      <w:rFonts w:ascii="Calibri" w:hAnsi="Calibri" w:cs="Arial"/>
                      <w:szCs w:val="20"/>
                    </w:rPr>
                  </w:pPr>
                </w:p>
              </w:tc>
              <w:tc>
                <w:tcPr>
                  <w:tcW w:w="541" w:type="pct"/>
                  <w:noWrap/>
                  <w:vAlign w:val="bottom"/>
                  <w:hideMark/>
                </w:tcPr>
                <w:p w14:paraId="246AE6E0" w14:textId="77777777" w:rsidR="006C747C" w:rsidRDefault="006C747C" w:rsidP="006C747C">
                  <w:pPr>
                    <w:bidi w:val="0"/>
                    <w:jc w:val="right"/>
                    <w:rPr>
                      <w:rFonts w:ascii="Calibri" w:hAnsi="Calibri" w:cs="Arial"/>
                      <w:szCs w:val="20"/>
                    </w:rPr>
                  </w:pPr>
                </w:p>
              </w:tc>
              <w:tc>
                <w:tcPr>
                  <w:tcW w:w="567" w:type="pct"/>
                  <w:noWrap/>
                  <w:vAlign w:val="bottom"/>
                  <w:hideMark/>
                </w:tcPr>
                <w:p w14:paraId="3427DC98" w14:textId="77777777" w:rsidR="006C747C" w:rsidRDefault="006C747C" w:rsidP="006C747C">
                  <w:pPr>
                    <w:bidi w:val="0"/>
                    <w:jc w:val="right"/>
                    <w:rPr>
                      <w:rFonts w:ascii="Calibri" w:hAnsi="Calibri" w:cs="Arial"/>
                      <w:szCs w:val="20"/>
                    </w:rPr>
                  </w:pPr>
                </w:p>
              </w:tc>
              <w:tc>
                <w:tcPr>
                  <w:tcW w:w="541" w:type="pct"/>
                  <w:noWrap/>
                  <w:vAlign w:val="bottom"/>
                  <w:hideMark/>
                </w:tcPr>
                <w:p w14:paraId="7846760D" w14:textId="77777777" w:rsidR="006C747C" w:rsidRDefault="006C747C" w:rsidP="006C747C">
                  <w:pPr>
                    <w:bidi w:val="0"/>
                    <w:jc w:val="right"/>
                    <w:rPr>
                      <w:rFonts w:ascii="Calibri" w:hAnsi="Calibri" w:cs="Arial"/>
                      <w:szCs w:val="20"/>
                    </w:rPr>
                  </w:pPr>
                </w:p>
              </w:tc>
            </w:tr>
            <w:tr w:rsidR="006C747C" w14:paraId="09E8EB99" w14:textId="77777777" w:rsidTr="006C747C">
              <w:trPr>
                <w:trHeight w:val="675"/>
                <w:jc w:val="center"/>
              </w:trPr>
              <w:tc>
                <w:tcPr>
                  <w:tcW w:w="430" w:type="pct"/>
                  <w:tcBorders>
                    <w:top w:val="single" w:sz="4" w:space="0" w:color="979991"/>
                    <w:left w:val="single" w:sz="4" w:space="0" w:color="979991"/>
                    <w:bottom w:val="nil"/>
                    <w:right w:val="nil"/>
                  </w:tcBorders>
                  <w:shd w:val="clear" w:color="auto" w:fill="F0F4FA"/>
                  <w:vAlign w:val="center"/>
                  <w:hideMark/>
                </w:tcPr>
                <w:p w14:paraId="261D644B" w14:textId="77777777" w:rsidR="006C747C" w:rsidRDefault="006C747C" w:rsidP="006C747C">
                  <w:pPr>
                    <w:jc w:val="right"/>
                    <w:rPr>
                      <w:rFonts w:ascii="FrankRuehl" w:hAnsi="FrankRuehl" w:cs="FrankRuehl"/>
                      <w:b/>
                      <w:bCs/>
                      <w:color w:val="000000"/>
                      <w:sz w:val="26"/>
                      <w:szCs w:val="26"/>
                    </w:rPr>
                  </w:pPr>
                  <w:r>
                    <w:rPr>
                      <w:rFonts w:ascii="FrankRuehl" w:hAnsi="FrankRuehl" w:cs="FrankRuehl" w:hint="cs"/>
                      <w:b/>
                      <w:bCs/>
                      <w:color w:val="000000"/>
                      <w:sz w:val="26"/>
                      <w:szCs w:val="26"/>
                      <w:rtl/>
                    </w:rPr>
                    <w:t>קוד תוכנית</w:t>
                  </w:r>
                </w:p>
              </w:tc>
              <w:tc>
                <w:tcPr>
                  <w:tcW w:w="706" w:type="pct"/>
                  <w:tcBorders>
                    <w:top w:val="single" w:sz="4" w:space="0" w:color="979991"/>
                    <w:left w:val="single" w:sz="4" w:space="0" w:color="979991"/>
                    <w:bottom w:val="single" w:sz="4" w:space="0" w:color="979991"/>
                    <w:right w:val="nil"/>
                  </w:tcBorders>
                  <w:shd w:val="clear" w:color="auto" w:fill="F0F4FA"/>
                  <w:vAlign w:val="center"/>
                  <w:hideMark/>
                </w:tcPr>
                <w:p w14:paraId="509D6684" w14:textId="77777777" w:rsidR="006C747C" w:rsidRDefault="006C747C" w:rsidP="006C747C">
                  <w:pPr>
                    <w:jc w:val="right"/>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4172A48E"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567" w:type="pct"/>
                  <w:tcBorders>
                    <w:top w:val="single" w:sz="4" w:space="0" w:color="979991"/>
                    <w:left w:val="single" w:sz="4" w:space="0" w:color="979991"/>
                    <w:bottom w:val="single" w:sz="4" w:space="0" w:color="979991"/>
                    <w:right w:val="nil"/>
                  </w:tcBorders>
                  <w:shd w:val="clear" w:color="auto" w:fill="F0F4FA"/>
                  <w:vAlign w:val="center"/>
                  <w:hideMark/>
                </w:tcPr>
                <w:p w14:paraId="661FA3D1"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66DC66A9"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567" w:type="pct"/>
                  <w:tcBorders>
                    <w:top w:val="single" w:sz="4" w:space="0" w:color="979991"/>
                    <w:left w:val="single" w:sz="4" w:space="0" w:color="979991"/>
                    <w:bottom w:val="single" w:sz="4" w:space="0" w:color="979991"/>
                    <w:right w:val="nil"/>
                  </w:tcBorders>
                  <w:shd w:val="clear" w:color="auto" w:fill="F0F4FA"/>
                  <w:vAlign w:val="center"/>
                  <w:hideMark/>
                </w:tcPr>
                <w:p w14:paraId="305B4427"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38524F14"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567" w:type="pct"/>
                  <w:tcBorders>
                    <w:top w:val="single" w:sz="4" w:space="0" w:color="979991"/>
                    <w:left w:val="single" w:sz="4" w:space="0" w:color="979991"/>
                    <w:bottom w:val="single" w:sz="4" w:space="0" w:color="979991"/>
                    <w:right w:val="nil"/>
                  </w:tcBorders>
                  <w:shd w:val="clear" w:color="auto" w:fill="F0F4FA"/>
                  <w:vAlign w:val="center"/>
                  <w:hideMark/>
                </w:tcPr>
                <w:p w14:paraId="48B093F9"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 בניכוי עודפים שעברו ב-2023</w:t>
                  </w:r>
                </w:p>
              </w:tc>
              <w:tc>
                <w:tcPr>
                  <w:tcW w:w="541"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39298BE7" w14:textId="77777777" w:rsidR="006C747C" w:rsidRDefault="006C747C" w:rsidP="006C747C">
                  <w:pPr>
                    <w:jc w:val="right"/>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6C747C" w14:paraId="6BA017B7" w14:textId="77777777" w:rsidTr="006C747C">
              <w:trPr>
                <w:trHeight w:val="300"/>
                <w:jc w:val="center"/>
              </w:trPr>
              <w:tc>
                <w:tcPr>
                  <w:tcW w:w="430" w:type="pct"/>
                  <w:tcBorders>
                    <w:top w:val="single" w:sz="4" w:space="0" w:color="979991"/>
                    <w:left w:val="single" w:sz="4" w:space="0" w:color="979991"/>
                    <w:bottom w:val="single" w:sz="4" w:space="0" w:color="979991"/>
                    <w:right w:val="nil"/>
                  </w:tcBorders>
                  <w:shd w:val="clear" w:color="auto" w:fill="F0F4FA"/>
                  <w:vAlign w:val="center"/>
                  <w:hideMark/>
                </w:tcPr>
                <w:p w14:paraId="47A2F56B" w14:textId="77777777" w:rsidR="006C747C" w:rsidRDefault="006C747C" w:rsidP="006C747C">
                  <w:pPr>
                    <w:bidi w:val="0"/>
                    <w:jc w:val="right"/>
                    <w:rPr>
                      <w:rFonts w:ascii="FrankRuehl" w:hAnsi="FrankRuehl" w:cs="FrankRuehl" w:hint="cs"/>
                      <w:color w:val="000000"/>
                      <w:sz w:val="26"/>
                      <w:szCs w:val="26"/>
                      <w:rtl/>
                    </w:rPr>
                  </w:pPr>
                  <w:r>
                    <w:rPr>
                      <w:rFonts w:ascii="FrankRuehl" w:hAnsi="FrankRuehl" w:cs="FrankRuehl" w:hint="cs"/>
                      <w:color w:val="000000"/>
                      <w:sz w:val="26"/>
                      <w:szCs w:val="26"/>
                    </w:rPr>
                    <w:t>130105</w:t>
                  </w:r>
                </w:p>
              </w:tc>
              <w:tc>
                <w:tcPr>
                  <w:tcW w:w="706" w:type="pct"/>
                  <w:tcBorders>
                    <w:top w:val="nil"/>
                    <w:left w:val="single" w:sz="4" w:space="0" w:color="979991"/>
                    <w:bottom w:val="single" w:sz="4" w:space="0" w:color="979991"/>
                    <w:right w:val="nil"/>
                  </w:tcBorders>
                  <w:shd w:val="clear" w:color="auto" w:fill="FFFFFF"/>
                  <w:vAlign w:val="center"/>
                  <w:hideMark/>
                </w:tcPr>
                <w:p w14:paraId="51ADE37C" w14:textId="77777777" w:rsidR="006C747C" w:rsidRDefault="006C747C" w:rsidP="006C747C">
                  <w:pPr>
                    <w:bidi w:val="0"/>
                    <w:jc w:val="right"/>
                    <w:rPr>
                      <w:rFonts w:ascii="FrankRuehl" w:hAnsi="FrankRuehl" w:cs="FrankRuehl" w:hint="cs"/>
                      <w:color w:val="000000"/>
                      <w:sz w:val="26"/>
                      <w:szCs w:val="26"/>
                      <w:rtl/>
                    </w:rPr>
                  </w:pPr>
                  <w:r>
                    <w:rPr>
                      <w:rFonts w:ascii="FrankRuehl" w:hAnsi="FrankRuehl" w:cs="FrankRuehl" w:hint="cs"/>
                      <w:color w:val="000000"/>
                      <w:sz w:val="26"/>
                      <w:szCs w:val="26"/>
                    </w:rPr>
                    <w:t>2,500</w:t>
                  </w:r>
                </w:p>
              </w:tc>
              <w:tc>
                <w:tcPr>
                  <w:tcW w:w="541" w:type="pct"/>
                  <w:tcBorders>
                    <w:top w:val="nil"/>
                    <w:left w:val="single" w:sz="4" w:space="0" w:color="979991"/>
                    <w:bottom w:val="single" w:sz="4" w:space="0" w:color="979991"/>
                    <w:right w:val="nil"/>
                  </w:tcBorders>
                  <w:shd w:val="clear" w:color="auto" w:fill="FFFFFF"/>
                  <w:vAlign w:val="center"/>
                  <w:hideMark/>
                </w:tcPr>
                <w:p w14:paraId="16FCEF2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567" w:type="pct"/>
                  <w:tcBorders>
                    <w:top w:val="nil"/>
                    <w:left w:val="single" w:sz="4" w:space="0" w:color="979991"/>
                    <w:bottom w:val="single" w:sz="4" w:space="0" w:color="979991"/>
                    <w:right w:val="nil"/>
                  </w:tcBorders>
                  <w:shd w:val="clear" w:color="auto" w:fill="FFFFFF"/>
                  <w:vAlign w:val="center"/>
                  <w:hideMark/>
                </w:tcPr>
                <w:p w14:paraId="0070771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12,024</w:t>
                  </w:r>
                </w:p>
              </w:tc>
              <w:tc>
                <w:tcPr>
                  <w:tcW w:w="541" w:type="pct"/>
                  <w:tcBorders>
                    <w:top w:val="nil"/>
                    <w:left w:val="single" w:sz="4" w:space="0" w:color="979991"/>
                    <w:bottom w:val="single" w:sz="4" w:space="0" w:color="979991"/>
                    <w:right w:val="nil"/>
                  </w:tcBorders>
                  <w:shd w:val="clear" w:color="auto" w:fill="FFFFFF"/>
                  <w:vAlign w:val="center"/>
                  <w:hideMark/>
                </w:tcPr>
                <w:p w14:paraId="7595ED8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567" w:type="pct"/>
                  <w:tcBorders>
                    <w:top w:val="nil"/>
                    <w:left w:val="single" w:sz="4" w:space="0" w:color="979991"/>
                    <w:bottom w:val="single" w:sz="4" w:space="0" w:color="979991"/>
                    <w:right w:val="nil"/>
                  </w:tcBorders>
                  <w:shd w:val="clear" w:color="auto" w:fill="FFFFFF"/>
                  <w:vAlign w:val="center"/>
                  <w:hideMark/>
                </w:tcPr>
                <w:p w14:paraId="13C6EA2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5112AF5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567" w:type="pct"/>
                  <w:tcBorders>
                    <w:top w:val="nil"/>
                    <w:left w:val="single" w:sz="4" w:space="0" w:color="979991"/>
                    <w:bottom w:val="single" w:sz="4" w:space="0" w:color="979991"/>
                    <w:right w:val="nil"/>
                  </w:tcBorders>
                  <w:shd w:val="clear" w:color="auto" w:fill="FFFFFF"/>
                  <w:vAlign w:val="center"/>
                  <w:hideMark/>
                </w:tcPr>
                <w:p w14:paraId="54DC90A3"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61,000</w:t>
                  </w:r>
                </w:p>
              </w:tc>
              <w:tc>
                <w:tcPr>
                  <w:tcW w:w="541" w:type="pct"/>
                  <w:tcBorders>
                    <w:top w:val="nil"/>
                    <w:left w:val="single" w:sz="4" w:space="0" w:color="979991"/>
                    <w:bottom w:val="single" w:sz="4" w:space="0" w:color="979991"/>
                    <w:right w:val="single" w:sz="4" w:space="0" w:color="979991"/>
                  </w:tcBorders>
                  <w:shd w:val="clear" w:color="auto" w:fill="FFFFFF"/>
                  <w:vAlign w:val="center"/>
                  <w:hideMark/>
                </w:tcPr>
                <w:p w14:paraId="2CA5B1B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r>
            <w:tr w:rsidR="006C747C" w14:paraId="07757A0C" w14:textId="77777777" w:rsidTr="006C747C">
              <w:trPr>
                <w:trHeight w:val="300"/>
                <w:jc w:val="center"/>
              </w:trPr>
              <w:tc>
                <w:tcPr>
                  <w:tcW w:w="430" w:type="pct"/>
                  <w:tcBorders>
                    <w:top w:val="nil"/>
                    <w:left w:val="single" w:sz="4" w:space="0" w:color="979991"/>
                    <w:bottom w:val="single" w:sz="4" w:space="0" w:color="979991"/>
                    <w:right w:val="nil"/>
                  </w:tcBorders>
                  <w:shd w:val="clear" w:color="auto" w:fill="F0F4FA"/>
                  <w:vAlign w:val="center"/>
                  <w:hideMark/>
                </w:tcPr>
                <w:p w14:paraId="77BABDF0"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130201</w:t>
                  </w:r>
                </w:p>
              </w:tc>
              <w:tc>
                <w:tcPr>
                  <w:tcW w:w="706" w:type="pct"/>
                  <w:tcBorders>
                    <w:top w:val="nil"/>
                    <w:left w:val="single" w:sz="4" w:space="0" w:color="979991"/>
                    <w:bottom w:val="single" w:sz="4" w:space="0" w:color="979991"/>
                    <w:right w:val="nil"/>
                  </w:tcBorders>
                  <w:shd w:val="clear" w:color="auto" w:fill="FFFFFF"/>
                  <w:vAlign w:val="center"/>
                  <w:hideMark/>
                </w:tcPr>
                <w:p w14:paraId="5215A722"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13,000</w:t>
                  </w:r>
                </w:p>
              </w:tc>
              <w:tc>
                <w:tcPr>
                  <w:tcW w:w="541" w:type="pct"/>
                  <w:tcBorders>
                    <w:top w:val="nil"/>
                    <w:left w:val="single" w:sz="4" w:space="0" w:color="979991"/>
                    <w:bottom w:val="single" w:sz="4" w:space="0" w:color="979991"/>
                    <w:right w:val="nil"/>
                  </w:tcBorders>
                  <w:shd w:val="clear" w:color="auto" w:fill="FFFFFF"/>
                  <w:vAlign w:val="center"/>
                  <w:hideMark/>
                </w:tcPr>
                <w:p w14:paraId="23B9A270"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12,141</w:t>
                  </w:r>
                </w:p>
              </w:tc>
              <w:tc>
                <w:tcPr>
                  <w:tcW w:w="567" w:type="pct"/>
                  <w:tcBorders>
                    <w:top w:val="nil"/>
                    <w:left w:val="single" w:sz="4" w:space="0" w:color="979991"/>
                    <w:bottom w:val="single" w:sz="4" w:space="0" w:color="979991"/>
                    <w:right w:val="nil"/>
                  </w:tcBorders>
                  <w:shd w:val="clear" w:color="auto" w:fill="FFFFFF"/>
                  <w:vAlign w:val="center"/>
                  <w:hideMark/>
                </w:tcPr>
                <w:p w14:paraId="2399696C"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58,036</w:t>
                  </w:r>
                </w:p>
              </w:tc>
              <w:tc>
                <w:tcPr>
                  <w:tcW w:w="541" w:type="pct"/>
                  <w:tcBorders>
                    <w:top w:val="nil"/>
                    <w:left w:val="single" w:sz="4" w:space="0" w:color="979991"/>
                    <w:bottom w:val="single" w:sz="4" w:space="0" w:color="979991"/>
                    <w:right w:val="nil"/>
                  </w:tcBorders>
                  <w:shd w:val="clear" w:color="auto" w:fill="FFFFFF"/>
                  <w:vAlign w:val="center"/>
                  <w:hideMark/>
                </w:tcPr>
                <w:p w14:paraId="4F6E19B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14,368</w:t>
                  </w:r>
                </w:p>
              </w:tc>
              <w:tc>
                <w:tcPr>
                  <w:tcW w:w="567" w:type="pct"/>
                  <w:tcBorders>
                    <w:top w:val="nil"/>
                    <w:left w:val="single" w:sz="4" w:space="0" w:color="979991"/>
                    <w:bottom w:val="single" w:sz="4" w:space="0" w:color="979991"/>
                    <w:right w:val="nil"/>
                  </w:tcBorders>
                  <w:shd w:val="clear" w:color="auto" w:fill="FFFFFF"/>
                  <w:vAlign w:val="center"/>
                  <w:hideMark/>
                </w:tcPr>
                <w:p w14:paraId="4DDC83C0"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16,608</w:t>
                  </w:r>
                </w:p>
              </w:tc>
              <w:tc>
                <w:tcPr>
                  <w:tcW w:w="541" w:type="pct"/>
                  <w:tcBorders>
                    <w:top w:val="nil"/>
                    <w:left w:val="single" w:sz="4" w:space="0" w:color="979991"/>
                    <w:bottom w:val="single" w:sz="4" w:space="0" w:color="979991"/>
                    <w:right w:val="nil"/>
                  </w:tcBorders>
                  <w:shd w:val="clear" w:color="auto" w:fill="FFFFFF"/>
                  <w:vAlign w:val="center"/>
                  <w:hideMark/>
                </w:tcPr>
                <w:p w14:paraId="1FB73E89"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16,608</w:t>
                  </w:r>
                </w:p>
              </w:tc>
              <w:tc>
                <w:tcPr>
                  <w:tcW w:w="567" w:type="pct"/>
                  <w:tcBorders>
                    <w:top w:val="nil"/>
                    <w:left w:val="single" w:sz="4" w:space="0" w:color="979991"/>
                    <w:bottom w:val="single" w:sz="4" w:space="0" w:color="979991"/>
                    <w:right w:val="nil"/>
                  </w:tcBorders>
                  <w:shd w:val="clear" w:color="auto" w:fill="FFFFFF"/>
                  <w:vAlign w:val="center"/>
                  <w:hideMark/>
                </w:tcPr>
                <w:p w14:paraId="53E6C2D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26,475</w:t>
                  </w:r>
                </w:p>
              </w:tc>
              <w:tc>
                <w:tcPr>
                  <w:tcW w:w="541" w:type="pct"/>
                  <w:tcBorders>
                    <w:top w:val="nil"/>
                    <w:left w:val="single" w:sz="4" w:space="0" w:color="979991"/>
                    <w:bottom w:val="single" w:sz="4" w:space="0" w:color="979991"/>
                    <w:right w:val="single" w:sz="4" w:space="0" w:color="979991"/>
                  </w:tcBorders>
                  <w:shd w:val="clear" w:color="auto" w:fill="FFFFFF"/>
                  <w:vAlign w:val="center"/>
                  <w:hideMark/>
                </w:tcPr>
                <w:p w14:paraId="56CCBCD7"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17,300</w:t>
                  </w:r>
                </w:p>
              </w:tc>
            </w:tr>
            <w:tr w:rsidR="006C747C" w14:paraId="05DAEA67" w14:textId="77777777" w:rsidTr="006C747C">
              <w:trPr>
                <w:trHeight w:val="300"/>
                <w:jc w:val="center"/>
              </w:trPr>
              <w:tc>
                <w:tcPr>
                  <w:tcW w:w="430" w:type="pct"/>
                  <w:tcBorders>
                    <w:top w:val="nil"/>
                    <w:left w:val="single" w:sz="4" w:space="0" w:color="979991"/>
                    <w:bottom w:val="single" w:sz="4" w:space="0" w:color="979991"/>
                    <w:right w:val="nil"/>
                  </w:tcBorders>
                  <w:shd w:val="clear" w:color="auto" w:fill="F0F4FA"/>
                  <w:vAlign w:val="center"/>
                  <w:hideMark/>
                </w:tcPr>
                <w:p w14:paraId="40D7CE17"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130205</w:t>
                  </w:r>
                </w:p>
              </w:tc>
              <w:tc>
                <w:tcPr>
                  <w:tcW w:w="706" w:type="pct"/>
                  <w:tcBorders>
                    <w:top w:val="nil"/>
                    <w:left w:val="single" w:sz="4" w:space="0" w:color="979991"/>
                    <w:bottom w:val="single" w:sz="4" w:space="0" w:color="979991"/>
                    <w:right w:val="nil"/>
                  </w:tcBorders>
                  <w:shd w:val="clear" w:color="auto" w:fill="FFFFFF"/>
                  <w:vAlign w:val="center"/>
                  <w:hideMark/>
                </w:tcPr>
                <w:p w14:paraId="320A16E2"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2,500</w:t>
                  </w:r>
                </w:p>
              </w:tc>
              <w:tc>
                <w:tcPr>
                  <w:tcW w:w="541" w:type="pct"/>
                  <w:tcBorders>
                    <w:top w:val="nil"/>
                    <w:left w:val="single" w:sz="4" w:space="0" w:color="979991"/>
                    <w:bottom w:val="single" w:sz="4" w:space="0" w:color="979991"/>
                    <w:right w:val="nil"/>
                  </w:tcBorders>
                  <w:shd w:val="clear" w:color="auto" w:fill="FFFFFF"/>
                  <w:vAlign w:val="center"/>
                  <w:hideMark/>
                </w:tcPr>
                <w:p w14:paraId="481C9D5D"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567" w:type="pct"/>
                  <w:tcBorders>
                    <w:top w:val="nil"/>
                    <w:left w:val="single" w:sz="4" w:space="0" w:color="979991"/>
                    <w:bottom w:val="single" w:sz="4" w:space="0" w:color="979991"/>
                    <w:right w:val="nil"/>
                  </w:tcBorders>
                  <w:shd w:val="clear" w:color="auto" w:fill="FFFFFF"/>
                  <w:vAlign w:val="center"/>
                  <w:hideMark/>
                </w:tcPr>
                <w:p w14:paraId="0CCDDAA5"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2,584</w:t>
                  </w:r>
                </w:p>
              </w:tc>
              <w:tc>
                <w:tcPr>
                  <w:tcW w:w="541" w:type="pct"/>
                  <w:tcBorders>
                    <w:top w:val="nil"/>
                    <w:left w:val="single" w:sz="4" w:space="0" w:color="979991"/>
                    <w:bottom w:val="single" w:sz="4" w:space="0" w:color="979991"/>
                    <w:right w:val="nil"/>
                  </w:tcBorders>
                  <w:shd w:val="clear" w:color="auto" w:fill="FFFFFF"/>
                  <w:vAlign w:val="center"/>
                  <w:hideMark/>
                </w:tcPr>
                <w:p w14:paraId="5049A7F5"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2,598</w:t>
                  </w:r>
                </w:p>
              </w:tc>
              <w:tc>
                <w:tcPr>
                  <w:tcW w:w="567" w:type="pct"/>
                  <w:tcBorders>
                    <w:top w:val="nil"/>
                    <w:left w:val="single" w:sz="4" w:space="0" w:color="979991"/>
                    <w:bottom w:val="single" w:sz="4" w:space="0" w:color="979991"/>
                    <w:right w:val="nil"/>
                  </w:tcBorders>
                  <w:shd w:val="clear" w:color="auto" w:fill="FFFFFF"/>
                  <w:vAlign w:val="center"/>
                  <w:hideMark/>
                </w:tcPr>
                <w:p w14:paraId="34BD4ECD"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2,940</w:t>
                  </w:r>
                </w:p>
              </w:tc>
              <w:tc>
                <w:tcPr>
                  <w:tcW w:w="541" w:type="pct"/>
                  <w:tcBorders>
                    <w:top w:val="nil"/>
                    <w:left w:val="single" w:sz="4" w:space="0" w:color="979991"/>
                    <w:bottom w:val="single" w:sz="4" w:space="0" w:color="979991"/>
                    <w:right w:val="nil"/>
                  </w:tcBorders>
                  <w:shd w:val="clear" w:color="auto" w:fill="FFFFFF"/>
                  <w:vAlign w:val="center"/>
                  <w:hideMark/>
                </w:tcPr>
                <w:p w14:paraId="5D84DE6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2,940</w:t>
                  </w:r>
                </w:p>
              </w:tc>
              <w:tc>
                <w:tcPr>
                  <w:tcW w:w="567" w:type="pct"/>
                  <w:tcBorders>
                    <w:top w:val="nil"/>
                    <w:left w:val="single" w:sz="4" w:space="0" w:color="979991"/>
                    <w:bottom w:val="single" w:sz="4" w:space="0" w:color="979991"/>
                    <w:right w:val="nil"/>
                  </w:tcBorders>
                  <w:shd w:val="clear" w:color="auto" w:fill="FFFFFF"/>
                  <w:vAlign w:val="center"/>
                  <w:hideMark/>
                </w:tcPr>
                <w:p w14:paraId="4D55A7C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2,869</w:t>
                  </w:r>
                </w:p>
              </w:tc>
              <w:tc>
                <w:tcPr>
                  <w:tcW w:w="541" w:type="pct"/>
                  <w:tcBorders>
                    <w:top w:val="nil"/>
                    <w:left w:val="single" w:sz="4" w:space="0" w:color="979991"/>
                    <w:bottom w:val="single" w:sz="4" w:space="0" w:color="979991"/>
                    <w:right w:val="single" w:sz="4" w:space="0" w:color="979991"/>
                  </w:tcBorders>
                  <w:shd w:val="clear" w:color="auto" w:fill="FFFFFF"/>
                  <w:vAlign w:val="center"/>
                  <w:hideMark/>
                </w:tcPr>
                <w:p w14:paraId="6A136A1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3,344</w:t>
                  </w:r>
                </w:p>
              </w:tc>
            </w:tr>
            <w:tr w:rsidR="006C747C" w14:paraId="7840D3CB" w14:textId="77777777" w:rsidTr="006C747C">
              <w:trPr>
                <w:trHeight w:val="300"/>
                <w:jc w:val="center"/>
              </w:trPr>
              <w:tc>
                <w:tcPr>
                  <w:tcW w:w="430" w:type="pct"/>
                  <w:tcBorders>
                    <w:top w:val="nil"/>
                    <w:left w:val="single" w:sz="4" w:space="0" w:color="979991"/>
                    <w:bottom w:val="single" w:sz="4" w:space="0" w:color="979991"/>
                    <w:right w:val="nil"/>
                  </w:tcBorders>
                  <w:shd w:val="clear" w:color="auto" w:fill="F0F4FA"/>
                  <w:vAlign w:val="center"/>
                  <w:hideMark/>
                </w:tcPr>
                <w:p w14:paraId="3A5F1B4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130401</w:t>
                  </w:r>
                </w:p>
              </w:tc>
              <w:tc>
                <w:tcPr>
                  <w:tcW w:w="706" w:type="pct"/>
                  <w:tcBorders>
                    <w:top w:val="nil"/>
                    <w:left w:val="single" w:sz="4" w:space="0" w:color="979991"/>
                    <w:bottom w:val="single" w:sz="4" w:space="0" w:color="979991"/>
                    <w:right w:val="nil"/>
                  </w:tcBorders>
                  <w:shd w:val="clear" w:color="auto" w:fill="FFFFFF"/>
                  <w:vAlign w:val="center"/>
                  <w:hideMark/>
                </w:tcPr>
                <w:p w14:paraId="6DA7476A"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-18,000</w:t>
                  </w:r>
                </w:p>
              </w:tc>
              <w:tc>
                <w:tcPr>
                  <w:tcW w:w="541" w:type="pct"/>
                  <w:tcBorders>
                    <w:top w:val="nil"/>
                    <w:left w:val="single" w:sz="4" w:space="0" w:color="979991"/>
                    <w:bottom w:val="single" w:sz="4" w:space="0" w:color="979991"/>
                    <w:right w:val="nil"/>
                  </w:tcBorders>
                  <w:shd w:val="clear" w:color="auto" w:fill="FFFFFF"/>
                  <w:vAlign w:val="center"/>
                  <w:hideMark/>
                </w:tcPr>
                <w:p w14:paraId="456BA3A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2,630,203</w:t>
                  </w:r>
                </w:p>
              </w:tc>
              <w:tc>
                <w:tcPr>
                  <w:tcW w:w="567" w:type="pct"/>
                  <w:tcBorders>
                    <w:top w:val="nil"/>
                    <w:left w:val="single" w:sz="4" w:space="0" w:color="979991"/>
                    <w:bottom w:val="single" w:sz="4" w:space="0" w:color="979991"/>
                    <w:right w:val="nil"/>
                  </w:tcBorders>
                  <w:shd w:val="clear" w:color="auto" w:fill="FFFFFF"/>
                  <w:vAlign w:val="center"/>
                  <w:hideMark/>
                </w:tcPr>
                <w:p w14:paraId="4D72C23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1,994,590</w:t>
                  </w:r>
                </w:p>
              </w:tc>
              <w:tc>
                <w:tcPr>
                  <w:tcW w:w="541" w:type="pct"/>
                  <w:tcBorders>
                    <w:top w:val="nil"/>
                    <w:left w:val="single" w:sz="4" w:space="0" w:color="979991"/>
                    <w:bottom w:val="single" w:sz="4" w:space="0" w:color="979991"/>
                    <w:right w:val="nil"/>
                  </w:tcBorders>
                  <w:shd w:val="clear" w:color="auto" w:fill="FFFFFF"/>
                  <w:vAlign w:val="center"/>
                  <w:hideMark/>
                </w:tcPr>
                <w:p w14:paraId="4690C14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2,382,694</w:t>
                  </w:r>
                </w:p>
              </w:tc>
              <w:tc>
                <w:tcPr>
                  <w:tcW w:w="567" w:type="pct"/>
                  <w:tcBorders>
                    <w:top w:val="nil"/>
                    <w:left w:val="single" w:sz="4" w:space="0" w:color="979991"/>
                    <w:bottom w:val="single" w:sz="4" w:space="0" w:color="979991"/>
                    <w:right w:val="nil"/>
                  </w:tcBorders>
                  <w:shd w:val="clear" w:color="auto" w:fill="FFFFFF"/>
                  <w:vAlign w:val="center"/>
                  <w:hideMark/>
                </w:tcPr>
                <w:p w14:paraId="3A543EE0"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909,543</w:t>
                  </w:r>
                </w:p>
              </w:tc>
              <w:tc>
                <w:tcPr>
                  <w:tcW w:w="541" w:type="pct"/>
                  <w:tcBorders>
                    <w:top w:val="nil"/>
                    <w:left w:val="single" w:sz="4" w:space="0" w:color="979991"/>
                    <w:bottom w:val="single" w:sz="4" w:space="0" w:color="979991"/>
                    <w:right w:val="nil"/>
                  </w:tcBorders>
                  <w:shd w:val="clear" w:color="auto" w:fill="FFFFFF"/>
                  <w:vAlign w:val="center"/>
                  <w:hideMark/>
                </w:tcPr>
                <w:p w14:paraId="4CFCEF0A"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1,488,823</w:t>
                  </w:r>
                </w:p>
              </w:tc>
              <w:tc>
                <w:tcPr>
                  <w:tcW w:w="567" w:type="pct"/>
                  <w:tcBorders>
                    <w:top w:val="nil"/>
                    <w:left w:val="single" w:sz="4" w:space="0" w:color="979991"/>
                    <w:bottom w:val="single" w:sz="4" w:space="0" w:color="979991"/>
                    <w:right w:val="nil"/>
                  </w:tcBorders>
                  <w:shd w:val="clear" w:color="auto" w:fill="FFFFFF"/>
                  <w:vAlign w:val="center"/>
                  <w:hideMark/>
                </w:tcPr>
                <w:p w14:paraId="1E6B4068"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330,877</w:t>
                  </w:r>
                </w:p>
              </w:tc>
              <w:tc>
                <w:tcPr>
                  <w:tcW w:w="541" w:type="pct"/>
                  <w:tcBorders>
                    <w:top w:val="nil"/>
                    <w:left w:val="single" w:sz="4" w:space="0" w:color="979991"/>
                    <w:bottom w:val="single" w:sz="4" w:space="0" w:color="979991"/>
                    <w:right w:val="single" w:sz="4" w:space="0" w:color="979991"/>
                  </w:tcBorders>
                  <w:shd w:val="clear" w:color="auto" w:fill="FFFFFF"/>
                  <w:vAlign w:val="center"/>
                  <w:hideMark/>
                </w:tcPr>
                <w:p w14:paraId="13928D3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1,498,149</w:t>
                  </w:r>
                </w:p>
              </w:tc>
            </w:tr>
          </w:tbl>
          <w:p w14:paraId="6A09F7E6" w14:textId="77777777" w:rsidR="006C747C" w:rsidRDefault="006C747C" w:rsidP="006C747C">
            <w:pPr>
              <w:jc w:val="right"/>
              <w:rPr>
                <w:rFonts w:ascii="FrankRuehl" w:hAnsi="FrankRuehl" w:cs="FrankRuehl" w:hint="cs"/>
                <w:b/>
                <w:bCs/>
                <w:color w:val="000000"/>
                <w:sz w:val="26"/>
                <w:szCs w:val="26"/>
              </w:rPr>
            </w:pPr>
          </w:p>
          <w:p w14:paraId="1B7814CA" w14:textId="77777777" w:rsidR="006C747C" w:rsidRDefault="006C747C" w:rsidP="006C747C">
            <w:pPr>
              <w:jc w:val="right"/>
              <w:rPr>
                <w:rFonts w:ascii="FrankRuehl" w:hAnsi="FrankRuehl" w:cs="FrankRuehl" w:hint="cs"/>
                <w:b/>
                <w:bCs/>
                <w:color w:val="000000"/>
                <w:sz w:val="26"/>
                <w:szCs w:val="26"/>
                <w:rtl/>
              </w:rPr>
            </w:pPr>
          </w:p>
          <w:p w14:paraId="68C241E0" w14:textId="77777777" w:rsidR="006C747C" w:rsidRDefault="006C747C" w:rsidP="006C747C">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היסטוריה תקציבית של הפנייה - הוצאה מותנית בהכנסה</w:t>
            </w:r>
          </w:p>
        </w:tc>
        <w:tc>
          <w:tcPr>
            <w:tcW w:w="920" w:type="dxa"/>
            <w:noWrap/>
            <w:vAlign w:val="bottom"/>
            <w:hideMark/>
          </w:tcPr>
          <w:p w14:paraId="7F662CED" w14:textId="77777777" w:rsidR="006C747C" w:rsidRDefault="006C747C" w:rsidP="006C747C">
            <w:pPr>
              <w:jc w:val="right"/>
              <w:rPr>
                <w:rFonts w:ascii="FrankRuehl" w:hAnsi="FrankRuehl" w:cs="FrankRuehl" w:hint="cs"/>
                <w:b/>
                <w:bCs/>
                <w:color w:val="000000"/>
                <w:sz w:val="26"/>
                <w:szCs w:val="26"/>
              </w:rPr>
            </w:pPr>
          </w:p>
        </w:tc>
      </w:tr>
      <w:tr w:rsidR="006C747C" w14:paraId="11C827B0" w14:textId="77777777" w:rsidTr="006C747C">
        <w:trPr>
          <w:trHeight w:val="300"/>
          <w:jc w:val="center"/>
        </w:trPr>
        <w:tc>
          <w:tcPr>
            <w:tcW w:w="1160" w:type="dxa"/>
            <w:vAlign w:val="center"/>
            <w:hideMark/>
          </w:tcPr>
          <w:p w14:paraId="77D1497B" w14:textId="77777777" w:rsidR="006C747C" w:rsidRDefault="006C747C" w:rsidP="006C747C">
            <w:pPr>
              <w:bidi w:val="0"/>
              <w:jc w:val="right"/>
              <w:rPr>
                <w:rFonts w:ascii="Calibri" w:hAnsi="Calibri" w:cs="Arial"/>
                <w:szCs w:val="20"/>
              </w:rPr>
            </w:pPr>
          </w:p>
        </w:tc>
        <w:tc>
          <w:tcPr>
            <w:tcW w:w="1320" w:type="dxa"/>
            <w:noWrap/>
            <w:vAlign w:val="bottom"/>
            <w:hideMark/>
          </w:tcPr>
          <w:p w14:paraId="32FCE008" w14:textId="77777777" w:rsidR="006C747C" w:rsidRDefault="006C747C" w:rsidP="006C747C">
            <w:pPr>
              <w:bidi w:val="0"/>
              <w:jc w:val="right"/>
              <w:rPr>
                <w:rFonts w:ascii="Calibri" w:hAnsi="Calibri" w:cs="Arial"/>
                <w:szCs w:val="20"/>
              </w:rPr>
            </w:pPr>
          </w:p>
        </w:tc>
        <w:tc>
          <w:tcPr>
            <w:tcW w:w="1000" w:type="dxa"/>
            <w:noWrap/>
            <w:vAlign w:val="bottom"/>
            <w:hideMark/>
          </w:tcPr>
          <w:p w14:paraId="2A2B5F8F" w14:textId="77777777" w:rsidR="006C747C" w:rsidRDefault="006C747C" w:rsidP="006C747C">
            <w:pPr>
              <w:bidi w:val="0"/>
              <w:jc w:val="right"/>
              <w:rPr>
                <w:rFonts w:ascii="Calibri" w:hAnsi="Calibri" w:cs="Arial"/>
                <w:szCs w:val="20"/>
              </w:rPr>
            </w:pPr>
          </w:p>
        </w:tc>
        <w:tc>
          <w:tcPr>
            <w:tcW w:w="1000" w:type="dxa"/>
            <w:noWrap/>
            <w:vAlign w:val="bottom"/>
            <w:hideMark/>
          </w:tcPr>
          <w:p w14:paraId="5CFDC3D2" w14:textId="77777777" w:rsidR="006C747C" w:rsidRDefault="006C747C" w:rsidP="006C747C">
            <w:pPr>
              <w:bidi w:val="0"/>
              <w:jc w:val="right"/>
              <w:rPr>
                <w:rFonts w:ascii="Calibri" w:hAnsi="Calibri" w:cs="Arial"/>
                <w:szCs w:val="20"/>
              </w:rPr>
            </w:pPr>
          </w:p>
        </w:tc>
        <w:tc>
          <w:tcPr>
            <w:tcW w:w="1000" w:type="dxa"/>
            <w:noWrap/>
            <w:vAlign w:val="bottom"/>
            <w:hideMark/>
          </w:tcPr>
          <w:p w14:paraId="0E4E2516" w14:textId="77777777" w:rsidR="006C747C" w:rsidRDefault="006C747C" w:rsidP="006C747C">
            <w:pPr>
              <w:bidi w:val="0"/>
              <w:jc w:val="right"/>
              <w:rPr>
                <w:rFonts w:ascii="Calibri" w:hAnsi="Calibri" w:cs="Arial"/>
                <w:szCs w:val="20"/>
              </w:rPr>
            </w:pPr>
          </w:p>
        </w:tc>
        <w:tc>
          <w:tcPr>
            <w:tcW w:w="1000" w:type="dxa"/>
            <w:noWrap/>
            <w:vAlign w:val="bottom"/>
            <w:hideMark/>
          </w:tcPr>
          <w:p w14:paraId="66F16FA4" w14:textId="77777777" w:rsidR="006C747C" w:rsidRDefault="006C747C" w:rsidP="006C747C">
            <w:pPr>
              <w:bidi w:val="0"/>
              <w:jc w:val="right"/>
              <w:rPr>
                <w:rFonts w:ascii="Calibri" w:hAnsi="Calibri" w:cs="Arial"/>
                <w:szCs w:val="20"/>
              </w:rPr>
            </w:pPr>
          </w:p>
        </w:tc>
        <w:tc>
          <w:tcPr>
            <w:tcW w:w="1000" w:type="dxa"/>
            <w:noWrap/>
            <w:vAlign w:val="bottom"/>
            <w:hideMark/>
          </w:tcPr>
          <w:p w14:paraId="5754DEB0" w14:textId="77777777" w:rsidR="006C747C" w:rsidRDefault="006C747C" w:rsidP="006C747C">
            <w:pPr>
              <w:bidi w:val="0"/>
              <w:jc w:val="right"/>
              <w:rPr>
                <w:rFonts w:ascii="Calibri" w:hAnsi="Calibri" w:cs="Arial"/>
                <w:szCs w:val="20"/>
              </w:rPr>
            </w:pPr>
          </w:p>
        </w:tc>
        <w:tc>
          <w:tcPr>
            <w:tcW w:w="1000" w:type="dxa"/>
            <w:noWrap/>
            <w:vAlign w:val="bottom"/>
            <w:hideMark/>
          </w:tcPr>
          <w:p w14:paraId="6DEFE64B" w14:textId="77777777" w:rsidR="006C747C" w:rsidRDefault="006C747C" w:rsidP="006C747C">
            <w:pPr>
              <w:bidi w:val="0"/>
              <w:jc w:val="right"/>
              <w:rPr>
                <w:rFonts w:ascii="Calibri" w:hAnsi="Calibri" w:cs="Arial"/>
                <w:szCs w:val="20"/>
              </w:rPr>
            </w:pPr>
          </w:p>
        </w:tc>
        <w:tc>
          <w:tcPr>
            <w:tcW w:w="920" w:type="dxa"/>
            <w:noWrap/>
            <w:vAlign w:val="bottom"/>
            <w:hideMark/>
          </w:tcPr>
          <w:p w14:paraId="2762BBB7" w14:textId="77777777" w:rsidR="006C747C" w:rsidRDefault="006C747C" w:rsidP="006C747C">
            <w:pPr>
              <w:bidi w:val="0"/>
              <w:jc w:val="right"/>
              <w:rPr>
                <w:rFonts w:ascii="Calibri" w:hAnsi="Calibri" w:cs="Arial"/>
                <w:szCs w:val="20"/>
              </w:rPr>
            </w:pPr>
          </w:p>
        </w:tc>
      </w:tr>
      <w:tr w:rsidR="006C747C" w14:paraId="1DD9088F" w14:textId="77777777" w:rsidTr="006C747C">
        <w:trPr>
          <w:trHeight w:val="450"/>
          <w:jc w:val="center"/>
        </w:trPr>
        <w:tc>
          <w:tcPr>
            <w:tcW w:w="1160" w:type="dxa"/>
            <w:tcBorders>
              <w:top w:val="single" w:sz="4" w:space="0" w:color="979991"/>
              <w:left w:val="single" w:sz="4" w:space="0" w:color="979991"/>
              <w:bottom w:val="nil"/>
              <w:right w:val="nil"/>
            </w:tcBorders>
            <w:shd w:val="clear" w:color="auto" w:fill="F0F4FA"/>
            <w:vAlign w:val="center"/>
            <w:hideMark/>
          </w:tcPr>
          <w:p w14:paraId="46A73400" w14:textId="77777777" w:rsidR="006C747C" w:rsidRDefault="006C747C" w:rsidP="006C747C">
            <w:pPr>
              <w:rPr>
                <w:rFonts w:ascii="FrankRuehl" w:hAnsi="FrankRuehl" w:cs="FrankRuehl"/>
                <w:b/>
                <w:bCs/>
                <w:color w:val="000000"/>
                <w:sz w:val="26"/>
                <w:szCs w:val="26"/>
              </w:rPr>
            </w:pPr>
            <w:r>
              <w:rPr>
                <w:rFonts w:ascii="FrankRuehl" w:hAnsi="FrankRuehl" w:cs="FrankRuehl" w:hint="cs"/>
                <w:b/>
                <w:bCs/>
                <w:color w:val="000000"/>
                <w:sz w:val="26"/>
                <w:szCs w:val="26"/>
                <w:rtl/>
              </w:rPr>
              <w:t>קוד תוכנית</w:t>
            </w:r>
          </w:p>
        </w:tc>
        <w:tc>
          <w:tcPr>
            <w:tcW w:w="1320" w:type="dxa"/>
            <w:tcBorders>
              <w:top w:val="single" w:sz="4" w:space="0" w:color="979991"/>
              <w:left w:val="single" w:sz="4" w:space="0" w:color="979991"/>
              <w:bottom w:val="single" w:sz="4" w:space="0" w:color="979991"/>
              <w:right w:val="nil"/>
            </w:tcBorders>
            <w:shd w:val="clear" w:color="auto" w:fill="F0F4FA"/>
            <w:vAlign w:val="center"/>
            <w:hideMark/>
          </w:tcPr>
          <w:p w14:paraId="1782AC29" w14:textId="77777777" w:rsidR="006C747C" w:rsidRDefault="006C747C" w:rsidP="006C747C">
            <w:pP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התקציבי המוצע בפנייה זו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0B13514D"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F22B77B"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1E5F8F2"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1E8C4125"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05ABEB35"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2F6AFDA9"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36921915" w14:textId="77777777" w:rsidR="006C747C" w:rsidRDefault="006C747C" w:rsidP="006C747C">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6C747C" w14:paraId="3F765014" w14:textId="77777777" w:rsidTr="006C747C">
        <w:trPr>
          <w:trHeight w:val="300"/>
          <w:jc w:val="center"/>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2A2A05D4" w14:textId="77777777" w:rsidR="006C747C" w:rsidRDefault="006C747C" w:rsidP="006C747C">
            <w:pPr>
              <w:bidi w:val="0"/>
              <w:jc w:val="right"/>
              <w:rPr>
                <w:rFonts w:ascii="FrankRuehl" w:hAnsi="FrankRuehl" w:cs="FrankRuehl" w:hint="cs"/>
                <w:color w:val="000000"/>
                <w:sz w:val="26"/>
                <w:szCs w:val="26"/>
                <w:rtl/>
              </w:rPr>
            </w:pPr>
            <w:r>
              <w:rPr>
                <w:rFonts w:ascii="FrankRuehl" w:hAnsi="FrankRuehl" w:cs="FrankRuehl" w:hint="cs"/>
                <w:color w:val="000000"/>
                <w:sz w:val="26"/>
                <w:szCs w:val="26"/>
              </w:rPr>
              <w:t>130105</w:t>
            </w:r>
          </w:p>
        </w:tc>
        <w:tc>
          <w:tcPr>
            <w:tcW w:w="1320" w:type="dxa"/>
            <w:tcBorders>
              <w:top w:val="nil"/>
              <w:left w:val="single" w:sz="4" w:space="0" w:color="979991"/>
              <w:bottom w:val="single" w:sz="4" w:space="0" w:color="979991"/>
              <w:right w:val="nil"/>
            </w:tcBorders>
            <w:shd w:val="clear" w:color="auto" w:fill="FFFFFF"/>
            <w:vAlign w:val="center"/>
            <w:hideMark/>
          </w:tcPr>
          <w:p w14:paraId="292E727B" w14:textId="77777777" w:rsidR="006C747C" w:rsidRPr="0098727D" w:rsidRDefault="006C747C" w:rsidP="006C747C">
            <w:pPr>
              <w:bidi w:val="0"/>
              <w:jc w:val="right"/>
              <w:rPr>
                <w:rFonts w:ascii="Calibri" w:hAnsi="Calibri" w:cs="FrankRuehl"/>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75EA91B3"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2E488FF"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546879F9"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71C2F68"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1F537C7A"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60DB2A09"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2E893A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r>
      <w:tr w:rsidR="006C747C" w14:paraId="54F7D56A" w14:textId="77777777" w:rsidTr="006C747C">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38EAEF40"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130201</w:t>
            </w:r>
          </w:p>
        </w:tc>
        <w:tc>
          <w:tcPr>
            <w:tcW w:w="1320" w:type="dxa"/>
            <w:tcBorders>
              <w:top w:val="nil"/>
              <w:left w:val="single" w:sz="4" w:space="0" w:color="979991"/>
              <w:bottom w:val="single" w:sz="4" w:space="0" w:color="979991"/>
              <w:right w:val="nil"/>
            </w:tcBorders>
            <w:shd w:val="clear" w:color="auto" w:fill="FFFFFF"/>
            <w:vAlign w:val="center"/>
            <w:hideMark/>
          </w:tcPr>
          <w:p w14:paraId="27E937E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39116D1C"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600,000</w:t>
            </w:r>
          </w:p>
        </w:tc>
        <w:tc>
          <w:tcPr>
            <w:tcW w:w="1000" w:type="dxa"/>
            <w:tcBorders>
              <w:top w:val="nil"/>
              <w:left w:val="single" w:sz="4" w:space="0" w:color="979991"/>
              <w:bottom w:val="single" w:sz="4" w:space="0" w:color="979991"/>
              <w:right w:val="nil"/>
            </w:tcBorders>
            <w:shd w:val="clear" w:color="auto" w:fill="FFFFFF"/>
            <w:vAlign w:val="center"/>
            <w:hideMark/>
          </w:tcPr>
          <w:p w14:paraId="6C9391C0"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2,100,000</w:t>
            </w:r>
          </w:p>
        </w:tc>
        <w:tc>
          <w:tcPr>
            <w:tcW w:w="1000" w:type="dxa"/>
            <w:tcBorders>
              <w:top w:val="nil"/>
              <w:left w:val="single" w:sz="4" w:space="0" w:color="979991"/>
              <w:bottom w:val="single" w:sz="4" w:space="0" w:color="979991"/>
              <w:right w:val="nil"/>
            </w:tcBorders>
            <w:shd w:val="clear" w:color="auto" w:fill="FFFFFF"/>
            <w:vAlign w:val="center"/>
            <w:hideMark/>
          </w:tcPr>
          <w:p w14:paraId="744B76FF"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2,100,000</w:t>
            </w:r>
          </w:p>
        </w:tc>
        <w:tc>
          <w:tcPr>
            <w:tcW w:w="1000" w:type="dxa"/>
            <w:tcBorders>
              <w:top w:val="nil"/>
              <w:left w:val="single" w:sz="4" w:space="0" w:color="979991"/>
              <w:bottom w:val="single" w:sz="4" w:space="0" w:color="979991"/>
              <w:right w:val="nil"/>
            </w:tcBorders>
            <w:shd w:val="clear" w:color="auto" w:fill="FFFFFF"/>
            <w:vAlign w:val="center"/>
            <w:hideMark/>
          </w:tcPr>
          <w:p w14:paraId="0E210568"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3,000,000</w:t>
            </w:r>
          </w:p>
        </w:tc>
        <w:tc>
          <w:tcPr>
            <w:tcW w:w="1000" w:type="dxa"/>
            <w:tcBorders>
              <w:top w:val="nil"/>
              <w:left w:val="single" w:sz="4" w:space="0" w:color="979991"/>
              <w:bottom w:val="single" w:sz="4" w:space="0" w:color="979991"/>
              <w:right w:val="nil"/>
            </w:tcBorders>
            <w:shd w:val="clear" w:color="auto" w:fill="FFFFFF"/>
            <w:vAlign w:val="center"/>
            <w:hideMark/>
          </w:tcPr>
          <w:p w14:paraId="23D9287F"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3,000,000</w:t>
            </w:r>
          </w:p>
        </w:tc>
        <w:tc>
          <w:tcPr>
            <w:tcW w:w="1000" w:type="dxa"/>
            <w:tcBorders>
              <w:top w:val="nil"/>
              <w:left w:val="single" w:sz="4" w:space="0" w:color="979991"/>
              <w:bottom w:val="single" w:sz="4" w:space="0" w:color="979991"/>
              <w:right w:val="nil"/>
            </w:tcBorders>
            <w:shd w:val="clear" w:color="auto" w:fill="FFFFFF"/>
            <w:vAlign w:val="center"/>
            <w:hideMark/>
          </w:tcPr>
          <w:p w14:paraId="5CF34F13"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7D2D7BE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r>
      <w:tr w:rsidR="006C747C" w14:paraId="393F60AD" w14:textId="77777777" w:rsidTr="006C747C">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42C324D7"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130205</w:t>
            </w:r>
          </w:p>
        </w:tc>
        <w:tc>
          <w:tcPr>
            <w:tcW w:w="1320" w:type="dxa"/>
            <w:tcBorders>
              <w:top w:val="nil"/>
              <w:left w:val="single" w:sz="4" w:space="0" w:color="979991"/>
              <w:bottom w:val="single" w:sz="4" w:space="0" w:color="979991"/>
              <w:right w:val="nil"/>
            </w:tcBorders>
            <w:shd w:val="clear" w:color="auto" w:fill="FFFFFF"/>
            <w:vAlign w:val="center"/>
            <w:hideMark/>
          </w:tcPr>
          <w:p w14:paraId="53692412"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0399A9D3"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3914AA9E"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68E2344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8FB9F0B"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7811456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99F9904"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ABE152F"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r>
      <w:tr w:rsidR="006C747C" w14:paraId="4054F3A7" w14:textId="77777777" w:rsidTr="006C747C">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4F6C93F4"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130401</w:t>
            </w:r>
          </w:p>
        </w:tc>
        <w:tc>
          <w:tcPr>
            <w:tcW w:w="1320" w:type="dxa"/>
            <w:tcBorders>
              <w:top w:val="nil"/>
              <w:left w:val="single" w:sz="4" w:space="0" w:color="979991"/>
              <w:bottom w:val="single" w:sz="4" w:space="0" w:color="979991"/>
              <w:right w:val="nil"/>
            </w:tcBorders>
            <w:shd w:val="clear" w:color="auto" w:fill="FFFFFF"/>
            <w:vAlign w:val="center"/>
            <w:hideMark/>
          </w:tcPr>
          <w:p w14:paraId="1374DFF2"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05BFF466"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300FAA59"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6406E222"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771E2F54"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5C0AA8D1"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1FFB4B25"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67E8F87" w14:textId="77777777" w:rsidR="006C747C" w:rsidRDefault="006C747C" w:rsidP="006C747C">
            <w:pPr>
              <w:bidi w:val="0"/>
              <w:jc w:val="right"/>
              <w:rPr>
                <w:rFonts w:ascii="FrankRuehl" w:hAnsi="FrankRuehl" w:cs="FrankRuehl" w:hint="cs"/>
                <w:color w:val="000000"/>
                <w:sz w:val="26"/>
                <w:szCs w:val="26"/>
              </w:rPr>
            </w:pPr>
            <w:r>
              <w:rPr>
                <w:rFonts w:ascii="FrankRuehl" w:hAnsi="FrankRuehl" w:cs="FrankRuehl" w:hint="cs"/>
                <w:color w:val="000000"/>
                <w:sz w:val="26"/>
                <w:szCs w:val="26"/>
              </w:rPr>
              <w:t>0</w:t>
            </w:r>
          </w:p>
        </w:tc>
      </w:tr>
    </w:tbl>
    <w:p w14:paraId="16141DB2" w14:textId="77777777" w:rsidR="006C747C" w:rsidRPr="00105112" w:rsidRDefault="006C747C" w:rsidP="006C747C">
      <w:pPr>
        <w:rPr>
          <w:rFonts w:ascii="FrankRuehl" w:hAnsi="FrankRuehl" w:cs="FrankRuehl"/>
          <w:sz w:val="23"/>
          <w:szCs w:val="23"/>
          <w:rtl/>
        </w:rPr>
      </w:pPr>
    </w:p>
    <w:p w14:paraId="1CC3E8D8" w14:textId="77777777" w:rsidR="006C747C" w:rsidRPr="00105112" w:rsidRDefault="006C747C" w:rsidP="006C747C">
      <w:pPr>
        <w:rPr>
          <w:rFonts w:ascii="FrankRuehl" w:hAnsi="FrankRuehl" w:cs="FrankRuehl"/>
          <w:sz w:val="26"/>
          <w:szCs w:val="26"/>
          <w:rtl/>
        </w:rPr>
      </w:pPr>
    </w:p>
    <w:p w14:paraId="279C6462" w14:textId="35C3BE1F" w:rsidR="00105112" w:rsidRDefault="00105112">
      <w:pPr>
        <w:rPr>
          <w:rFonts w:ascii="FrankRuehl" w:hAnsi="FrankRuehl" w:cs="FrankRuehl"/>
          <w:sz w:val="26"/>
          <w:szCs w:val="26"/>
          <w:rtl/>
        </w:rPr>
      </w:pPr>
    </w:p>
    <w:sectPr w:rsidR="00105112" w:rsidSect="009E0F72">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0224" w14:textId="77777777" w:rsidR="0098727D" w:rsidRDefault="0098727D" w:rsidP="009E0F72">
      <w:r>
        <w:separator/>
      </w:r>
    </w:p>
  </w:endnote>
  <w:endnote w:type="continuationSeparator" w:id="0">
    <w:p w14:paraId="6BE29136" w14:textId="77777777" w:rsidR="0098727D" w:rsidRDefault="0098727D" w:rsidP="009E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248C" w14:textId="77777777" w:rsidR="00AA76DC" w:rsidRDefault="00AA76D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CD0C4" w14:textId="77777777" w:rsidR="00AA76DC" w:rsidRDefault="00AA76D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4A95" w14:textId="77777777" w:rsidR="00AA76DC" w:rsidRDefault="00AA76D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28118" w14:textId="77777777" w:rsidR="0098727D" w:rsidRDefault="0098727D" w:rsidP="009E0F72">
      <w:r>
        <w:separator/>
      </w:r>
    </w:p>
  </w:footnote>
  <w:footnote w:type="continuationSeparator" w:id="0">
    <w:p w14:paraId="7E7DE435" w14:textId="77777777" w:rsidR="0098727D" w:rsidRDefault="0098727D" w:rsidP="009E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BC88E" w14:textId="77777777" w:rsidR="00AA76DC" w:rsidRDefault="00AA76D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B713" w14:textId="77777777" w:rsidR="009E0F72" w:rsidRDefault="0098727D" w:rsidP="009E0F72">
    <w:pPr>
      <w:pStyle w:val="a4"/>
    </w:pPr>
    <w:r>
      <w:rPr>
        <w:noProof/>
      </w:rPr>
      <w:pict w14:anchorId="33715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1in;width:593.25pt;height:72.1pt;z-index:1;mso-position-horizontal-relative:margin;mso-position-vertical-relative:margin">
          <v:imagedata r:id="rId1" o:title="Header"/>
          <w10:wrap type="square" anchorx="margin" anchory="margin"/>
        </v:shape>
      </w:pict>
    </w:r>
  </w:p>
  <w:p w14:paraId="51E142A5" w14:textId="77777777" w:rsidR="009E0F72" w:rsidRDefault="009E0F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4AE4" w14:textId="77777777" w:rsidR="00AA76DC" w:rsidRDefault="00AA76D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AA9"/>
    <w:rsid w:val="00000024"/>
    <w:rsid w:val="000355A2"/>
    <w:rsid w:val="000546F0"/>
    <w:rsid w:val="000B0AA9"/>
    <w:rsid w:val="00105112"/>
    <w:rsid w:val="00111EED"/>
    <w:rsid w:val="00280A59"/>
    <w:rsid w:val="002C6B96"/>
    <w:rsid w:val="003C0643"/>
    <w:rsid w:val="00457947"/>
    <w:rsid w:val="004A4745"/>
    <w:rsid w:val="004C1EDB"/>
    <w:rsid w:val="005D4CAD"/>
    <w:rsid w:val="006C747C"/>
    <w:rsid w:val="00717C6F"/>
    <w:rsid w:val="00982D5E"/>
    <w:rsid w:val="0098727D"/>
    <w:rsid w:val="009E0F72"/>
    <w:rsid w:val="00A235F7"/>
    <w:rsid w:val="00A27179"/>
    <w:rsid w:val="00A30AC7"/>
    <w:rsid w:val="00AA4BE2"/>
    <w:rsid w:val="00AA76DC"/>
    <w:rsid w:val="00B47792"/>
    <w:rsid w:val="00B835E3"/>
    <w:rsid w:val="00BA610E"/>
    <w:rsid w:val="00BB06E9"/>
    <w:rsid w:val="00C01D16"/>
    <w:rsid w:val="00C278AF"/>
    <w:rsid w:val="00CD2EB6"/>
    <w:rsid w:val="00D619BA"/>
    <w:rsid w:val="00DE4702"/>
    <w:rsid w:val="00F11633"/>
    <w:rsid w:val="00FD29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601A017C"/>
  <w15:chartTrackingRefBased/>
  <w15:docId w15:val="{35455FA4-AEB5-4A4B-93F0-9D475A5F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9E0F72"/>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9E0F72"/>
    <w:rPr>
      <w:rFonts w:cs="Narkisim"/>
      <w:szCs w:val="24"/>
      <w:lang w:eastAsia="he-IL"/>
    </w:rPr>
  </w:style>
  <w:style w:type="paragraph" w:styleId="a8">
    <w:name w:val="footer"/>
    <w:basedOn w:val="a"/>
    <w:link w:val="a9"/>
    <w:uiPriority w:val="99"/>
    <w:unhideWhenUsed/>
    <w:rsid w:val="009E0F72"/>
    <w:pPr>
      <w:tabs>
        <w:tab w:val="center" w:pos="4153"/>
        <w:tab w:val="right" w:pos="8306"/>
      </w:tabs>
    </w:pPr>
  </w:style>
  <w:style w:type="character" w:customStyle="1" w:styleId="a9">
    <w:name w:val="כותרת תחתונה תו"/>
    <w:link w:val="a8"/>
    <w:uiPriority w:val="99"/>
    <w:rsid w:val="009E0F72"/>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979334">
      <w:bodyDiv w:val="1"/>
      <w:marLeft w:val="0"/>
      <w:marRight w:val="0"/>
      <w:marTop w:val="0"/>
      <w:marBottom w:val="0"/>
      <w:divBdr>
        <w:top w:val="none" w:sz="0" w:space="0" w:color="auto"/>
        <w:left w:val="none" w:sz="0" w:space="0" w:color="auto"/>
        <w:bottom w:val="none" w:sz="0" w:space="0" w:color="auto"/>
        <w:right w:val="none" w:sz="0" w:space="0" w:color="auto"/>
      </w:divBdr>
    </w:div>
    <w:div w:id="1803770434">
      <w:bodyDiv w:val="1"/>
      <w:marLeft w:val="0"/>
      <w:marRight w:val="0"/>
      <w:marTop w:val="0"/>
      <w:marBottom w:val="0"/>
      <w:divBdr>
        <w:top w:val="none" w:sz="0" w:space="0" w:color="auto"/>
        <w:left w:val="none" w:sz="0" w:space="0" w:color="auto"/>
        <w:bottom w:val="none" w:sz="0" w:space="0" w:color="auto"/>
        <w:right w:val="none" w:sz="0" w:space="0" w:color="auto"/>
      </w:divBdr>
    </w:div>
    <w:div w:id="1876186832">
      <w:bodyDiv w:val="1"/>
      <w:marLeft w:val="0"/>
      <w:marRight w:val="0"/>
      <w:marTop w:val="0"/>
      <w:marBottom w:val="0"/>
      <w:divBdr>
        <w:top w:val="none" w:sz="0" w:space="0" w:color="auto"/>
        <w:left w:val="none" w:sz="0" w:space="0" w:color="auto"/>
        <w:bottom w:val="none" w:sz="0" w:space="0" w:color="auto"/>
        <w:right w:val="none" w:sz="0" w:space="0" w:color="auto"/>
      </w:divBdr>
    </w:div>
    <w:div w:id="20853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709</Words>
  <Characters>3545</Characters>
  <Application>Microsoft Office Word</Application>
  <DocSecurity>0</DocSecurity>
  <Lines>29</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8</cp:revision>
  <cp:lastPrinted>2013-09-29T13:32:00Z</cp:lastPrinted>
  <dcterms:created xsi:type="dcterms:W3CDTF">2026-06-01T11:28:00Z</dcterms:created>
  <dcterms:modified xsi:type="dcterms:W3CDTF">2026-06-25T10:46:00Z</dcterms:modified>
</cp:coreProperties>
</file>