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26627" w14:textId="77777777" w:rsidR="0051496B" w:rsidRDefault="0051496B">
      <w:pPr>
        <w:pStyle w:val="a7"/>
        <w:rPr>
          <w:rtl/>
        </w:rPr>
      </w:pPr>
      <w:r>
        <w:rPr>
          <w:rtl/>
        </w:rPr>
        <w:t>מדינת ישראל</w:t>
      </w:r>
    </w:p>
    <w:p w14:paraId="2805AB07" w14:textId="77777777" w:rsidR="0051496B" w:rsidRDefault="0051496B">
      <w:pPr>
        <w:pStyle w:val="a7"/>
        <w:rPr>
          <w:rtl/>
        </w:rPr>
      </w:pPr>
      <w:r>
        <w:rPr>
          <w:rtl/>
        </w:rPr>
        <w:t>האוצר - אגף התקציבים</w:t>
      </w:r>
    </w:p>
    <w:p w14:paraId="7C7F029B" w14:textId="77777777" w:rsidR="0051496B" w:rsidRDefault="0051496B">
      <w:pPr>
        <w:rPr>
          <w:rtl/>
        </w:rPr>
      </w:pPr>
    </w:p>
    <w:p w14:paraId="2F93F70F" w14:textId="77777777" w:rsidR="0051496B" w:rsidRDefault="0051496B">
      <w:pPr>
        <w:rPr>
          <w:rtl/>
        </w:rPr>
      </w:pPr>
    </w:p>
    <w:p w14:paraId="5A79D2F0" w14:textId="77777777" w:rsidR="0051496B" w:rsidRPr="000A3FA0" w:rsidRDefault="0051496B">
      <w:pPr>
        <w:tabs>
          <w:tab w:val="left" w:pos="6300"/>
        </w:tabs>
        <w:rPr>
          <w:rFonts w:cs="FrankRuehl"/>
          <w:sz w:val="26"/>
          <w:szCs w:val="26"/>
          <w:rtl/>
        </w:rPr>
      </w:pPr>
      <w:r>
        <w:rPr>
          <w:rtl/>
        </w:rPr>
        <w:tab/>
      </w:r>
      <w:bookmarkStart w:id="0" w:name="TAKZIV8"/>
      <w:bookmarkEnd w:id="0"/>
    </w:p>
    <w:p w14:paraId="0E9E2EE3"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65796AF1"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7E088D64" w14:textId="1A584AF7"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1374BE">
        <w:rPr>
          <w:rFonts w:cs="FrankRuehl"/>
          <w:sz w:val="26"/>
          <w:szCs w:val="26"/>
          <w:rtl/>
        </w:rPr>
        <w:t>201</w:t>
      </w:r>
      <w:bookmarkEnd w:id="2"/>
      <w:r w:rsidRPr="000A3FA0">
        <w:rPr>
          <w:rFonts w:cs="FrankRuehl"/>
          <w:sz w:val="26"/>
          <w:szCs w:val="26"/>
          <w:rtl/>
        </w:rPr>
        <w:t xml:space="preserve"> - </w:t>
      </w:r>
      <w:bookmarkStart w:id="3" w:name="TAKZIV3"/>
      <w:r w:rsidR="001374BE">
        <w:rPr>
          <w:rFonts w:cs="FrankRuehl"/>
          <w:sz w:val="26"/>
          <w:szCs w:val="26"/>
          <w:rtl/>
        </w:rPr>
        <w:t>70</w:t>
      </w:r>
      <w:bookmarkEnd w:id="3"/>
    </w:p>
    <w:p w14:paraId="2925407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15272146"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19344091" w14:textId="77777777" w:rsidR="0051496B" w:rsidRPr="000A3FA0" w:rsidRDefault="0051496B">
      <w:pPr>
        <w:rPr>
          <w:rFonts w:cs="FrankRuehl"/>
          <w:sz w:val="26"/>
          <w:szCs w:val="26"/>
          <w:rtl/>
        </w:rPr>
      </w:pPr>
      <w:r w:rsidRPr="000A3FA0">
        <w:rPr>
          <w:rFonts w:cs="FrankRuehl"/>
          <w:sz w:val="26"/>
          <w:szCs w:val="26"/>
          <w:rtl/>
        </w:rPr>
        <w:t>לכבוד,</w:t>
      </w:r>
    </w:p>
    <w:p w14:paraId="049DAEC1" w14:textId="77777777" w:rsidR="0051496B" w:rsidRPr="000A3FA0" w:rsidRDefault="0051496B">
      <w:pPr>
        <w:rPr>
          <w:rFonts w:cs="FrankRuehl"/>
          <w:sz w:val="26"/>
          <w:szCs w:val="26"/>
          <w:rtl/>
        </w:rPr>
      </w:pPr>
      <w:r w:rsidRPr="000A3FA0">
        <w:rPr>
          <w:rFonts w:cs="FrankRuehl"/>
          <w:sz w:val="26"/>
          <w:szCs w:val="26"/>
          <w:rtl/>
        </w:rPr>
        <w:t>יו"ר ועדת הכספים</w:t>
      </w:r>
    </w:p>
    <w:p w14:paraId="3045DECE" w14:textId="77777777" w:rsidR="0051496B" w:rsidRPr="000A3FA0" w:rsidRDefault="0051496B">
      <w:pPr>
        <w:rPr>
          <w:rFonts w:cs="FrankRuehl"/>
          <w:sz w:val="26"/>
          <w:szCs w:val="26"/>
          <w:rtl/>
        </w:rPr>
      </w:pPr>
      <w:r w:rsidRPr="000A3FA0">
        <w:rPr>
          <w:rFonts w:cs="FrankRuehl"/>
          <w:sz w:val="26"/>
          <w:szCs w:val="26"/>
          <w:rtl/>
        </w:rPr>
        <w:t>הכנסת</w:t>
      </w:r>
    </w:p>
    <w:p w14:paraId="038163A0" w14:textId="77777777" w:rsidR="0051496B" w:rsidRPr="000A3FA0" w:rsidRDefault="0051496B">
      <w:pPr>
        <w:rPr>
          <w:rFonts w:cs="FrankRuehl"/>
          <w:sz w:val="26"/>
          <w:szCs w:val="26"/>
          <w:rtl/>
        </w:rPr>
      </w:pPr>
    </w:p>
    <w:p w14:paraId="15D79BFD" w14:textId="77777777" w:rsidR="0051496B" w:rsidRPr="000A3FA0" w:rsidRDefault="0051496B">
      <w:pPr>
        <w:rPr>
          <w:rFonts w:cs="FrankRuehl"/>
          <w:sz w:val="26"/>
          <w:szCs w:val="26"/>
          <w:rtl/>
        </w:rPr>
      </w:pPr>
      <w:r w:rsidRPr="000A3FA0">
        <w:rPr>
          <w:rFonts w:cs="FrankRuehl"/>
          <w:sz w:val="26"/>
          <w:szCs w:val="26"/>
          <w:rtl/>
        </w:rPr>
        <w:t>א.נ.,</w:t>
      </w:r>
    </w:p>
    <w:p w14:paraId="0B87E87E" w14:textId="77777777" w:rsidR="0051496B" w:rsidRPr="000A3FA0" w:rsidRDefault="0051496B">
      <w:pPr>
        <w:rPr>
          <w:rFonts w:cs="FrankRuehl"/>
          <w:sz w:val="26"/>
          <w:szCs w:val="26"/>
          <w:rtl/>
        </w:rPr>
      </w:pPr>
    </w:p>
    <w:p w14:paraId="77EEEA5C" w14:textId="506A3500"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1374BE">
        <w:rPr>
          <w:rFonts w:cs="FrankRuehl"/>
          <w:sz w:val="26"/>
          <w:rtl/>
        </w:rPr>
        <w:t>2026</w:t>
      </w:r>
      <w:bookmarkEnd w:id="5"/>
      <w:r w:rsidRPr="000A3FA0">
        <w:rPr>
          <w:rFonts w:cs="FrankRuehl"/>
          <w:sz w:val="26"/>
          <w:rtl/>
        </w:rPr>
        <w:t xml:space="preserve">     </w:t>
      </w:r>
    </w:p>
    <w:p w14:paraId="23A1BB4B" w14:textId="77777777" w:rsidR="0051496B" w:rsidRPr="000A3FA0" w:rsidRDefault="0051496B" w:rsidP="00A6761F">
      <w:pPr>
        <w:jc w:val="both"/>
        <w:rPr>
          <w:rFonts w:cs="FrankRuehl"/>
          <w:sz w:val="26"/>
          <w:szCs w:val="26"/>
          <w:rtl/>
        </w:rPr>
      </w:pPr>
    </w:p>
    <w:p w14:paraId="679F4134" w14:textId="61C6442F" w:rsidR="0051496B" w:rsidRDefault="0051496B" w:rsidP="00D45B2C">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1374BE">
        <w:rPr>
          <w:rFonts w:cs="FrankRuehl"/>
          <w:sz w:val="26"/>
          <w:szCs w:val="26"/>
          <w:rtl/>
        </w:rPr>
        <w:t>6,167,355</w:t>
      </w:r>
      <w:bookmarkEnd w:id="6"/>
      <w:r w:rsidRPr="000A3FA0">
        <w:rPr>
          <w:rFonts w:cs="FrankRuehl"/>
          <w:sz w:val="26"/>
          <w:szCs w:val="26"/>
          <w:rtl/>
        </w:rPr>
        <w:t xml:space="preserve"> אלפי שקלים חדשים מסעיף </w:t>
      </w:r>
      <w:bookmarkStart w:id="7" w:name="TAKZIV3_1"/>
      <w:r w:rsidR="001374BE">
        <w:rPr>
          <w:rFonts w:cs="FrankRuehl"/>
          <w:sz w:val="26"/>
          <w:szCs w:val="26"/>
          <w:rtl/>
        </w:rPr>
        <w:t>70</w:t>
      </w:r>
      <w:bookmarkEnd w:id="7"/>
      <w:r w:rsidRPr="000A3FA0">
        <w:rPr>
          <w:rFonts w:cs="FrankRuehl"/>
          <w:sz w:val="26"/>
          <w:szCs w:val="26"/>
          <w:rtl/>
        </w:rPr>
        <w:t xml:space="preserve"> - </w:t>
      </w:r>
      <w:bookmarkStart w:id="8" w:name="TAKZIV6_2"/>
      <w:r w:rsidR="001374BE">
        <w:rPr>
          <w:rFonts w:cs="FrankRuehl"/>
          <w:sz w:val="26"/>
          <w:szCs w:val="26"/>
          <w:rtl/>
        </w:rPr>
        <w:t>שיכון</w:t>
      </w:r>
      <w:bookmarkEnd w:id="8"/>
      <w:r w:rsidRPr="000A3FA0">
        <w:rPr>
          <w:rFonts w:cs="FrankRuehl"/>
          <w:sz w:val="26"/>
          <w:szCs w:val="26"/>
          <w:rtl/>
        </w:rPr>
        <w:t xml:space="preserve"> משנת הכספים </w:t>
      </w:r>
      <w:bookmarkStart w:id="9" w:name="TAKZIV2_1"/>
      <w:r w:rsidR="001374BE">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1374BE">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D45B2C">
        <w:rPr>
          <w:rFonts w:cs="FrankRuehl" w:hint="cs"/>
          <w:sz w:val="26"/>
          <w:szCs w:val="26"/>
          <w:rtl/>
        </w:rPr>
        <w:t xml:space="preserve"> </w:t>
      </w:r>
      <w:r w:rsidRPr="000A3FA0">
        <w:rPr>
          <w:rFonts w:cs="FrankRuehl"/>
          <w:sz w:val="26"/>
          <w:szCs w:val="26"/>
          <w:rtl/>
        </w:rPr>
        <w:t>כמפורט בתדפיס המצורף בזה.</w:t>
      </w:r>
    </w:p>
    <w:p w14:paraId="54946D5E" w14:textId="5D349978" w:rsidR="00D45B2C" w:rsidRDefault="00D45B2C" w:rsidP="00D45B2C">
      <w:pPr>
        <w:jc w:val="both"/>
        <w:rPr>
          <w:rFonts w:cs="FrankRuehl"/>
          <w:sz w:val="26"/>
          <w:szCs w:val="26"/>
          <w:rtl/>
        </w:rPr>
      </w:pPr>
    </w:p>
    <w:p w14:paraId="61003A06" w14:textId="4D8B474B" w:rsidR="00D45B2C" w:rsidRDefault="00D45B2C" w:rsidP="00D45B2C">
      <w:pPr>
        <w:jc w:val="both"/>
        <w:rPr>
          <w:rFonts w:ascii="FrankRuehl" w:hAnsi="FrankRuehl" w:cs="FrankRuehl"/>
          <w:b/>
          <w:bCs/>
          <w:sz w:val="26"/>
          <w:szCs w:val="26"/>
          <w:lang w:eastAsia="en-US"/>
        </w:rPr>
      </w:pPr>
      <w:r>
        <w:rPr>
          <w:rFonts w:ascii="FrankRuehl" w:hAnsi="FrankRuehl" w:cs="FrankRuehl"/>
          <w:b/>
          <w:bCs/>
          <w:sz w:val="26"/>
          <w:szCs w:val="26"/>
          <w:rtl/>
        </w:rPr>
        <w:t>הבקשה דנה בסעיף תקציבי:</w:t>
      </w:r>
      <w:r w:rsidRPr="00D45B2C">
        <w:rPr>
          <w:rFonts w:ascii="FrankRuehl" w:hAnsi="FrankRuehl" w:cs="FrankRuehl"/>
          <w:sz w:val="26"/>
          <w:szCs w:val="26"/>
          <w:rtl/>
        </w:rPr>
        <w:t xml:space="preserve"> 70 </w:t>
      </w:r>
      <w:r>
        <w:rPr>
          <w:rFonts w:ascii="FrankRuehl" w:hAnsi="FrankRuehl" w:cs="FrankRuehl" w:hint="cs"/>
          <w:sz w:val="26"/>
          <w:szCs w:val="26"/>
          <w:rtl/>
        </w:rPr>
        <w:t xml:space="preserve">- </w:t>
      </w:r>
      <w:r w:rsidRPr="00D45B2C">
        <w:rPr>
          <w:rFonts w:ascii="FrankRuehl" w:hAnsi="FrankRuehl" w:cs="FrankRuehl"/>
          <w:sz w:val="26"/>
          <w:szCs w:val="26"/>
          <w:rtl/>
        </w:rPr>
        <w:t>שיכון</w:t>
      </w:r>
    </w:p>
    <w:p w14:paraId="60BEE81F" w14:textId="77777777" w:rsidR="00D45B2C" w:rsidRDefault="00D45B2C" w:rsidP="00D45B2C">
      <w:pPr>
        <w:jc w:val="both"/>
        <w:rPr>
          <w:rFonts w:ascii="FrankRuehl" w:hAnsi="FrankRuehl" w:cs="FrankRuehl"/>
          <w:sz w:val="26"/>
          <w:szCs w:val="26"/>
        </w:rPr>
      </w:pPr>
    </w:p>
    <w:p w14:paraId="16DBD557" w14:textId="77777777" w:rsidR="00D45B2C" w:rsidRDefault="00D45B2C" w:rsidP="00D45B2C">
      <w:pPr>
        <w:jc w:val="both"/>
        <w:rPr>
          <w:rFonts w:ascii="FrankRuehl" w:hAnsi="FrankRuehl" w:cs="FrankRuehl"/>
          <w:b/>
          <w:bCs/>
          <w:sz w:val="26"/>
          <w:szCs w:val="26"/>
        </w:rPr>
      </w:pPr>
      <w:r>
        <w:rPr>
          <w:rFonts w:ascii="FrankRuehl" w:hAnsi="FrankRuehl" w:cs="FrankRuehl"/>
          <w:b/>
          <w:bCs/>
          <w:sz w:val="26"/>
          <w:szCs w:val="26"/>
          <w:rtl/>
        </w:rPr>
        <w:t>עיקרי הפנייה:</w:t>
      </w:r>
    </w:p>
    <w:p w14:paraId="0A94298C" w14:textId="77777777" w:rsidR="00D45B2C" w:rsidRDefault="00D45B2C" w:rsidP="00D45B2C">
      <w:pPr>
        <w:jc w:val="both"/>
        <w:rPr>
          <w:rFonts w:ascii="FrankRuehl" w:hAnsi="FrankRuehl" w:cs="FrankRuehl"/>
          <w:sz w:val="26"/>
          <w:szCs w:val="26"/>
        </w:rPr>
      </w:pPr>
      <w:r>
        <w:rPr>
          <w:rFonts w:ascii="FrankRuehl" w:hAnsi="FrankRuehl" w:cs="FrankRuehl"/>
          <w:sz w:val="26"/>
          <w:szCs w:val="26"/>
          <w:rtl/>
        </w:rPr>
        <w:t xml:space="preserve">הפנייה התקציבית נועדה להעברת עודפים בסך של 6,167,355 אלפי ש"ח משנת התקציב 2025 לשנת התקציב 2026 שנועדו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התקציב הבאות, כמפורט להלן:</w:t>
      </w:r>
    </w:p>
    <w:p w14:paraId="710AA983" w14:textId="77777777" w:rsidR="00D45B2C" w:rsidRDefault="00D45B2C" w:rsidP="00D45B2C">
      <w:pPr>
        <w:jc w:val="both"/>
        <w:rPr>
          <w:rFonts w:ascii="FrankRuehl" w:hAnsi="FrankRuehl" w:cs="FrankRuehl"/>
          <w:sz w:val="26"/>
          <w:szCs w:val="26"/>
          <w:rtl/>
        </w:rPr>
      </w:pPr>
    </w:p>
    <w:p w14:paraId="4115F5A2" w14:textId="77777777" w:rsidR="00D45B2C" w:rsidRPr="00D45B2C" w:rsidRDefault="00D45B2C" w:rsidP="00D45B2C">
      <w:pPr>
        <w:jc w:val="both"/>
        <w:rPr>
          <w:rFonts w:ascii="FrankRuehl" w:hAnsi="FrankRuehl" w:cs="FrankRuehl"/>
          <w:b/>
          <w:bCs/>
          <w:sz w:val="26"/>
          <w:szCs w:val="26"/>
        </w:rPr>
      </w:pPr>
      <w:r w:rsidRPr="00D45B2C">
        <w:rPr>
          <w:rFonts w:ascii="FrankRuehl" w:hAnsi="FrankRuehl" w:cs="FrankRuehl"/>
          <w:b/>
          <w:bCs/>
          <w:sz w:val="26"/>
          <w:szCs w:val="26"/>
          <w:rtl/>
        </w:rPr>
        <w:t xml:space="preserve">עיקרי הפניה בחלוקה </w:t>
      </w:r>
      <w:proofErr w:type="spellStart"/>
      <w:r w:rsidRPr="00D45B2C">
        <w:rPr>
          <w:rFonts w:ascii="FrankRuehl" w:hAnsi="FrankRuehl" w:cs="FrankRuehl"/>
          <w:b/>
          <w:bCs/>
          <w:sz w:val="26"/>
          <w:szCs w:val="26"/>
          <w:rtl/>
        </w:rPr>
        <w:t>לתכניות</w:t>
      </w:r>
      <w:proofErr w:type="spellEnd"/>
      <w:r w:rsidRPr="00D45B2C">
        <w:rPr>
          <w:rFonts w:ascii="FrankRuehl" w:hAnsi="FrankRuehl" w:cs="FrankRuehl"/>
          <w:b/>
          <w:bCs/>
          <w:sz w:val="26"/>
          <w:szCs w:val="26"/>
          <w:rtl/>
        </w:rPr>
        <w:t>:</w:t>
      </w:r>
    </w:p>
    <w:p w14:paraId="027D2930" w14:textId="77777777" w:rsidR="00D45B2C" w:rsidRDefault="00D45B2C" w:rsidP="00D45B2C">
      <w:pPr>
        <w:jc w:val="both"/>
        <w:rPr>
          <w:rFonts w:ascii="FrankRuehl" w:hAnsi="FrankRuehl" w:cs="FrankRuehl"/>
          <w:sz w:val="26"/>
          <w:szCs w:val="26"/>
          <w:rtl/>
        </w:rPr>
      </w:pPr>
    </w:p>
    <w:p w14:paraId="16A1C80B" w14:textId="77777777" w:rsidR="00D45B2C" w:rsidRDefault="00D45B2C" w:rsidP="00D45B2C">
      <w:pPr>
        <w:contextualSpacing/>
        <w:jc w:val="both"/>
        <w:rPr>
          <w:rFonts w:ascii="FrankRuehl" w:hAnsi="FrankRuehl" w:cs="FrankRuehl"/>
          <w:b/>
          <w:bCs/>
          <w:sz w:val="26"/>
          <w:szCs w:val="26"/>
          <w:rtl/>
        </w:rPr>
      </w:pPr>
      <w:r>
        <w:rPr>
          <w:rFonts w:ascii="FrankRuehl" w:hAnsi="FrankRuehl" w:cs="FrankRuehl"/>
          <w:b/>
          <w:bCs/>
          <w:sz w:val="26"/>
          <w:szCs w:val="26"/>
          <w:rtl/>
        </w:rPr>
        <w:t>701001 - משקים סגורים בנייה חדשה</w:t>
      </w:r>
      <w:r>
        <w:rPr>
          <w:rFonts w:ascii="FrankRuehl" w:hAnsi="FrankRuehl" w:cs="FrankRuehl"/>
          <w:sz w:val="26"/>
          <w:szCs w:val="26"/>
          <w:rtl/>
        </w:rPr>
        <w:t xml:space="preserve"> </w:t>
      </w:r>
      <w:r>
        <w:rPr>
          <w:rFonts w:ascii="FrankRuehl" w:hAnsi="FrankRuehl" w:cs="FrankRuehl"/>
          <w:b/>
          <w:bCs/>
          <w:sz w:val="26"/>
          <w:szCs w:val="26"/>
          <w:rtl/>
        </w:rPr>
        <w:t>–  5,915,354 אלפי ש"ח</w:t>
      </w:r>
    </w:p>
    <w:p w14:paraId="57840AEA" w14:textId="77777777" w:rsidR="00D45B2C" w:rsidRDefault="00D45B2C" w:rsidP="00D45B2C">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eastAsia="FrankRuehl" w:hAnsi="FrankRuehl" w:cs="FrankRuehl"/>
          <w:color w:val="000000"/>
          <w:sz w:val="26"/>
          <w:szCs w:val="26"/>
          <w:bdr w:val="none" w:sz="0" w:space="0" w:color="auto" w:frame="1"/>
          <w:rtl/>
        </w:rPr>
        <w:t>תכנית זו כוללת את פעילות משרד הבינוי והשיכון לפיתוח שכונות חדשות במרקם העירוני והכפרי בכל רחבי הארץ. פעילות המשרד כוללת את תכנון השכונות, פיתוח הקרקע המיועדת לבנייה ותקציבים עבור מוסדות ציבור וישן מול חדש, בהתאם להחלטות מועצת מקרקעי ישראל.</w:t>
      </w:r>
    </w:p>
    <w:p w14:paraId="7FA39755" w14:textId="77777777" w:rsidR="00D45B2C" w:rsidRDefault="00D45B2C" w:rsidP="00D45B2C">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41F1A066" w14:textId="77777777" w:rsidR="00D45B2C" w:rsidRDefault="00D45B2C" w:rsidP="00D45B2C">
      <w:pPr>
        <w:contextualSpacing/>
        <w:jc w:val="both"/>
        <w:rPr>
          <w:rFonts w:ascii="FrankRuehl" w:hAnsi="FrankRuehl" w:cs="FrankRuehl"/>
          <w:sz w:val="26"/>
          <w:szCs w:val="26"/>
        </w:rPr>
      </w:pPr>
      <w:r>
        <w:rPr>
          <w:rFonts w:ascii="FrankRuehl" w:hAnsi="FrankRuehl" w:cs="FrankRuehl"/>
          <w:sz w:val="26"/>
          <w:szCs w:val="26"/>
          <w:rtl/>
        </w:rPr>
        <w:t xml:space="preserve">עיקר העודפים נוצרים כתוצאה של </w:t>
      </w:r>
      <w:proofErr w:type="spellStart"/>
      <w:r>
        <w:rPr>
          <w:rFonts w:ascii="FrankRuehl" w:hAnsi="FrankRuehl" w:cs="FrankRuehl"/>
          <w:sz w:val="26"/>
          <w:szCs w:val="26"/>
          <w:rtl/>
        </w:rPr>
        <w:t>פרויקטי</w:t>
      </w:r>
      <w:proofErr w:type="spellEnd"/>
      <w:r>
        <w:rPr>
          <w:rFonts w:ascii="FrankRuehl" w:hAnsi="FrankRuehl" w:cs="FrankRuehl"/>
          <w:sz w:val="26"/>
          <w:szCs w:val="26"/>
          <w:rtl/>
        </w:rPr>
        <w:t xml:space="preserve"> פיתוח שמבצע המשרד באתרים המיועדים לשכונות מגורים בכל רחבי הארץ. ביצוע עבודות הפיתוח באתרים אלה מתפרס על תקופה ארוכה והביצוע בפועל נפרס על פני מספר שנים, על כן נוצרים עודפים.</w:t>
      </w:r>
    </w:p>
    <w:p w14:paraId="6DA34118" w14:textId="77777777" w:rsidR="00D45B2C" w:rsidRDefault="00D45B2C" w:rsidP="00D45B2C">
      <w:pPr>
        <w:jc w:val="both"/>
        <w:rPr>
          <w:rFonts w:ascii="FrankRuehl" w:hAnsi="FrankRuehl" w:cs="FrankRuehl"/>
          <w:sz w:val="26"/>
          <w:szCs w:val="26"/>
          <w:rtl/>
        </w:rPr>
      </w:pPr>
    </w:p>
    <w:p w14:paraId="2B051FF8" w14:textId="77777777" w:rsidR="00D45B2C" w:rsidRDefault="00D45B2C" w:rsidP="00D45B2C">
      <w:pPr>
        <w:contextualSpacing/>
        <w:jc w:val="both"/>
        <w:rPr>
          <w:rFonts w:ascii="FrankRuehl" w:hAnsi="FrankRuehl" w:cs="FrankRuehl"/>
          <w:sz w:val="26"/>
          <w:szCs w:val="26"/>
          <w:rtl/>
        </w:rPr>
      </w:pPr>
      <w:r>
        <w:rPr>
          <w:rFonts w:ascii="FrankRuehl" w:hAnsi="FrankRuehl" w:cs="FrankRuehl"/>
          <w:b/>
          <w:bCs/>
          <w:sz w:val="26"/>
          <w:szCs w:val="26"/>
          <w:rtl/>
        </w:rPr>
        <w:t xml:space="preserve">תכנית 703002 - משק סגור לניהול הדיור הציבורי </w:t>
      </w:r>
      <w:r>
        <w:rPr>
          <w:rFonts w:ascii="FrankRuehl" w:hAnsi="FrankRuehl" w:cs="FrankRuehl"/>
          <w:b/>
          <w:bCs/>
          <w:sz w:val="26"/>
          <w:szCs w:val="26"/>
        </w:rPr>
        <w:t>–</w:t>
      </w:r>
      <w:r>
        <w:rPr>
          <w:rFonts w:ascii="FrankRuehl" w:hAnsi="FrankRuehl" w:cs="FrankRuehl"/>
          <w:b/>
          <w:bCs/>
          <w:sz w:val="26"/>
          <w:szCs w:val="26"/>
          <w:rtl/>
        </w:rPr>
        <w:t>11,511 אלפי ש"ח</w:t>
      </w:r>
    </w:p>
    <w:p w14:paraId="7EA83672" w14:textId="77777777" w:rsidR="00D45B2C" w:rsidRDefault="00D45B2C" w:rsidP="00D45B2C">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r>
        <w:rPr>
          <w:rFonts w:ascii="FrankRuehl" w:eastAsia="FrankRuehl" w:hAnsi="FrankRuehl" w:cs="FrankRuehl"/>
          <w:color w:val="000000"/>
          <w:sz w:val="26"/>
          <w:szCs w:val="26"/>
          <w:bdr w:val="none" w:sz="0" w:space="0" w:color="auto" w:frame="1"/>
          <w:rtl/>
        </w:rPr>
        <w:t>התוכנית משמשת למימון ניהול ותחזוקת דירות הדיור הציבורי על ידי החברות המשכנות במסגרת הסכם הניהול של המדינה מול כל חברה.</w:t>
      </w:r>
    </w:p>
    <w:p w14:paraId="163DACF3" w14:textId="77777777" w:rsidR="00D45B2C" w:rsidRDefault="00D45B2C" w:rsidP="00D45B2C">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720B1BB" w14:textId="77777777" w:rsidR="00D45B2C" w:rsidRDefault="00D45B2C" w:rsidP="00D45B2C">
      <w:pPr>
        <w:jc w:val="both"/>
        <w:rPr>
          <w:rFonts w:ascii="FrankRuehl" w:hAnsi="FrankRuehl" w:cs="FrankRuehl"/>
          <w:sz w:val="26"/>
          <w:szCs w:val="26"/>
        </w:rPr>
      </w:pPr>
      <w:r>
        <w:rPr>
          <w:rFonts w:ascii="FrankRuehl" w:hAnsi="FrankRuehl" w:cs="FrankRuehl"/>
          <w:sz w:val="26"/>
          <w:szCs w:val="26"/>
          <w:rtl/>
        </w:rPr>
        <w:t xml:space="preserve">עיקר העודפים נוצרים לאור אופי הסכם הניהול והתחזוקה עם החברות המשכנות אשר מפעילות את הדיור הציבורי. הסכם הניהול עם החברות נפרס על פני מספר שנים וכולל גם </w:t>
      </w:r>
      <w:proofErr w:type="spellStart"/>
      <w:r>
        <w:rPr>
          <w:rFonts w:ascii="FrankRuehl" w:hAnsi="FrankRuehl" w:cs="FrankRuehl"/>
          <w:sz w:val="26"/>
          <w:szCs w:val="26"/>
          <w:rtl/>
        </w:rPr>
        <w:t>פרויקטי</w:t>
      </w:r>
      <w:proofErr w:type="spellEnd"/>
      <w:r>
        <w:rPr>
          <w:rFonts w:ascii="FrankRuehl" w:hAnsi="FrankRuehl" w:cs="FrankRuehl"/>
          <w:sz w:val="26"/>
          <w:szCs w:val="26"/>
          <w:rtl/>
        </w:rPr>
        <w:t xml:space="preserve"> פיתוח ותחזוקה אשר מתבצעים על תקופה ארוכה יותר משנה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אחת ועל כן נוצרו העודפים.</w:t>
      </w:r>
    </w:p>
    <w:p w14:paraId="1C4F2967" w14:textId="77777777" w:rsidR="00D45B2C" w:rsidRDefault="00D45B2C" w:rsidP="00D45B2C">
      <w:pPr>
        <w:jc w:val="both"/>
        <w:rPr>
          <w:rFonts w:ascii="FrankRuehl" w:hAnsi="FrankRuehl" w:cs="FrankRuehl"/>
          <w:sz w:val="26"/>
          <w:szCs w:val="26"/>
          <w:rtl/>
        </w:rPr>
      </w:pPr>
    </w:p>
    <w:p w14:paraId="23F41F6C" w14:textId="77777777" w:rsidR="00D45B2C" w:rsidRDefault="00D45B2C" w:rsidP="00D45B2C">
      <w:pPr>
        <w:contextualSpacing/>
        <w:jc w:val="both"/>
        <w:rPr>
          <w:rFonts w:ascii="FrankRuehl" w:hAnsi="FrankRuehl" w:cs="FrankRuehl"/>
          <w:sz w:val="26"/>
          <w:szCs w:val="26"/>
          <w:rtl/>
        </w:rPr>
      </w:pPr>
      <w:r>
        <w:rPr>
          <w:rFonts w:ascii="FrankRuehl" w:hAnsi="FrankRuehl" w:cs="FrankRuehl"/>
          <w:b/>
          <w:bCs/>
          <w:sz w:val="26"/>
          <w:szCs w:val="26"/>
          <w:rtl/>
        </w:rPr>
        <w:t xml:space="preserve">תכנית 703003 - חוק מכר דירות </w:t>
      </w:r>
      <w:r>
        <w:rPr>
          <w:rFonts w:ascii="FrankRuehl" w:hAnsi="FrankRuehl" w:cs="FrankRuehl"/>
          <w:b/>
          <w:bCs/>
          <w:sz w:val="26"/>
          <w:szCs w:val="26"/>
        </w:rPr>
        <w:t>–</w:t>
      </w:r>
      <w:r>
        <w:rPr>
          <w:rFonts w:ascii="FrankRuehl" w:hAnsi="FrankRuehl" w:cs="FrankRuehl"/>
          <w:b/>
          <w:bCs/>
          <w:sz w:val="26"/>
          <w:szCs w:val="26"/>
          <w:rtl/>
        </w:rPr>
        <w:t xml:space="preserve"> </w:t>
      </w:r>
      <w:r>
        <w:rPr>
          <w:rFonts w:ascii="FrankRuehl" w:hAnsi="FrankRuehl" w:cs="FrankRuehl" w:hint="cs"/>
          <w:b/>
          <w:bCs/>
          <w:sz w:val="26"/>
          <w:szCs w:val="26"/>
          <w:rtl/>
        </w:rPr>
        <w:t>240,490 אלפי ש"ח</w:t>
      </w:r>
    </w:p>
    <w:p w14:paraId="67664541" w14:textId="733AE48E" w:rsidR="00D45B2C" w:rsidRDefault="00D45B2C" w:rsidP="00D45B2C">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eastAsia="FrankRuehl" w:hAnsi="FrankRuehl" w:cs="FrankRuehl"/>
          <w:color w:val="000000"/>
          <w:sz w:val="26"/>
          <w:szCs w:val="26"/>
          <w:bdr w:val="none" w:sz="0" w:space="0" w:color="auto" w:frame="1"/>
          <w:rtl/>
        </w:rPr>
        <w:t>התכנית</w:t>
      </w:r>
      <w:proofErr w:type="spellEnd"/>
      <w:r>
        <w:rPr>
          <w:rFonts w:ascii="FrankRuehl" w:eastAsia="FrankRuehl" w:hAnsi="FrankRuehl" w:cs="FrankRuehl"/>
          <w:color w:val="000000"/>
          <w:sz w:val="26"/>
          <w:szCs w:val="26"/>
          <w:bdr w:val="none" w:sz="0" w:space="0" w:color="auto" w:frame="1"/>
          <w:rtl/>
        </w:rPr>
        <w:t xml:space="preserve"> מיועדת למימון רכישת דירות לדיירי הדיור הציבורי כאשר מקור התקציב הינו ממכר הדירות לדיירים בהתאם לחוק זכויות רכישה.</w:t>
      </w:r>
    </w:p>
    <w:p w14:paraId="355F1366" w14:textId="1B77F49E" w:rsidR="00D45B2C" w:rsidRDefault="00D45B2C" w:rsidP="00D45B2C">
      <w:pPr>
        <w:jc w:val="both"/>
        <w:rPr>
          <w:rFonts w:ascii="FrankRuehl" w:hAnsi="FrankRuehl" w:cs="FrankRuehl"/>
          <w:b/>
          <w:bCs/>
          <w:sz w:val="26"/>
          <w:szCs w:val="26"/>
          <w:rtl/>
        </w:rPr>
      </w:pPr>
    </w:p>
    <w:p w14:paraId="63F00C97" w14:textId="77777777" w:rsidR="00D45B2C" w:rsidRDefault="00D45B2C" w:rsidP="00D45B2C">
      <w:pPr>
        <w:jc w:val="both"/>
        <w:rPr>
          <w:rFonts w:ascii="FrankRuehl" w:hAnsi="FrankRuehl" w:cs="FrankRuehl"/>
          <w:b/>
          <w:bCs/>
          <w:sz w:val="26"/>
          <w:szCs w:val="26"/>
          <w:rtl/>
        </w:rPr>
      </w:pPr>
    </w:p>
    <w:p w14:paraId="597BB257" w14:textId="77777777" w:rsidR="00D45B2C" w:rsidRDefault="00D45B2C" w:rsidP="00D45B2C">
      <w:pPr>
        <w:jc w:val="both"/>
        <w:rPr>
          <w:rFonts w:ascii="FrankRuehl" w:hAnsi="FrankRuehl" w:cs="FrankRuehl"/>
          <w:b/>
          <w:bCs/>
          <w:sz w:val="26"/>
          <w:szCs w:val="26"/>
          <w:rtl/>
        </w:rPr>
      </w:pPr>
      <w:r>
        <w:rPr>
          <w:rFonts w:ascii="FrankRuehl" w:hAnsi="FrankRuehl" w:cs="FrankRuehl"/>
          <w:b/>
          <w:bCs/>
          <w:sz w:val="26"/>
          <w:szCs w:val="26"/>
          <w:rtl/>
        </w:rPr>
        <w:lastRenderedPageBreak/>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975AABD" w14:textId="77777777" w:rsidR="00D45B2C" w:rsidRDefault="00D45B2C" w:rsidP="00D45B2C">
      <w:pPr>
        <w:jc w:val="both"/>
        <w:rPr>
          <w:rFonts w:ascii="FrankRuehl" w:hAnsi="FrankRuehl" w:cs="FrankRuehl"/>
          <w:sz w:val="26"/>
          <w:szCs w:val="26"/>
        </w:rPr>
      </w:pPr>
      <w:r>
        <w:rPr>
          <w:rFonts w:ascii="FrankRuehl" w:hAnsi="FrankRuehl" w:cs="FrankRuehl"/>
          <w:sz w:val="26"/>
          <w:szCs w:val="26"/>
          <w:rtl/>
        </w:rPr>
        <w:t xml:space="preserve">עיקר 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נוצרים כתוצאה מהכנסות שהתקבלו בעבר ממכירת דירות לדיירים בדיור הציבורי בהתאם לחוק זכויות רכישה, אך עדיין לא נחתמו חוזים לרכישת דירות חדשות ולכן מועברים העודפים.</w:t>
      </w:r>
    </w:p>
    <w:p w14:paraId="32240D85" w14:textId="77777777" w:rsidR="00D45B2C" w:rsidRDefault="00D45B2C" w:rsidP="00D45B2C">
      <w:pPr>
        <w:ind w:left="360"/>
        <w:jc w:val="both"/>
        <w:rPr>
          <w:rFonts w:ascii="FrankRuehl" w:hAnsi="FrankRuehl" w:cs="FrankRuehl"/>
          <w:sz w:val="26"/>
          <w:szCs w:val="26"/>
          <w:rtl/>
        </w:rPr>
      </w:pPr>
    </w:p>
    <w:p w14:paraId="2C2780B5" w14:textId="77777777" w:rsidR="00D45B2C" w:rsidRDefault="00D45B2C" w:rsidP="00D45B2C">
      <w:pPr>
        <w:jc w:val="both"/>
        <w:rPr>
          <w:rFonts w:ascii="FrankRuehl" w:hAnsi="FrankRuehl" w:cs="FrankRuehl"/>
          <w:b/>
          <w:bCs/>
          <w:sz w:val="26"/>
          <w:szCs w:val="26"/>
          <w:rtl/>
        </w:rPr>
      </w:pPr>
      <w:r>
        <w:rPr>
          <w:rFonts w:ascii="FrankRuehl" w:hAnsi="FrankRuehl" w:cs="FrankRuehl"/>
          <w:b/>
          <w:bCs/>
          <w:sz w:val="26"/>
          <w:szCs w:val="26"/>
          <w:rtl/>
        </w:rPr>
        <w:t xml:space="preserve">השפעה על </w:t>
      </w:r>
      <w:proofErr w:type="spellStart"/>
      <w:r>
        <w:rPr>
          <w:rFonts w:ascii="FrankRuehl" w:hAnsi="FrankRuehl" w:cs="FrankRuehl"/>
          <w:b/>
          <w:bCs/>
          <w:sz w:val="26"/>
          <w:szCs w:val="26"/>
          <w:rtl/>
        </w:rPr>
        <w:t>כח</w:t>
      </w:r>
      <w:proofErr w:type="spellEnd"/>
      <w:r>
        <w:rPr>
          <w:rFonts w:ascii="FrankRuehl" w:hAnsi="FrankRuehl" w:cs="FrankRuehl"/>
          <w:b/>
          <w:bCs/>
          <w:sz w:val="26"/>
          <w:szCs w:val="26"/>
          <w:rtl/>
        </w:rPr>
        <w:t xml:space="preserve"> אדם: </w:t>
      </w:r>
      <w:r>
        <w:rPr>
          <w:rFonts w:ascii="FrankRuehl" w:hAnsi="FrankRuehl" w:cs="FrankRuehl"/>
          <w:sz w:val="26"/>
          <w:szCs w:val="26"/>
          <w:rtl/>
        </w:rPr>
        <w:t>אין.</w:t>
      </w:r>
    </w:p>
    <w:p w14:paraId="02816DFC" w14:textId="77777777" w:rsidR="00D45B2C" w:rsidRDefault="00D45B2C" w:rsidP="00D45B2C">
      <w:pPr>
        <w:jc w:val="both"/>
        <w:rPr>
          <w:rFonts w:cs="FrankRuehl"/>
          <w:sz w:val="26"/>
          <w:szCs w:val="26"/>
          <w:rtl/>
        </w:rPr>
      </w:pPr>
    </w:p>
    <w:p w14:paraId="11FAD5E6" w14:textId="77777777" w:rsidR="0051496B" w:rsidRPr="000A3FA0" w:rsidRDefault="0051496B" w:rsidP="00D45B2C">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5EEC8C2E" w14:textId="77777777" w:rsidR="0051496B" w:rsidRPr="000A3FA0" w:rsidRDefault="0051496B" w:rsidP="00A6761F">
      <w:pPr>
        <w:jc w:val="both"/>
        <w:rPr>
          <w:rFonts w:cs="FrankRuehl"/>
          <w:sz w:val="26"/>
          <w:szCs w:val="26"/>
          <w:rtl/>
        </w:rPr>
      </w:pPr>
    </w:p>
    <w:p w14:paraId="33CAA052" w14:textId="77777777" w:rsidR="0051496B" w:rsidRPr="000A3FA0" w:rsidRDefault="0051496B" w:rsidP="00A6761F">
      <w:pPr>
        <w:jc w:val="both"/>
        <w:rPr>
          <w:rFonts w:cs="FrankRuehl"/>
          <w:sz w:val="26"/>
          <w:szCs w:val="26"/>
          <w:rtl/>
        </w:rPr>
      </w:pPr>
    </w:p>
    <w:p w14:paraId="7F753AEF"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4F62D829" w14:textId="77777777" w:rsidR="0051496B" w:rsidRDefault="0051496B">
      <w:pPr>
        <w:tabs>
          <w:tab w:val="center" w:pos="6867"/>
        </w:tabs>
        <w:rPr>
          <w:rFonts w:cs="FrankRuehl"/>
          <w:sz w:val="26"/>
          <w:szCs w:val="26"/>
          <w:rtl/>
        </w:rPr>
      </w:pPr>
    </w:p>
    <w:p w14:paraId="1E0B881F"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3B71BDF7" w14:textId="77777777" w:rsidR="0051496B" w:rsidRPr="000A3FA0" w:rsidRDefault="0051496B">
      <w:pPr>
        <w:tabs>
          <w:tab w:val="center" w:pos="6867"/>
        </w:tabs>
        <w:rPr>
          <w:rFonts w:cs="FrankRuehl"/>
          <w:sz w:val="26"/>
          <w:szCs w:val="26"/>
          <w:rtl/>
        </w:rPr>
      </w:pPr>
    </w:p>
    <w:p w14:paraId="1591891F"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0B461C51"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1BB90FCB" w14:textId="77777777" w:rsidR="0051496B" w:rsidRPr="000A3FA0" w:rsidRDefault="0051496B">
      <w:pPr>
        <w:rPr>
          <w:rFonts w:cs="FrankRuehl"/>
          <w:sz w:val="26"/>
          <w:szCs w:val="26"/>
          <w:rtl/>
        </w:rPr>
      </w:pPr>
    </w:p>
    <w:p w14:paraId="259F9359" w14:textId="77777777" w:rsidR="0051496B" w:rsidRPr="000A3FA0" w:rsidRDefault="0051496B">
      <w:pPr>
        <w:rPr>
          <w:rFonts w:cs="FrankRuehl"/>
          <w:sz w:val="26"/>
          <w:szCs w:val="26"/>
          <w:rtl/>
        </w:rPr>
      </w:pPr>
      <w:r w:rsidRPr="000A3FA0">
        <w:rPr>
          <w:rFonts w:cs="FrankRuehl"/>
          <w:sz w:val="26"/>
          <w:szCs w:val="26"/>
          <w:rtl/>
        </w:rPr>
        <w:t>העתק:</w:t>
      </w:r>
    </w:p>
    <w:p w14:paraId="75E48470" w14:textId="77777777" w:rsidR="0051496B" w:rsidRPr="000A3FA0" w:rsidRDefault="0051496B">
      <w:pPr>
        <w:rPr>
          <w:rFonts w:cs="FrankRuehl"/>
          <w:sz w:val="26"/>
          <w:szCs w:val="26"/>
          <w:rtl/>
        </w:rPr>
      </w:pPr>
      <w:r w:rsidRPr="000A3FA0">
        <w:rPr>
          <w:rFonts w:cs="FrankRuehl"/>
          <w:sz w:val="26"/>
          <w:szCs w:val="26"/>
          <w:rtl/>
        </w:rPr>
        <w:t>החשב הכללי</w:t>
      </w:r>
    </w:p>
    <w:p w14:paraId="5AB9A4FD" w14:textId="77777777" w:rsidR="0051496B" w:rsidRPr="000A3FA0" w:rsidRDefault="0051496B">
      <w:pPr>
        <w:rPr>
          <w:rFonts w:cs="FrankRuehl"/>
          <w:sz w:val="26"/>
          <w:szCs w:val="26"/>
          <w:rtl/>
        </w:rPr>
      </w:pPr>
      <w:r w:rsidRPr="000A3FA0">
        <w:rPr>
          <w:rFonts w:cs="FrankRuehl"/>
          <w:sz w:val="26"/>
          <w:szCs w:val="26"/>
          <w:rtl/>
        </w:rPr>
        <w:t>מבקר המדינה (2)</w:t>
      </w:r>
    </w:p>
    <w:p w14:paraId="1EFB51C2" w14:textId="29CD7B68" w:rsidR="0051496B" w:rsidRPr="000A3FA0" w:rsidRDefault="001374BE">
      <w:pPr>
        <w:rPr>
          <w:rFonts w:cs="FrankRuehl"/>
          <w:sz w:val="26"/>
          <w:szCs w:val="26"/>
          <w:rtl/>
        </w:rPr>
      </w:pPr>
      <w:bookmarkStart w:id="12" w:name="TAKZIV22"/>
      <w:r>
        <w:rPr>
          <w:rFonts w:cs="FrankRuehl"/>
          <w:sz w:val="26"/>
          <w:szCs w:val="26"/>
          <w:rtl/>
        </w:rPr>
        <w:t>חשב משרד הבינוי והשיכון</w:t>
      </w:r>
      <w:bookmarkEnd w:id="12"/>
    </w:p>
    <w:p w14:paraId="2A7C3CC5" w14:textId="4840ADD0"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1374BE">
        <w:rPr>
          <w:rFonts w:cs="FrankRuehl"/>
          <w:sz w:val="26"/>
          <w:szCs w:val="26"/>
          <w:rtl/>
        </w:rPr>
        <w:t>שיכון</w:t>
      </w:r>
      <w:bookmarkEnd w:id="13"/>
    </w:p>
    <w:p w14:paraId="7B341B5E" w14:textId="7458D45C"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1374BE">
        <w:rPr>
          <w:rFonts w:cs="FrankRuehl"/>
          <w:sz w:val="26"/>
          <w:szCs w:val="26"/>
          <w:rtl/>
        </w:rPr>
        <w:t>שיכון</w:t>
      </w:r>
      <w:bookmarkEnd w:id="14"/>
    </w:p>
    <w:p w14:paraId="190AE222" w14:textId="77777777" w:rsidR="0051496B" w:rsidRPr="000A3FA0" w:rsidRDefault="0051496B">
      <w:pPr>
        <w:rPr>
          <w:rFonts w:cs="FrankRuehl"/>
          <w:sz w:val="26"/>
          <w:szCs w:val="26"/>
          <w:rtl/>
        </w:rPr>
      </w:pPr>
      <w:bookmarkStart w:id="15" w:name="TAKZIV23"/>
      <w:bookmarkEnd w:id="15"/>
    </w:p>
    <w:p w14:paraId="5191E4ED" w14:textId="77777777" w:rsidR="0051496B" w:rsidRPr="000A3FA0" w:rsidRDefault="0051496B">
      <w:pPr>
        <w:rPr>
          <w:rFonts w:cs="FrankRuehl"/>
          <w:sz w:val="26"/>
          <w:szCs w:val="26"/>
          <w:rtl/>
        </w:rPr>
      </w:pPr>
    </w:p>
    <w:p w14:paraId="6508493D" w14:textId="15409D53" w:rsidR="0051496B" w:rsidRDefault="0051496B">
      <w:pPr>
        <w:rPr>
          <w:rFonts w:cs="FrankRuehl"/>
          <w:sz w:val="26"/>
          <w:szCs w:val="26"/>
          <w:rtl/>
        </w:rPr>
      </w:pPr>
      <w:bookmarkStart w:id="16" w:name="TAKZIV25"/>
      <w:bookmarkEnd w:id="16"/>
    </w:p>
    <w:p w14:paraId="6AE0420E" w14:textId="3853092C" w:rsidR="00593D86" w:rsidRDefault="00593D86">
      <w:pPr>
        <w:rPr>
          <w:rFonts w:cs="FrankRuehl"/>
          <w:sz w:val="26"/>
          <w:szCs w:val="26"/>
          <w:rtl/>
        </w:rPr>
      </w:pPr>
    </w:p>
    <w:p w14:paraId="6493C103" w14:textId="13607CBD" w:rsidR="00593D86" w:rsidRDefault="00593D86">
      <w:pPr>
        <w:rPr>
          <w:rFonts w:cs="FrankRuehl"/>
          <w:sz w:val="26"/>
          <w:szCs w:val="26"/>
          <w:rtl/>
        </w:rPr>
      </w:pPr>
    </w:p>
    <w:p w14:paraId="779E20AB" w14:textId="0858414D" w:rsidR="00593D86" w:rsidRDefault="00593D86">
      <w:pPr>
        <w:rPr>
          <w:rFonts w:cs="FrankRuehl"/>
          <w:sz w:val="26"/>
          <w:szCs w:val="26"/>
          <w:rtl/>
        </w:rPr>
      </w:pPr>
    </w:p>
    <w:p w14:paraId="3CCDE025" w14:textId="411CB59F" w:rsidR="00593D86" w:rsidRDefault="00593D86">
      <w:pPr>
        <w:rPr>
          <w:rFonts w:cs="FrankRuehl"/>
          <w:sz w:val="26"/>
          <w:szCs w:val="26"/>
          <w:rtl/>
        </w:rPr>
      </w:pPr>
    </w:p>
    <w:p w14:paraId="057067DC" w14:textId="444D2742" w:rsidR="00593D86" w:rsidRDefault="00593D86">
      <w:pPr>
        <w:rPr>
          <w:rFonts w:cs="FrankRuehl"/>
          <w:sz w:val="26"/>
          <w:szCs w:val="26"/>
          <w:rtl/>
        </w:rPr>
      </w:pPr>
    </w:p>
    <w:p w14:paraId="5EE7DBA0" w14:textId="7FE1825B" w:rsidR="00593D86" w:rsidRDefault="00593D86">
      <w:pPr>
        <w:rPr>
          <w:rFonts w:cs="FrankRuehl"/>
          <w:sz w:val="26"/>
          <w:szCs w:val="26"/>
          <w:rtl/>
        </w:rPr>
      </w:pPr>
    </w:p>
    <w:p w14:paraId="0952D938" w14:textId="4A63EC12" w:rsidR="00593D86" w:rsidRDefault="00593D86">
      <w:pPr>
        <w:rPr>
          <w:rFonts w:cs="FrankRuehl"/>
          <w:sz w:val="26"/>
          <w:szCs w:val="26"/>
          <w:rtl/>
        </w:rPr>
      </w:pPr>
    </w:p>
    <w:p w14:paraId="76644740" w14:textId="000E64DB" w:rsidR="00593D86" w:rsidRDefault="00593D86">
      <w:pPr>
        <w:rPr>
          <w:rFonts w:cs="FrankRuehl"/>
          <w:sz w:val="26"/>
          <w:szCs w:val="26"/>
          <w:rtl/>
        </w:rPr>
      </w:pPr>
    </w:p>
    <w:p w14:paraId="433FC9C0" w14:textId="012B9A54" w:rsidR="00593D86" w:rsidRDefault="00593D86">
      <w:pPr>
        <w:rPr>
          <w:rFonts w:cs="FrankRuehl"/>
          <w:sz w:val="26"/>
          <w:szCs w:val="26"/>
          <w:rtl/>
        </w:rPr>
      </w:pPr>
    </w:p>
    <w:p w14:paraId="00CC45E3" w14:textId="37A1BFE0" w:rsidR="00593D86" w:rsidRDefault="00593D86">
      <w:pPr>
        <w:rPr>
          <w:rFonts w:cs="FrankRuehl"/>
          <w:sz w:val="26"/>
          <w:szCs w:val="26"/>
          <w:rtl/>
        </w:rPr>
      </w:pPr>
    </w:p>
    <w:p w14:paraId="534AD25F" w14:textId="78755782" w:rsidR="00593D86" w:rsidRDefault="00593D86">
      <w:pPr>
        <w:rPr>
          <w:rFonts w:cs="FrankRuehl"/>
          <w:sz w:val="26"/>
          <w:szCs w:val="26"/>
          <w:rtl/>
        </w:rPr>
      </w:pPr>
    </w:p>
    <w:p w14:paraId="48AAFDA1" w14:textId="62D0D670" w:rsidR="00593D86" w:rsidRDefault="00593D86">
      <w:pPr>
        <w:rPr>
          <w:rFonts w:cs="FrankRuehl"/>
          <w:sz w:val="26"/>
          <w:szCs w:val="26"/>
          <w:rtl/>
        </w:rPr>
      </w:pPr>
    </w:p>
    <w:p w14:paraId="00BF7570" w14:textId="4C08E8A2" w:rsidR="00593D86" w:rsidRDefault="00593D86">
      <w:pPr>
        <w:rPr>
          <w:rFonts w:cs="FrankRuehl"/>
          <w:sz w:val="26"/>
          <w:szCs w:val="26"/>
          <w:rtl/>
        </w:rPr>
      </w:pPr>
    </w:p>
    <w:p w14:paraId="0CD1695F" w14:textId="58C40A46" w:rsidR="00593D86" w:rsidRDefault="00593D86">
      <w:pPr>
        <w:rPr>
          <w:rFonts w:cs="FrankRuehl"/>
          <w:sz w:val="26"/>
          <w:szCs w:val="26"/>
          <w:rtl/>
        </w:rPr>
      </w:pPr>
    </w:p>
    <w:p w14:paraId="73CAF213" w14:textId="4BB5AA27" w:rsidR="00593D86" w:rsidRDefault="00593D86">
      <w:pPr>
        <w:rPr>
          <w:rFonts w:cs="FrankRuehl"/>
          <w:sz w:val="26"/>
          <w:szCs w:val="26"/>
          <w:rtl/>
        </w:rPr>
      </w:pPr>
    </w:p>
    <w:p w14:paraId="134D7FB3" w14:textId="1F28AE3A" w:rsidR="00593D86" w:rsidRDefault="00593D86">
      <w:pPr>
        <w:rPr>
          <w:rFonts w:cs="FrankRuehl"/>
          <w:sz w:val="26"/>
          <w:szCs w:val="26"/>
          <w:rtl/>
        </w:rPr>
      </w:pPr>
    </w:p>
    <w:p w14:paraId="76B0A362" w14:textId="7178EF45" w:rsidR="00593D86" w:rsidRDefault="00593D86">
      <w:pPr>
        <w:rPr>
          <w:rFonts w:cs="FrankRuehl"/>
          <w:sz w:val="26"/>
          <w:szCs w:val="26"/>
          <w:rtl/>
        </w:rPr>
      </w:pPr>
    </w:p>
    <w:p w14:paraId="47800FE5" w14:textId="16EE9857" w:rsidR="00593D86" w:rsidRDefault="00593D86">
      <w:pPr>
        <w:rPr>
          <w:rFonts w:cs="FrankRuehl"/>
          <w:sz w:val="26"/>
          <w:szCs w:val="26"/>
          <w:rtl/>
        </w:rPr>
      </w:pPr>
    </w:p>
    <w:p w14:paraId="5A56F468" w14:textId="54EB1977" w:rsidR="00593D86" w:rsidRDefault="00593D86">
      <w:pPr>
        <w:rPr>
          <w:rFonts w:cs="FrankRuehl"/>
          <w:sz w:val="26"/>
          <w:szCs w:val="26"/>
          <w:rtl/>
        </w:rPr>
      </w:pPr>
    </w:p>
    <w:p w14:paraId="5A3CC258" w14:textId="67F89B2F" w:rsidR="00593D86" w:rsidRDefault="00593D86">
      <w:pPr>
        <w:rPr>
          <w:rFonts w:cs="FrankRuehl"/>
          <w:sz w:val="26"/>
          <w:szCs w:val="26"/>
          <w:rtl/>
        </w:rPr>
      </w:pPr>
    </w:p>
    <w:p w14:paraId="47664585" w14:textId="3985EB4A" w:rsidR="00593D86" w:rsidRDefault="00593D86">
      <w:pPr>
        <w:rPr>
          <w:rFonts w:cs="FrankRuehl"/>
          <w:sz w:val="26"/>
          <w:szCs w:val="26"/>
          <w:rtl/>
        </w:rPr>
      </w:pPr>
    </w:p>
    <w:p w14:paraId="61A045E8" w14:textId="5CA6AED2" w:rsidR="00593D86" w:rsidRDefault="00593D86">
      <w:pPr>
        <w:rPr>
          <w:rFonts w:cs="FrankRuehl"/>
          <w:sz w:val="26"/>
          <w:szCs w:val="26"/>
          <w:rtl/>
        </w:rPr>
      </w:pPr>
    </w:p>
    <w:p w14:paraId="018D8A74" w14:textId="2E0547A7" w:rsidR="00593D86" w:rsidRDefault="00593D86">
      <w:pPr>
        <w:rPr>
          <w:rFonts w:cs="FrankRuehl"/>
          <w:sz w:val="26"/>
          <w:szCs w:val="26"/>
          <w:rtl/>
        </w:rPr>
      </w:pPr>
    </w:p>
    <w:p w14:paraId="1B9A9E66" w14:textId="15BB6E09" w:rsidR="00593D86" w:rsidRDefault="00593D86">
      <w:pPr>
        <w:rPr>
          <w:rFonts w:cs="FrankRuehl"/>
          <w:sz w:val="26"/>
          <w:szCs w:val="26"/>
          <w:rtl/>
        </w:rPr>
      </w:pPr>
    </w:p>
    <w:p w14:paraId="5279093A" w14:textId="0863CFE0" w:rsidR="00593D86" w:rsidRDefault="00593D86">
      <w:pPr>
        <w:rPr>
          <w:rFonts w:cs="FrankRuehl"/>
          <w:sz w:val="26"/>
          <w:szCs w:val="26"/>
          <w:rtl/>
        </w:rPr>
      </w:pPr>
    </w:p>
    <w:p w14:paraId="782A7F6A" w14:textId="11670ACF" w:rsidR="00593D86" w:rsidRDefault="00593D86">
      <w:pPr>
        <w:rPr>
          <w:rFonts w:cs="FrankRuehl"/>
          <w:sz w:val="26"/>
          <w:szCs w:val="26"/>
          <w:rtl/>
        </w:rPr>
      </w:pPr>
    </w:p>
    <w:p w14:paraId="5C7E3586" w14:textId="77777777" w:rsidR="00593D86" w:rsidRDefault="00593D86" w:rsidP="00593D86">
      <w:pPr>
        <w:jc w:val="center"/>
        <w:rPr>
          <w:rFonts w:cs="FrankRuehl"/>
          <w:b/>
          <w:bCs/>
          <w:sz w:val="26"/>
          <w:szCs w:val="26"/>
          <w:u w:val="single"/>
          <w:rtl/>
        </w:rPr>
      </w:pPr>
      <w:r w:rsidRPr="002E36C4">
        <w:rPr>
          <w:rFonts w:cs="FrankRuehl" w:hint="cs"/>
          <w:b/>
          <w:bCs/>
          <w:sz w:val="26"/>
          <w:szCs w:val="26"/>
          <w:u w:val="single"/>
          <w:rtl/>
        </w:rPr>
        <w:lastRenderedPageBreak/>
        <w:t>נספח לדברי ההסבר</w:t>
      </w:r>
    </w:p>
    <w:p w14:paraId="70D83DC1" w14:textId="77777777" w:rsidR="00593D86" w:rsidRPr="002E36C4" w:rsidRDefault="00593D86" w:rsidP="00593D86">
      <w:pPr>
        <w:jc w:val="center"/>
        <w:rPr>
          <w:rFonts w:cs="FrankRuehl"/>
          <w:b/>
          <w:bCs/>
          <w:sz w:val="26"/>
          <w:szCs w:val="26"/>
          <w:u w:val="single"/>
          <w:rtl/>
        </w:rPr>
      </w:pPr>
    </w:p>
    <w:p w14:paraId="32C5FA6B" w14:textId="77777777" w:rsidR="00593D86" w:rsidRDefault="00593D86" w:rsidP="00593D86">
      <w:pPr>
        <w:jc w:val="center"/>
        <w:rPr>
          <w:rFonts w:cs="FrankRuehl"/>
          <w:b/>
          <w:bCs/>
          <w:sz w:val="26"/>
          <w:szCs w:val="26"/>
          <w:rtl/>
        </w:rPr>
      </w:pPr>
      <w:r w:rsidRPr="002E36C4">
        <w:rPr>
          <w:rFonts w:cs="FrankRuehl"/>
          <w:b/>
          <w:bCs/>
          <w:sz w:val="26"/>
          <w:szCs w:val="26"/>
          <w:rtl/>
        </w:rPr>
        <w:t>היסטוריה תקציבית של הפנייה</w:t>
      </w:r>
    </w:p>
    <w:p w14:paraId="39166012" w14:textId="6ACFCC04" w:rsidR="00593D86" w:rsidRDefault="00593D86">
      <w:pPr>
        <w:rPr>
          <w:rFonts w:cs="FrankRuehl"/>
          <w:sz w:val="26"/>
          <w:szCs w:val="26"/>
          <w:rtl/>
        </w:rPr>
      </w:pPr>
    </w:p>
    <w:tbl>
      <w:tblPr>
        <w:bidiVisual/>
        <w:tblW w:w="5000" w:type="pct"/>
        <w:tblLook w:val="04A0" w:firstRow="1" w:lastRow="0" w:firstColumn="1" w:lastColumn="0" w:noHBand="0" w:noVBand="1"/>
      </w:tblPr>
      <w:tblGrid>
        <w:gridCol w:w="1650"/>
        <w:gridCol w:w="1894"/>
        <w:gridCol w:w="1650"/>
        <w:gridCol w:w="1650"/>
        <w:gridCol w:w="1679"/>
      </w:tblGrid>
      <w:tr w:rsidR="00593D86" w:rsidRPr="00D23580" w14:paraId="38210C5F" w14:textId="77777777" w:rsidTr="00593D86">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026735F7" w14:textId="77777777" w:rsidR="00593D86" w:rsidRPr="00D23580" w:rsidRDefault="00593D86" w:rsidP="00B23808">
            <w:pPr>
              <w:jc w:val="center"/>
              <w:rPr>
                <w:rFonts w:ascii="Calibri" w:hAnsi="Calibri" w:cs="Calibri"/>
                <w:b/>
                <w:bCs/>
                <w:color w:val="000000"/>
                <w:sz w:val="16"/>
                <w:szCs w:val="16"/>
              </w:rPr>
            </w:pPr>
            <w:r w:rsidRPr="00D23580">
              <w:rPr>
                <w:rFonts w:ascii="Calibri" w:hAnsi="Calibri" w:cs="Calibri"/>
                <w:b/>
                <w:bCs/>
                <w:color w:val="000000"/>
                <w:sz w:val="16"/>
                <w:szCs w:val="16"/>
                <w:rtl/>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4C8DE5C6" w14:textId="77777777" w:rsidR="00593D86" w:rsidRPr="00D23580" w:rsidRDefault="00593D86" w:rsidP="00B23808">
            <w:pPr>
              <w:jc w:val="center"/>
              <w:rPr>
                <w:rFonts w:ascii="Calibri" w:hAnsi="Calibri" w:cs="Calibri"/>
                <w:b/>
                <w:bCs/>
                <w:color w:val="000000"/>
                <w:sz w:val="16"/>
                <w:szCs w:val="16"/>
                <w:rtl/>
              </w:rPr>
            </w:pPr>
            <w:r w:rsidRPr="00D23580">
              <w:rPr>
                <w:rFonts w:ascii="Calibri" w:hAnsi="Calibri" w:cs="Calibri"/>
                <w:b/>
                <w:bCs/>
                <w:color w:val="000000"/>
                <w:sz w:val="16"/>
                <w:szCs w:val="16"/>
                <w:rtl/>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AB4BABD" w14:textId="77777777" w:rsidR="00593D86" w:rsidRPr="00D23580" w:rsidRDefault="00593D86" w:rsidP="00B23808">
            <w:pPr>
              <w:jc w:val="center"/>
              <w:rPr>
                <w:rFonts w:ascii="Calibri" w:hAnsi="Calibri" w:cs="Calibri"/>
                <w:b/>
                <w:bCs/>
                <w:color w:val="000000"/>
                <w:sz w:val="16"/>
                <w:szCs w:val="16"/>
                <w:rtl/>
              </w:rPr>
            </w:pPr>
            <w:r w:rsidRPr="00D23580">
              <w:rPr>
                <w:rFonts w:ascii="Calibri" w:hAnsi="Calibri" w:cs="Calibri"/>
                <w:b/>
                <w:bCs/>
                <w:color w:val="000000"/>
                <w:sz w:val="16"/>
                <w:szCs w:val="16"/>
                <w:rtl/>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26CE564" w14:textId="77777777" w:rsidR="00593D86" w:rsidRPr="00D23580" w:rsidRDefault="00593D86" w:rsidP="00B23808">
            <w:pPr>
              <w:jc w:val="center"/>
              <w:rPr>
                <w:rFonts w:ascii="Calibri" w:hAnsi="Calibri" w:cs="Calibri"/>
                <w:b/>
                <w:bCs/>
                <w:color w:val="000000"/>
                <w:sz w:val="16"/>
                <w:szCs w:val="16"/>
                <w:rtl/>
              </w:rPr>
            </w:pPr>
            <w:r w:rsidRPr="00D23580">
              <w:rPr>
                <w:rFonts w:ascii="Calibri" w:hAnsi="Calibri" w:cs="Calibri"/>
                <w:b/>
                <w:bCs/>
                <w:color w:val="000000"/>
                <w:sz w:val="16"/>
                <w:szCs w:val="16"/>
                <w:rtl/>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26A8E334" w14:textId="77777777" w:rsidR="00593D86" w:rsidRPr="00D23580" w:rsidRDefault="00593D86" w:rsidP="00B23808">
            <w:pPr>
              <w:jc w:val="center"/>
              <w:rPr>
                <w:rFonts w:ascii="Calibri" w:hAnsi="Calibri" w:cs="Calibri"/>
                <w:b/>
                <w:bCs/>
                <w:color w:val="000000"/>
                <w:sz w:val="16"/>
                <w:szCs w:val="16"/>
                <w:rtl/>
              </w:rPr>
            </w:pPr>
            <w:r w:rsidRPr="00D23580">
              <w:rPr>
                <w:rFonts w:ascii="Calibri" w:hAnsi="Calibri" w:cs="Calibri"/>
                <w:b/>
                <w:bCs/>
                <w:color w:val="000000"/>
                <w:sz w:val="16"/>
                <w:szCs w:val="16"/>
                <w:rtl/>
              </w:rPr>
              <w:t>סך עודף שהועבר ב-2023</w:t>
            </w:r>
          </w:p>
        </w:tc>
      </w:tr>
      <w:tr w:rsidR="00593D86" w:rsidRPr="00D23580" w14:paraId="3CC20A1F" w14:textId="77777777" w:rsidTr="00593D86">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6E4781E" w14:textId="77777777" w:rsidR="00593D86" w:rsidRPr="00D23580" w:rsidRDefault="00593D86" w:rsidP="00B23808">
            <w:pPr>
              <w:bidi w:val="0"/>
              <w:jc w:val="center"/>
              <w:rPr>
                <w:rFonts w:ascii="Calibri" w:hAnsi="Calibri" w:cs="Calibri"/>
                <w:color w:val="000000"/>
                <w:sz w:val="16"/>
                <w:szCs w:val="16"/>
                <w:rtl/>
              </w:rPr>
            </w:pPr>
            <w:r w:rsidRPr="00D23580">
              <w:rPr>
                <w:rFonts w:ascii="Calibri" w:hAnsi="Calibri" w:cs="Calibri"/>
                <w:color w:val="000000"/>
                <w:sz w:val="16"/>
                <w:szCs w:val="16"/>
              </w:rPr>
              <w:t>701001</w:t>
            </w:r>
          </w:p>
        </w:tc>
        <w:tc>
          <w:tcPr>
            <w:tcW w:w="1111" w:type="pct"/>
            <w:tcBorders>
              <w:top w:val="nil"/>
              <w:left w:val="single" w:sz="4" w:space="0" w:color="979991"/>
              <w:bottom w:val="single" w:sz="4" w:space="0" w:color="979991"/>
              <w:right w:val="nil"/>
            </w:tcBorders>
            <w:shd w:val="clear" w:color="000000" w:fill="FFFFFF"/>
            <w:vAlign w:val="center"/>
            <w:hideMark/>
          </w:tcPr>
          <w:p w14:paraId="65E10E68"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5,915,354</w:t>
            </w:r>
          </w:p>
        </w:tc>
        <w:tc>
          <w:tcPr>
            <w:tcW w:w="968" w:type="pct"/>
            <w:tcBorders>
              <w:top w:val="nil"/>
              <w:left w:val="single" w:sz="4" w:space="0" w:color="979991"/>
              <w:bottom w:val="single" w:sz="4" w:space="0" w:color="979991"/>
              <w:right w:val="nil"/>
            </w:tcBorders>
            <w:shd w:val="clear" w:color="000000" w:fill="FFFFFF"/>
            <w:vAlign w:val="center"/>
            <w:hideMark/>
          </w:tcPr>
          <w:p w14:paraId="05F2A11F"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6,504,803</w:t>
            </w:r>
          </w:p>
        </w:tc>
        <w:tc>
          <w:tcPr>
            <w:tcW w:w="968" w:type="pct"/>
            <w:tcBorders>
              <w:top w:val="nil"/>
              <w:left w:val="single" w:sz="4" w:space="0" w:color="979991"/>
              <w:bottom w:val="single" w:sz="4" w:space="0" w:color="979991"/>
              <w:right w:val="nil"/>
            </w:tcBorders>
            <w:shd w:val="clear" w:color="000000" w:fill="FFFFFF"/>
            <w:vAlign w:val="center"/>
            <w:hideMark/>
          </w:tcPr>
          <w:p w14:paraId="481BE6F9"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5,215,652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178A796"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5,877,447</w:t>
            </w:r>
          </w:p>
        </w:tc>
      </w:tr>
      <w:tr w:rsidR="00593D86" w:rsidRPr="00D23580" w14:paraId="16546AFE" w14:textId="77777777" w:rsidTr="00593D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B0B1F00"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703002</w:t>
            </w:r>
          </w:p>
        </w:tc>
        <w:tc>
          <w:tcPr>
            <w:tcW w:w="1111" w:type="pct"/>
            <w:tcBorders>
              <w:top w:val="nil"/>
              <w:left w:val="single" w:sz="4" w:space="0" w:color="979991"/>
              <w:bottom w:val="single" w:sz="4" w:space="0" w:color="979991"/>
              <w:right w:val="nil"/>
            </w:tcBorders>
            <w:shd w:val="clear" w:color="000000" w:fill="FFFFFF"/>
            <w:vAlign w:val="center"/>
            <w:hideMark/>
          </w:tcPr>
          <w:p w14:paraId="74B137BC"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11,511</w:t>
            </w:r>
          </w:p>
        </w:tc>
        <w:tc>
          <w:tcPr>
            <w:tcW w:w="968" w:type="pct"/>
            <w:tcBorders>
              <w:top w:val="nil"/>
              <w:left w:val="single" w:sz="4" w:space="0" w:color="979991"/>
              <w:bottom w:val="single" w:sz="4" w:space="0" w:color="979991"/>
              <w:right w:val="nil"/>
            </w:tcBorders>
            <w:shd w:val="clear" w:color="000000" w:fill="FFFFFF"/>
            <w:vAlign w:val="center"/>
            <w:hideMark/>
          </w:tcPr>
          <w:p w14:paraId="4DB42780"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10,165</w:t>
            </w:r>
          </w:p>
        </w:tc>
        <w:tc>
          <w:tcPr>
            <w:tcW w:w="968" w:type="pct"/>
            <w:tcBorders>
              <w:top w:val="nil"/>
              <w:left w:val="single" w:sz="4" w:space="0" w:color="979991"/>
              <w:bottom w:val="single" w:sz="4" w:space="0" w:color="979991"/>
              <w:right w:val="nil"/>
            </w:tcBorders>
            <w:shd w:val="clear" w:color="000000" w:fill="FFFFFF"/>
            <w:vAlign w:val="center"/>
            <w:hideMark/>
          </w:tcPr>
          <w:p w14:paraId="135C2B40"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64,284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1F3F03E"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73,977</w:t>
            </w:r>
          </w:p>
        </w:tc>
      </w:tr>
      <w:tr w:rsidR="00593D86" w:rsidRPr="00D23580" w14:paraId="5DF637A0" w14:textId="77777777" w:rsidTr="00593D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F995E67"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703003</w:t>
            </w:r>
          </w:p>
        </w:tc>
        <w:tc>
          <w:tcPr>
            <w:tcW w:w="1111" w:type="pct"/>
            <w:tcBorders>
              <w:top w:val="nil"/>
              <w:left w:val="single" w:sz="4" w:space="0" w:color="979991"/>
              <w:bottom w:val="single" w:sz="4" w:space="0" w:color="979991"/>
              <w:right w:val="nil"/>
            </w:tcBorders>
            <w:shd w:val="clear" w:color="000000" w:fill="FFFFFF"/>
            <w:vAlign w:val="center"/>
            <w:hideMark/>
          </w:tcPr>
          <w:p w14:paraId="79C75DDF"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240,490</w:t>
            </w:r>
          </w:p>
        </w:tc>
        <w:tc>
          <w:tcPr>
            <w:tcW w:w="968" w:type="pct"/>
            <w:tcBorders>
              <w:top w:val="nil"/>
              <w:left w:val="single" w:sz="4" w:space="0" w:color="979991"/>
              <w:bottom w:val="single" w:sz="4" w:space="0" w:color="979991"/>
              <w:right w:val="nil"/>
            </w:tcBorders>
            <w:shd w:val="clear" w:color="000000" w:fill="FFFFFF"/>
            <w:vAlign w:val="center"/>
            <w:hideMark/>
          </w:tcPr>
          <w:p w14:paraId="706926A6"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553,759</w:t>
            </w:r>
          </w:p>
        </w:tc>
        <w:tc>
          <w:tcPr>
            <w:tcW w:w="968" w:type="pct"/>
            <w:tcBorders>
              <w:top w:val="nil"/>
              <w:left w:val="single" w:sz="4" w:space="0" w:color="979991"/>
              <w:bottom w:val="single" w:sz="4" w:space="0" w:color="979991"/>
              <w:right w:val="nil"/>
            </w:tcBorders>
            <w:shd w:val="clear" w:color="000000" w:fill="FFFFFF"/>
            <w:vAlign w:val="center"/>
            <w:hideMark/>
          </w:tcPr>
          <w:p w14:paraId="0CFCAB37"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935,742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44108AA" w14:textId="77777777" w:rsidR="00593D86" w:rsidRPr="00D23580" w:rsidRDefault="00593D86" w:rsidP="00B23808">
            <w:pPr>
              <w:bidi w:val="0"/>
              <w:jc w:val="center"/>
              <w:rPr>
                <w:rFonts w:ascii="Calibri" w:hAnsi="Calibri" w:cs="Calibri"/>
                <w:color w:val="000000"/>
                <w:sz w:val="16"/>
                <w:szCs w:val="16"/>
              </w:rPr>
            </w:pPr>
            <w:r w:rsidRPr="00D23580">
              <w:rPr>
                <w:rFonts w:ascii="Calibri" w:hAnsi="Calibri" w:cs="Calibri"/>
                <w:color w:val="000000"/>
                <w:sz w:val="16"/>
                <w:szCs w:val="16"/>
              </w:rPr>
              <w:t>1,253,789</w:t>
            </w:r>
          </w:p>
        </w:tc>
      </w:tr>
    </w:tbl>
    <w:p w14:paraId="40D2A0FA" w14:textId="77777777" w:rsidR="00593D86" w:rsidRDefault="00593D86">
      <w:pPr>
        <w:rPr>
          <w:rFonts w:cs="FrankRuehl"/>
          <w:sz w:val="26"/>
          <w:szCs w:val="26"/>
          <w:rtl/>
        </w:rPr>
      </w:pPr>
    </w:p>
    <w:p w14:paraId="35343FD6" w14:textId="3081B794" w:rsidR="00593D86" w:rsidRDefault="00593D86">
      <w:pPr>
        <w:rPr>
          <w:rFonts w:cs="FrankRuehl"/>
          <w:sz w:val="26"/>
          <w:szCs w:val="26"/>
          <w:rtl/>
        </w:rPr>
      </w:pPr>
    </w:p>
    <w:p w14:paraId="7B6C8380" w14:textId="0CFDC46F" w:rsidR="00593D86" w:rsidRDefault="00593D86">
      <w:pPr>
        <w:rPr>
          <w:rFonts w:cs="FrankRuehl"/>
          <w:sz w:val="26"/>
          <w:szCs w:val="26"/>
          <w:rtl/>
        </w:rPr>
      </w:pPr>
    </w:p>
    <w:p w14:paraId="7E657E68" w14:textId="16AF62CE" w:rsidR="00593D86" w:rsidRDefault="00593D86">
      <w:pPr>
        <w:rPr>
          <w:rFonts w:cs="FrankRuehl"/>
          <w:sz w:val="26"/>
          <w:szCs w:val="26"/>
          <w:rtl/>
        </w:rPr>
      </w:pPr>
    </w:p>
    <w:p w14:paraId="616E3899" w14:textId="77777777" w:rsidR="00593D86" w:rsidRPr="000A3FA0" w:rsidRDefault="00593D86">
      <w:pPr>
        <w:rPr>
          <w:rFonts w:cs="FrankRuehl"/>
          <w:sz w:val="26"/>
          <w:szCs w:val="26"/>
          <w:rtl/>
        </w:rPr>
      </w:pPr>
    </w:p>
    <w:sectPr w:rsidR="00593D86"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DC81" w14:textId="77777777" w:rsidR="002E401C" w:rsidRDefault="002E401C" w:rsidP="00A32326">
      <w:r>
        <w:separator/>
      </w:r>
    </w:p>
  </w:endnote>
  <w:endnote w:type="continuationSeparator" w:id="0">
    <w:p w14:paraId="01768CCA" w14:textId="77777777" w:rsidR="002E401C" w:rsidRDefault="002E401C"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052A6"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7CAE"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7C27A"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DF7C" w14:textId="77777777" w:rsidR="002E401C" w:rsidRDefault="002E401C" w:rsidP="00A32326">
      <w:r>
        <w:separator/>
      </w:r>
    </w:p>
  </w:footnote>
  <w:footnote w:type="continuationSeparator" w:id="0">
    <w:p w14:paraId="6C1DEC64" w14:textId="77777777" w:rsidR="002E401C" w:rsidRDefault="002E401C"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A9EB6"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B64B5" w14:textId="77777777" w:rsidR="00A32326" w:rsidRPr="00CB5FFD" w:rsidRDefault="002E401C" w:rsidP="00A32326">
    <w:pPr>
      <w:pStyle w:val="a4"/>
      <w:jc w:val="right"/>
      <w:rPr>
        <w:color w:val="4F81BD"/>
        <w:rtl/>
        <w:cs/>
      </w:rPr>
    </w:pPr>
    <w:r>
      <w:rPr>
        <w:noProof/>
        <w:rtl/>
      </w:rPr>
      <w:pict w14:anchorId="454EE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53635D67" w14:textId="77777777" w:rsidR="00A32326" w:rsidRPr="00CB5FFD" w:rsidRDefault="00A32326" w:rsidP="00A32326">
    <w:pPr>
      <w:pStyle w:val="a4"/>
      <w:jc w:val="right"/>
      <w:rPr>
        <w:color w:val="4F81BD"/>
        <w:rtl/>
        <w:cs/>
      </w:rPr>
    </w:pPr>
  </w:p>
  <w:p w14:paraId="2603169B" w14:textId="77777777" w:rsidR="00A32326" w:rsidRDefault="00A32326" w:rsidP="00A32326">
    <w:pPr>
      <w:pStyle w:val="a4"/>
    </w:pPr>
  </w:p>
  <w:p w14:paraId="5F86F825"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0385D"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1374BE"/>
    <w:rsid w:val="002E401C"/>
    <w:rsid w:val="00411078"/>
    <w:rsid w:val="00507569"/>
    <w:rsid w:val="0051496B"/>
    <w:rsid w:val="00593D86"/>
    <w:rsid w:val="00596B46"/>
    <w:rsid w:val="007332A2"/>
    <w:rsid w:val="00887FF1"/>
    <w:rsid w:val="0096594F"/>
    <w:rsid w:val="009E3253"/>
    <w:rsid w:val="00A14A9C"/>
    <w:rsid w:val="00A32326"/>
    <w:rsid w:val="00A51CFB"/>
    <w:rsid w:val="00A6761F"/>
    <w:rsid w:val="00AC0FB8"/>
    <w:rsid w:val="00BE74E8"/>
    <w:rsid w:val="00C81BEB"/>
    <w:rsid w:val="00D00A6A"/>
    <w:rsid w:val="00D02451"/>
    <w:rsid w:val="00D1564D"/>
    <w:rsid w:val="00D15DD5"/>
    <w:rsid w:val="00D45B2C"/>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B688BFC"/>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435</Words>
  <Characters>2176</Characters>
  <Application>Microsoft Office Word</Application>
  <DocSecurity>0</DocSecurity>
  <Lines>18</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5</cp:revision>
  <cp:lastPrinted>1899-12-31T22:00:00Z</cp:lastPrinted>
  <dcterms:created xsi:type="dcterms:W3CDTF">2026-04-28T12:26:00Z</dcterms:created>
  <dcterms:modified xsi:type="dcterms:W3CDTF">2026-04-29T06:38:00Z</dcterms:modified>
</cp:coreProperties>
</file>