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4E91D" w14:textId="77777777" w:rsidR="0051496B" w:rsidRDefault="0051496B">
      <w:pPr>
        <w:pStyle w:val="a7"/>
        <w:rPr>
          <w:rtl/>
        </w:rPr>
      </w:pPr>
      <w:r>
        <w:rPr>
          <w:rtl/>
        </w:rPr>
        <w:t>מדינת ישראל</w:t>
      </w:r>
    </w:p>
    <w:p w14:paraId="39DFD9B3" w14:textId="77777777" w:rsidR="0051496B" w:rsidRDefault="0051496B">
      <w:pPr>
        <w:pStyle w:val="a7"/>
        <w:rPr>
          <w:rtl/>
        </w:rPr>
      </w:pPr>
      <w:r>
        <w:rPr>
          <w:rtl/>
        </w:rPr>
        <w:t>האוצר - אגף התקציבים</w:t>
      </w:r>
    </w:p>
    <w:p w14:paraId="5BAF6B89" w14:textId="77777777" w:rsidR="0051496B" w:rsidRDefault="0051496B">
      <w:pPr>
        <w:rPr>
          <w:rtl/>
        </w:rPr>
      </w:pPr>
    </w:p>
    <w:p w14:paraId="73BD59DB" w14:textId="77777777" w:rsidR="0051496B" w:rsidRDefault="0051496B">
      <w:pPr>
        <w:rPr>
          <w:rtl/>
        </w:rPr>
      </w:pPr>
    </w:p>
    <w:p w14:paraId="422D26C3" w14:textId="77777777" w:rsidR="0051496B" w:rsidRPr="000A3FA0" w:rsidRDefault="0051496B">
      <w:pPr>
        <w:tabs>
          <w:tab w:val="left" w:pos="6300"/>
        </w:tabs>
        <w:rPr>
          <w:rFonts w:cs="FrankRuehl"/>
          <w:sz w:val="26"/>
          <w:szCs w:val="26"/>
          <w:rtl/>
        </w:rPr>
      </w:pPr>
      <w:r>
        <w:rPr>
          <w:rtl/>
        </w:rPr>
        <w:tab/>
      </w:r>
      <w:bookmarkStart w:id="0" w:name="TAKZIV8"/>
      <w:bookmarkEnd w:id="0"/>
    </w:p>
    <w:p w14:paraId="5934D896"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5B65D2D9"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6C56BF4C" w14:textId="10446CF7"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131A64">
        <w:rPr>
          <w:rFonts w:cs="FrankRuehl"/>
          <w:sz w:val="26"/>
          <w:szCs w:val="26"/>
          <w:rtl/>
        </w:rPr>
        <w:t>201</w:t>
      </w:r>
      <w:bookmarkEnd w:id="2"/>
      <w:r w:rsidRPr="000A3FA0">
        <w:rPr>
          <w:rFonts w:cs="FrankRuehl"/>
          <w:sz w:val="26"/>
          <w:szCs w:val="26"/>
          <w:rtl/>
        </w:rPr>
        <w:t xml:space="preserve"> - </w:t>
      </w:r>
      <w:bookmarkStart w:id="3" w:name="TAKZIV3"/>
      <w:r w:rsidR="00131A64">
        <w:rPr>
          <w:rFonts w:cs="FrankRuehl"/>
          <w:sz w:val="26"/>
          <w:szCs w:val="26"/>
          <w:rtl/>
        </w:rPr>
        <w:t>68</w:t>
      </w:r>
      <w:bookmarkEnd w:id="3"/>
    </w:p>
    <w:p w14:paraId="56F5B91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2BCAE2E7"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216F8432" w14:textId="77777777" w:rsidR="0051496B" w:rsidRPr="000A3FA0" w:rsidRDefault="0051496B">
      <w:pPr>
        <w:rPr>
          <w:rFonts w:cs="FrankRuehl"/>
          <w:sz w:val="26"/>
          <w:szCs w:val="26"/>
          <w:rtl/>
        </w:rPr>
      </w:pPr>
      <w:r w:rsidRPr="000A3FA0">
        <w:rPr>
          <w:rFonts w:cs="FrankRuehl"/>
          <w:sz w:val="26"/>
          <w:szCs w:val="26"/>
          <w:rtl/>
        </w:rPr>
        <w:t>לכבוד,</w:t>
      </w:r>
    </w:p>
    <w:p w14:paraId="4E2F488E" w14:textId="77777777" w:rsidR="0051496B" w:rsidRPr="000A3FA0" w:rsidRDefault="0051496B">
      <w:pPr>
        <w:rPr>
          <w:rFonts w:cs="FrankRuehl"/>
          <w:sz w:val="26"/>
          <w:szCs w:val="26"/>
          <w:rtl/>
        </w:rPr>
      </w:pPr>
      <w:r w:rsidRPr="000A3FA0">
        <w:rPr>
          <w:rFonts w:cs="FrankRuehl"/>
          <w:sz w:val="26"/>
          <w:szCs w:val="26"/>
          <w:rtl/>
        </w:rPr>
        <w:t>יו"ר ועדת הכספים</w:t>
      </w:r>
    </w:p>
    <w:p w14:paraId="06FF59FD" w14:textId="77777777" w:rsidR="0051496B" w:rsidRPr="000A3FA0" w:rsidRDefault="0051496B">
      <w:pPr>
        <w:rPr>
          <w:rFonts w:cs="FrankRuehl"/>
          <w:sz w:val="26"/>
          <w:szCs w:val="26"/>
          <w:rtl/>
        </w:rPr>
      </w:pPr>
      <w:r w:rsidRPr="000A3FA0">
        <w:rPr>
          <w:rFonts w:cs="FrankRuehl"/>
          <w:sz w:val="26"/>
          <w:szCs w:val="26"/>
          <w:rtl/>
        </w:rPr>
        <w:t>הכנסת</w:t>
      </w:r>
    </w:p>
    <w:p w14:paraId="0D2BEFB1" w14:textId="77777777" w:rsidR="0051496B" w:rsidRPr="000A3FA0" w:rsidRDefault="0051496B">
      <w:pPr>
        <w:rPr>
          <w:rFonts w:cs="FrankRuehl"/>
          <w:sz w:val="26"/>
          <w:szCs w:val="26"/>
          <w:rtl/>
        </w:rPr>
      </w:pPr>
    </w:p>
    <w:p w14:paraId="6997164A" w14:textId="77777777" w:rsidR="0051496B" w:rsidRPr="000A3FA0" w:rsidRDefault="0051496B">
      <w:pPr>
        <w:rPr>
          <w:rFonts w:cs="FrankRuehl"/>
          <w:sz w:val="26"/>
          <w:szCs w:val="26"/>
          <w:rtl/>
        </w:rPr>
      </w:pPr>
      <w:r w:rsidRPr="000A3FA0">
        <w:rPr>
          <w:rFonts w:cs="FrankRuehl"/>
          <w:sz w:val="26"/>
          <w:szCs w:val="26"/>
          <w:rtl/>
        </w:rPr>
        <w:t>א.נ.,</w:t>
      </w:r>
    </w:p>
    <w:p w14:paraId="643F0F8A" w14:textId="77777777" w:rsidR="0051496B" w:rsidRPr="000A3FA0" w:rsidRDefault="0051496B">
      <w:pPr>
        <w:rPr>
          <w:rFonts w:cs="FrankRuehl"/>
          <w:sz w:val="26"/>
          <w:szCs w:val="26"/>
          <w:rtl/>
        </w:rPr>
      </w:pPr>
    </w:p>
    <w:p w14:paraId="6244083B" w14:textId="38DA9A05"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131A64">
        <w:rPr>
          <w:rFonts w:cs="FrankRuehl"/>
          <w:sz w:val="26"/>
          <w:rtl/>
        </w:rPr>
        <w:t>2026</w:t>
      </w:r>
      <w:bookmarkEnd w:id="5"/>
      <w:r w:rsidRPr="000A3FA0">
        <w:rPr>
          <w:rFonts w:cs="FrankRuehl"/>
          <w:sz w:val="26"/>
          <w:rtl/>
        </w:rPr>
        <w:t xml:space="preserve">     </w:t>
      </w:r>
    </w:p>
    <w:p w14:paraId="66FCBD3C" w14:textId="77777777" w:rsidR="0051496B" w:rsidRPr="000A3FA0" w:rsidRDefault="0051496B" w:rsidP="00A6761F">
      <w:pPr>
        <w:jc w:val="both"/>
        <w:rPr>
          <w:rFonts w:cs="FrankRuehl"/>
          <w:sz w:val="26"/>
          <w:szCs w:val="26"/>
          <w:rtl/>
        </w:rPr>
      </w:pPr>
    </w:p>
    <w:p w14:paraId="2C921E5B" w14:textId="2BFB78DB" w:rsidR="0051496B" w:rsidRDefault="0051496B" w:rsidP="003D49F5">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131A64">
        <w:rPr>
          <w:rFonts w:cs="FrankRuehl"/>
          <w:sz w:val="26"/>
          <w:szCs w:val="26"/>
          <w:rtl/>
        </w:rPr>
        <w:t>203,338</w:t>
      </w:r>
      <w:bookmarkEnd w:id="6"/>
      <w:r w:rsidRPr="000A3FA0">
        <w:rPr>
          <w:rFonts w:cs="FrankRuehl"/>
          <w:sz w:val="26"/>
          <w:szCs w:val="26"/>
          <w:rtl/>
        </w:rPr>
        <w:t xml:space="preserve"> אלפי שקלים חדשים מסעיף </w:t>
      </w:r>
      <w:bookmarkStart w:id="7" w:name="TAKZIV3_1"/>
      <w:r w:rsidR="00131A64">
        <w:rPr>
          <w:rFonts w:cs="FrankRuehl"/>
          <w:sz w:val="26"/>
          <w:szCs w:val="26"/>
          <w:rtl/>
        </w:rPr>
        <w:t>68</w:t>
      </w:r>
      <w:bookmarkEnd w:id="7"/>
      <w:r w:rsidRPr="000A3FA0">
        <w:rPr>
          <w:rFonts w:cs="FrankRuehl"/>
          <w:sz w:val="26"/>
          <w:szCs w:val="26"/>
          <w:rtl/>
        </w:rPr>
        <w:t xml:space="preserve"> - </w:t>
      </w:r>
      <w:bookmarkStart w:id="8" w:name="TAKZIV6_2"/>
      <w:r w:rsidR="00131A64">
        <w:rPr>
          <w:rFonts w:cs="FrankRuehl"/>
          <w:sz w:val="26"/>
          <w:szCs w:val="26"/>
          <w:rtl/>
        </w:rPr>
        <w:t>רשות האוכלוסין</w:t>
      </w:r>
      <w:bookmarkEnd w:id="8"/>
      <w:r w:rsidRPr="000A3FA0">
        <w:rPr>
          <w:rFonts w:cs="FrankRuehl"/>
          <w:sz w:val="26"/>
          <w:szCs w:val="26"/>
          <w:rtl/>
        </w:rPr>
        <w:t xml:space="preserve"> משנת הכספים </w:t>
      </w:r>
      <w:bookmarkStart w:id="9" w:name="TAKZIV2_1"/>
      <w:r w:rsidR="00131A64">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131A64">
        <w:rPr>
          <w:rFonts w:cs="FrankRuehl"/>
          <w:sz w:val="26"/>
          <w:szCs w:val="26"/>
          <w:rtl/>
        </w:rPr>
        <w:t>2026</w:t>
      </w:r>
      <w:bookmarkEnd w:id="10"/>
      <w:r w:rsidRPr="000A3FA0">
        <w:rPr>
          <w:rFonts w:cs="FrankRuehl"/>
          <w:sz w:val="26"/>
          <w:szCs w:val="26"/>
          <w:rtl/>
        </w:rPr>
        <w:t>, בהתאם לסעיף 13 (א) לחוק יסודות התקציב התשמ"ה - 1985,</w:t>
      </w:r>
      <w:r w:rsidR="003D49F5">
        <w:rPr>
          <w:rFonts w:cs="FrankRuehl" w:hint="cs"/>
          <w:sz w:val="26"/>
          <w:szCs w:val="26"/>
          <w:rtl/>
        </w:rPr>
        <w:t xml:space="preserve"> </w:t>
      </w:r>
      <w:r w:rsidRPr="000A3FA0">
        <w:rPr>
          <w:rFonts w:cs="FrankRuehl"/>
          <w:sz w:val="26"/>
          <w:szCs w:val="26"/>
          <w:rtl/>
        </w:rPr>
        <w:t>כמפורט בתדפיס המצורף בזה.</w:t>
      </w:r>
    </w:p>
    <w:p w14:paraId="289C71BF" w14:textId="14C47CA3" w:rsidR="003D49F5" w:rsidRDefault="003D49F5" w:rsidP="00A6761F">
      <w:pPr>
        <w:jc w:val="both"/>
        <w:rPr>
          <w:rFonts w:cs="FrankRuehl"/>
          <w:sz w:val="26"/>
          <w:szCs w:val="26"/>
          <w:rtl/>
        </w:rPr>
      </w:pPr>
    </w:p>
    <w:p w14:paraId="5D7B3E3B" w14:textId="77777777" w:rsidR="003D49F5" w:rsidRPr="003D49F5" w:rsidRDefault="003D49F5" w:rsidP="003D49F5">
      <w:pPr>
        <w:overflowPunct/>
        <w:spacing w:before="120" w:after="120"/>
        <w:contextualSpacing/>
        <w:jc w:val="both"/>
        <w:textAlignment w:val="auto"/>
        <w:rPr>
          <w:rFonts w:ascii="FrankRuehl" w:hAnsi="FrankRuehl" w:cs="FrankRuehl"/>
          <w:sz w:val="26"/>
          <w:szCs w:val="26"/>
          <w:lang w:eastAsia="en-US"/>
        </w:rPr>
      </w:pPr>
      <w:r w:rsidRPr="003D49F5">
        <w:rPr>
          <w:rFonts w:ascii="FrankRuehl" w:hAnsi="FrankRuehl" w:cs="FrankRuehl"/>
          <w:b/>
          <w:bCs/>
          <w:sz w:val="26"/>
          <w:szCs w:val="26"/>
          <w:rtl/>
          <w:lang w:eastAsia="en-US"/>
        </w:rPr>
        <w:t>הבקשה דנה בסעיף תקציבי</w:t>
      </w:r>
      <w:r w:rsidRPr="003D49F5">
        <w:rPr>
          <w:rFonts w:ascii="FrankRuehl" w:hAnsi="FrankRuehl" w:cs="FrankRuehl"/>
          <w:sz w:val="26"/>
          <w:szCs w:val="26"/>
          <w:rtl/>
          <w:lang w:eastAsia="en-US"/>
        </w:rPr>
        <w:t xml:space="preserve">: </w:t>
      </w:r>
      <w:r w:rsidRPr="003D49F5">
        <w:rPr>
          <w:rFonts w:ascii="FrankRuehl" w:hAnsi="FrankRuehl" w:cs="FrankRuehl"/>
          <w:b/>
          <w:bCs/>
          <w:sz w:val="26"/>
          <w:szCs w:val="26"/>
          <w:rtl/>
          <w:lang w:eastAsia="en-US"/>
        </w:rPr>
        <w:t>68 - רשות האוכלוסין וההגירה</w:t>
      </w:r>
    </w:p>
    <w:p w14:paraId="5C0F3E2A" w14:textId="77777777" w:rsidR="003D49F5" w:rsidRPr="003D49F5" w:rsidRDefault="003D49F5" w:rsidP="003D49F5">
      <w:pPr>
        <w:overflowPunct/>
        <w:spacing w:before="120" w:after="120"/>
        <w:contextualSpacing/>
        <w:jc w:val="both"/>
        <w:textAlignment w:val="auto"/>
        <w:rPr>
          <w:rFonts w:ascii="FrankRuehl" w:hAnsi="FrankRuehl" w:cs="FrankRuehl"/>
          <w:sz w:val="26"/>
          <w:szCs w:val="26"/>
          <w:rtl/>
          <w:lang w:eastAsia="en-US"/>
        </w:rPr>
      </w:pPr>
    </w:p>
    <w:p w14:paraId="4FD0BE34" w14:textId="77777777" w:rsidR="003D49F5" w:rsidRPr="003D49F5" w:rsidRDefault="003D49F5" w:rsidP="003D49F5">
      <w:pPr>
        <w:overflowPunct/>
        <w:spacing w:before="120" w:after="120"/>
        <w:contextualSpacing/>
        <w:jc w:val="both"/>
        <w:textAlignment w:val="auto"/>
        <w:rPr>
          <w:rFonts w:ascii="FrankRuehl" w:hAnsi="FrankRuehl" w:cs="FrankRuehl"/>
          <w:sz w:val="26"/>
          <w:szCs w:val="26"/>
          <w:lang w:eastAsia="en-US"/>
        </w:rPr>
      </w:pPr>
      <w:r w:rsidRPr="003D49F5">
        <w:rPr>
          <w:rFonts w:ascii="FrankRuehl" w:hAnsi="FrankRuehl" w:cs="FrankRuehl"/>
          <w:b/>
          <w:bCs/>
          <w:sz w:val="26"/>
          <w:szCs w:val="26"/>
          <w:rtl/>
          <w:lang w:eastAsia="en-US"/>
        </w:rPr>
        <w:t>עיקרי הפנייה:</w:t>
      </w:r>
      <w:r w:rsidRPr="003D49F5">
        <w:rPr>
          <w:rFonts w:ascii="FrankRuehl" w:hAnsi="FrankRuehl" w:cs="FrankRuehl"/>
          <w:sz w:val="26"/>
          <w:szCs w:val="26"/>
          <w:rtl/>
          <w:lang w:eastAsia="en-US"/>
        </w:rPr>
        <w:t xml:space="preserve"> </w:t>
      </w:r>
    </w:p>
    <w:p w14:paraId="161DAEC7" w14:textId="77777777" w:rsidR="003D49F5" w:rsidRPr="003D49F5" w:rsidRDefault="003D49F5" w:rsidP="003D49F5">
      <w:pPr>
        <w:overflowPunct/>
        <w:spacing w:before="120" w:after="120"/>
        <w:contextualSpacing/>
        <w:jc w:val="both"/>
        <w:textAlignment w:val="auto"/>
        <w:rPr>
          <w:rFonts w:ascii="FrankRuehl" w:hAnsi="FrankRuehl" w:cs="FrankRuehl"/>
          <w:sz w:val="26"/>
          <w:szCs w:val="26"/>
          <w:lang w:eastAsia="en-US"/>
        </w:rPr>
      </w:pPr>
      <w:r w:rsidRPr="003D49F5">
        <w:rPr>
          <w:rFonts w:ascii="FrankRuehl" w:hAnsi="FrankRuehl" w:cs="FrankRuehl"/>
          <w:sz w:val="26"/>
          <w:szCs w:val="26"/>
          <w:rtl/>
          <w:lang w:eastAsia="en-US"/>
        </w:rPr>
        <w:t>הבקשה התקציבית נועדה להעברת עודפים משנת התקציב 2025 לשנת התקציב 2026 בסך של 203,338 אלפי ש"ח, לפי הפירוט להלן:</w:t>
      </w:r>
    </w:p>
    <w:p w14:paraId="0BC6D2A0" w14:textId="77777777" w:rsidR="003D49F5" w:rsidRPr="003D49F5" w:rsidRDefault="003D49F5" w:rsidP="003D49F5">
      <w:pPr>
        <w:overflowPunct/>
        <w:spacing w:before="120" w:after="120"/>
        <w:contextualSpacing/>
        <w:jc w:val="both"/>
        <w:textAlignment w:val="auto"/>
        <w:rPr>
          <w:rFonts w:ascii="FrankRuehl" w:hAnsi="FrankRuehl" w:cs="FrankRuehl"/>
          <w:sz w:val="26"/>
          <w:szCs w:val="26"/>
          <w:lang w:eastAsia="en-US"/>
        </w:rPr>
      </w:pPr>
    </w:p>
    <w:p w14:paraId="658AFECB" w14:textId="77777777" w:rsidR="003D49F5" w:rsidRPr="003D49F5" w:rsidRDefault="003D49F5" w:rsidP="003D49F5">
      <w:pPr>
        <w:tabs>
          <w:tab w:val="left" w:pos="397"/>
        </w:tabs>
        <w:overflowPunct/>
        <w:ind w:left="397" w:hanging="397"/>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1.</w:t>
      </w:r>
      <w:r w:rsidRPr="003D49F5">
        <w:rPr>
          <w:rFonts w:ascii="FrankRuehl" w:hAnsi="FrankRuehl" w:cs="FrankRuehl"/>
          <w:b/>
          <w:bCs/>
          <w:sz w:val="26"/>
          <w:szCs w:val="26"/>
          <w:rtl/>
          <w:lang w:eastAsia="en-US"/>
        </w:rPr>
        <w:tab/>
        <w:t>תכנית 68-11-01: מטה ולשכות אוכלוסין - 29,464 אלפי ש"ח.</w:t>
      </w:r>
    </w:p>
    <w:p w14:paraId="205D9434" w14:textId="77777777" w:rsidR="003D49F5" w:rsidRPr="003D49F5" w:rsidRDefault="003D49F5" w:rsidP="003D49F5">
      <w:pPr>
        <w:overflowPunct/>
        <w:spacing w:before="120" w:after="120"/>
        <w:ind w:left="397"/>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 xml:space="preserve">תיאור התכנית: </w:t>
      </w:r>
      <w:r w:rsidRPr="003D49F5">
        <w:rPr>
          <w:rFonts w:ascii="FrankRuehl" w:hAnsi="FrankRuehl" w:cs="FrankRuehl"/>
          <w:color w:val="000000"/>
          <w:sz w:val="26"/>
          <w:szCs w:val="26"/>
          <w:rtl/>
          <w:lang w:eastAsia="en-US"/>
        </w:rPr>
        <w:t xml:space="preserve">התכנית מיועדת למימון שכר עובדים, מנהל הדיור והרכב, תחזוקה ותפעול ופעולות שונות של מנהל אוכלוסין האמון על הנפקת תיעוד ביומטרי, עדכון מרשם אוכלוסין בהתאם לשינויים באוכלוסייה, מתן אשרות ומעמד בהתאם לחוק, תחזוקת והפעלת כ-55 לשכות אוכלוסין למתן שירות לציבור, וכן הפעלת מטה מרכזי לתמיכה ביחידות השונות כולל עובדי יחידת מחשוב ועובדי מחלקה משפטית, הפעלת מוקד מידע לציבור. </w:t>
      </w:r>
    </w:p>
    <w:p w14:paraId="410B5C4B" w14:textId="77777777" w:rsidR="003D49F5" w:rsidRPr="003D49F5" w:rsidRDefault="003D49F5" w:rsidP="003D49F5">
      <w:pPr>
        <w:overflowPunct/>
        <w:spacing w:before="120" w:after="120"/>
        <w:ind w:left="397"/>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סיבות מרכזיות בגינן נוצרו עודפים בתכנית:</w:t>
      </w:r>
    </w:p>
    <w:p w14:paraId="6BE07512" w14:textId="6D7FB3AC" w:rsidR="003D49F5" w:rsidRPr="003D49F5" w:rsidRDefault="003D49F5" w:rsidP="003D49F5">
      <w:pPr>
        <w:tabs>
          <w:tab w:val="left" w:pos="794"/>
        </w:tabs>
        <w:overflowPunct/>
        <w:ind w:left="794" w:hanging="397"/>
        <w:contextualSpacing/>
        <w:jc w:val="both"/>
        <w:textAlignment w:val="auto"/>
        <w:rPr>
          <w:rFonts w:ascii="FrankRuehl" w:hAnsi="FrankRuehl" w:cs="FrankRuehl"/>
          <w:sz w:val="26"/>
          <w:szCs w:val="26"/>
          <w:lang w:eastAsia="en-US"/>
        </w:rPr>
      </w:pPr>
      <w:r>
        <w:rPr>
          <w:rFonts w:ascii="FrankRuehl" w:hAnsi="FrankRuehl" w:cs="FrankRuehl" w:hint="cs"/>
          <w:sz w:val="26"/>
          <w:szCs w:val="26"/>
          <w:rtl/>
          <w:lang w:eastAsia="en-US"/>
        </w:rPr>
        <w:t>א</w:t>
      </w:r>
      <w:r w:rsidRPr="003D49F5">
        <w:rPr>
          <w:rFonts w:ascii="FrankRuehl" w:hAnsi="FrankRuehl" w:cs="FrankRuehl"/>
          <w:sz w:val="26"/>
          <w:szCs w:val="26"/>
          <w:rtl/>
          <w:lang w:eastAsia="en-US"/>
        </w:rPr>
        <w:t>.</w:t>
      </w:r>
      <w:r w:rsidRPr="003D49F5">
        <w:rPr>
          <w:rFonts w:ascii="FrankRuehl" w:hAnsi="FrankRuehl" w:cs="FrankRuehl"/>
          <w:sz w:val="26"/>
          <w:szCs w:val="26"/>
          <w:rtl/>
          <w:lang w:eastAsia="en-US"/>
        </w:rPr>
        <w:tab/>
        <w:t xml:space="preserve">פרויקטים ארוכי טווח </w:t>
      </w:r>
      <w:r>
        <w:rPr>
          <w:rFonts w:ascii="FrankRuehl" w:hAnsi="FrankRuehl" w:cs="FrankRuehl" w:hint="cs"/>
          <w:sz w:val="26"/>
          <w:szCs w:val="26"/>
          <w:rtl/>
          <w:lang w:eastAsia="en-US"/>
        </w:rPr>
        <w:t>עבור</w:t>
      </w:r>
      <w:r w:rsidRPr="003D49F5">
        <w:rPr>
          <w:rFonts w:ascii="FrankRuehl" w:hAnsi="FrankRuehl" w:cs="FrankRuehl"/>
          <w:sz w:val="26"/>
          <w:szCs w:val="26"/>
          <w:rtl/>
          <w:lang w:eastAsia="en-US"/>
        </w:rPr>
        <w:t xml:space="preserve"> שיפוץ ובניית לשכות חדשות. העודפים כוללים הסכמים חוצי שנה בגין התחייבויות שנפתחו בשנת 2025 עבור שיפוץ לשכות ורכישת אמצעים ואביזרים. </w:t>
      </w:r>
    </w:p>
    <w:p w14:paraId="1CF82CDA" w14:textId="032ED72D" w:rsidR="003D49F5" w:rsidRPr="003D49F5" w:rsidRDefault="003D49F5" w:rsidP="003D49F5">
      <w:pPr>
        <w:overflowPunct/>
        <w:ind w:left="794" w:hanging="397"/>
        <w:contextualSpacing/>
        <w:jc w:val="both"/>
        <w:textAlignment w:val="auto"/>
        <w:rPr>
          <w:rFonts w:ascii="FrankRuehl" w:hAnsi="FrankRuehl" w:cs="FrankRuehl"/>
          <w:sz w:val="26"/>
          <w:szCs w:val="26"/>
          <w:lang w:eastAsia="en-US"/>
        </w:rPr>
      </w:pPr>
      <w:r>
        <w:rPr>
          <w:rFonts w:ascii="FrankRuehl" w:hAnsi="FrankRuehl" w:cs="FrankRuehl" w:hint="cs"/>
          <w:sz w:val="26"/>
          <w:szCs w:val="26"/>
          <w:rtl/>
          <w:lang w:eastAsia="en-US"/>
        </w:rPr>
        <w:t>ב</w:t>
      </w:r>
      <w:r w:rsidRPr="003D49F5">
        <w:rPr>
          <w:rFonts w:ascii="FrankRuehl" w:hAnsi="FrankRuehl" w:cs="FrankRuehl"/>
          <w:sz w:val="26"/>
          <w:szCs w:val="26"/>
          <w:rtl/>
          <w:lang w:eastAsia="en-US"/>
        </w:rPr>
        <w:t>.</w:t>
      </w:r>
      <w:r w:rsidRPr="003D49F5">
        <w:rPr>
          <w:rFonts w:ascii="FrankRuehl" w:hAnsi="FrankRuehl" w:cs="FrankRuehl"/>
          <w:sz w:val="26"/>
          <w:szCs w:val="26"/>
          <w:rtl/>
          <w:lang w:eastAsia="en-US"/>
        </w:rPr>
        <w:tab/>
        <w:t>הסכמים חוצי שנה בגין התחייבויות שוטפות ארוכות טווח כגון אבטחה, דואר, תרגומים, הדרכה ורווחה, תחזוקת מבנים, ארנונה, חנייה ועוד.</w:t>
      </w:r>
    </w:p>
    <w:p w14:paraId="77DD5DAA" w14:textId="77777777" w:rsidR="003D49F5" w:rsidRPr="003D49F5" w:rsidRDefault="003D49F5" w:rsidP="003D49F5">
      <w:pPr>
        <w:tabs>
          <w:tab w:val="left" w:pos="397"/>
        </w:tabs>
        <w:overflowPunct/>
        <w:ind w:left="360" w:hanging="397"/>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2.</w:t>
      </w:r>
      <w:r w:rsidRPr="003D49F5">
        <w:rPr>
          <w:rFonts w:ascii="FrankRuehl" w:hAnsi="FrankRuehl" w:cs="FrankRuehl"/>
          <w:b/>
          <w:bCs/>
          <w:sz w:val="26"/>
          <w:szCs w:val="26"/>
          <w:rtl/>
          <w:lang w:eastAsia="en-US"/>
        </w:rPr>
        <w:tab/>
        <w:t xml:space="preserve">תכנית 68-11-02: מחשוב, -  115,706; אלפי ש"ח. </w:t>
      </w:r>
    </w:p>
    <w:p w14:paraId="025F44FD" w14:textId="77777777" w:rsidR="003D49F5" w:rsidRPr="003D49F5" w:rsidRDefault="003D49F5" w:rsidP="003D49F5">
      <w:pPr>
        <w:overflowPunct/>
        <w:spacing w:before="120" w:after="120"/>
        <w:ind w:left="360"/>
        <w:contextualSpacing/>
        <w:jc w:val="both"/>
        <w:textAlignment w:val="auto"/>
        <w:rPr>
          <w:rFonts w:ascii="FrankRuehl" w:hAnsi="FrankRuehl" w:cs="FrankRuehl"/>
          <w:b/>
          <w:bCs/>
          <w:sz w:val="26"/>
          <w:szCs w:val="26"/>
          <w:lang w:eastAsia="en-US"/>
        </w:rPr>
      </w:pPr>
      <w:r w:rsidRPr="003D49F5">
        <w:rPr>
          <w:rFonts w:ascii="FrankRuehl" w:hAnsi="FrankRuehl" w:cs="FrankRuehl"/>
          <w:sz w:val="26"/>
          <w:szCs w:val="26"/>
          <w:rtl/>
          <w:lang w:eastAsia="en-US"/>
        </w:rPr>
        <w:t>תכנית זו מממנת מפעילה מערכות מחשוב רחבות היקף לטיפול בכלל פעילות המחשוב ברשות. כולל העסקת עובדים להנפקת דרכונים, ניהול מערכת ביומטרית, מערכת מרשם, מערכת ביקורת גבולות, מערכת טיפול בעובדים זרים ופלסטינאים, מערכת רישום ביקורת גבולות, מערכות תומכות לעובדים זרים, עובדי סיעוד ושאר העובדים ופיתוח מערכות חדשות. כמו כן בסעיף זה מתוקצב עלות ח"ג ודיוור של ת.ז. ודרכונים ביומטריים.</w:t>
      </w:r>
    </w:p>
    <w:p w14:paraId="1BE645B3" w14:textId="77777777" w:rsidR="003D49F5" w:rsidRPr="003D49F5" w:rsidRDefault="003D49F5" w:rsidP="003D49F5">
      <w:pPr>
        <w:overflowPunct/>
        <w:spacing w:before="120" w:after="120"/>
        <w:ind w:left="360"/>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סיבות מרכזיות בגינן נוצרו עודפים בתכנית:</w:t>
      </w:r>
    </w:p>
    <w:p w14:paraId="6C0CA8D0" w14:textId="77777777" w:rsidR="003D49F5" w:rsidRPr="003D49F5" w:rsidRDefault="003D49F5" w:rsidP="003D49F5">
      <w:pPr>
        <w:overflowPunct/>
        <w:spacing w:before="120" w:after="120"/>
        <w:ind w:left="360"/>
        <w:contextualSpacing/>
        <w:jc w:val="both"/>
        <w:textAlignment w:val="auto"/>
        <w:rPr>
          <w:rFonts w:ascii="FrankRuehl" w:hAnsi="FrankRuehl" w:cs="FrankRuehl"/>
          <w:sz w:val="26"/>
          <w:szCs w:val="26"/>
          <w:lang w:eastAsia="en-US"/>
        </w:rPr>
      </w:pPr>
      <w:r w:rsidRPr="003D49F5">
        <w:rPr>
          <w:rFonts w:ascii="FrankRuehl" w:hAnsi="FrankRuehl" w:cs="FrankRuehl"/>
          <w:sz w:val="26"/>
          <w:szCs w:val="26"/>
          <w:rtl/>
          <w:lang w:eastAsia="en-US"/>
        </w:rPr>
        <w:t xml:space="preserve">תכנית זו הינה תכנית הרשאתית למימון פרויקטי מחשוב של רשות האוכלוסין ועודפים שנוצרו בגין חשבוניות שטרם שולמו, והזמנות חוצי שנה. (כגון מערכת איתן, </w:t>
      </w:r>
      <w:r w:rsidRPr="003D49F5">
        <w:rPr>
          <w:rFonts w:ascii="FrankRuehl" w:hAnsi="FrankRuehl" w:cs="FrankRuehl"/>
          <w:sz w:val="26"/>
          <w:szCs w:val="26"/>
          <w:lang w:eastAsia="en-US"/>
        </w:rPr>
        <w:t>E-Visa</w:t>
      </w:r>
      <w:r w:rsidRPr="003D49F5">
        <w:rPr>
          <w:rFonts w:ascii="FrankRuehl" w:hAnsi="FrankRuehl" w:cs="FrankRuehl"/>
          <w:sz w:val="26"/>
          <w:szCs w:val="26"/>
          <w:rtl/>
          <w:lang w:eastAsia="en-US"/>
        </w:rPr>
        <w:t>, פיתוח עמדות עצמאיות, הרחבת מערכת זימון תורים, שיפור מערכת ביומטרית לטיפול בזרים, פיתוח עמדות עצמאיות לטיפול במסתננים, רכש מכונות להנפקה אוטומטית של דרכונים, עלויות התחברות לענן נימבוס ועוד).</w:t>
      </w:r>
    </w:p>
    <w:p w14:paraId="3CB51AAA" w14:textId="77777777" w:rsidR="003D49F5" w:rsidRPr="003D49F5" w:rsidRDefault="003D49F5" w:rsidP="003D49F5">
      <w:pPr>
        <w:tabs>
          <w:tab w:val="left" w:pos="397"/>
        </w:tabs>
        <w:overflowPunct/>
        <w:ind w:left="397" w:hanging="397"/>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lastRenderedPageBreak/>
        <w:t>3.</w:t>
      </w:r>
      <w:r w:rsidRPr="003D49F5">
        <w:rPr>
          <w:rFonts w:ascii="FrankRuehl" w:hAnsi="FrankRuehl" w:cs="FrankRuehl"/>
          <w:b/>
          <w:bCs/>
          <w:sz w:val="26"/>
          <w:szCs w:val="26"/>
          <w:rtl/>
          <w:lang w:eastAsia="en-US"/>
        </w:rPr>
        <w:tab/>
        <w:t xml:space="preserve">תכנית 68-12-01: מנהל האכיפה, תפעול וטיפול בזרים השוהים בישראל שלא כחוק - 36,172 אלפי ש"ח. </w:t>
      </w:r>
    </w:p>
    <w:p w14:paraId="0ACCC334" w14:textId="77777777" w:rsidR="003D49F5" w:rsidRPr="003D49F5" w:rsidRDefault="003D49F5" w:rsidP="003D49F5">
      <w:pPr>
        <w:overflowPunct/>
        <w:spacing w:before="120" w:after="120"/>
        <w:ind w:left="360"/>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עיקרי התכנית:</w:t>
      </w:r>
    </w:p>
    <w:p w14:paraId="6C695464" w14:textId="77777777" w:rsidR="003D49F5" w:rsidRPr="003D49F5" w:rsidRDefault="003D49F5" w:rsidP="003D49F5">
      <w:pPr>
        <w:overflowPunct/>
        <w:spacing w:before="120" w:after="120"/>
        <w:ind w:left="360"/>
        <w:contextualSpacing/>
        <w:jc w:val="both"/>
        <w:textAlignment w:val="auto"/>
        <w:rPr>
          <w:rFonts w:ascii="FrankRuehl" w:hAnsi="FrankRuehl" w:cs="FrankRuehl"/>
          <w:color w:val="000000"/>
          <w:sz w:val="26"/>
          <w:szCs w:val="26"/>
          <w:lang w:eastAsia="en-US"/>
        </w:rPr>
      </w:pPr>
      <w:r w:rsidRPr="003D49F5">
        <w:rPr>
          <w:rFonts w:ascii="FrankRuehl" w:hAnsi="FrankRuehl" w:cs="FrankRuehl"/>
          <w:color w:val="000000"/>
          <w:sz w:val="26"/>
          <w:szCs w:val="26"/>
          <w:rtl/>
          <w:lang w:eastAsia="en-US"/>
        </w:rPr>
        <w:t>התכנית נועדה לממן שכר , תחזוקת ותפעול מבנים ורכבי אכיפה, ותפעול שוטף של מנהל האכיפה לביצוע פעולות אכיפה שוטפות. בתחום זה מתוקצב גם נושא יציאה מרצון לתמיכה במסתננים המבקשים לעזוב את ישראל ועלויות טיסות והרחקה של שוהים בלתי חוקיים. פיקוח על העסקה כדין של זרים ומסתננים, שוהים בלתי חוקיים ומסתננים בעת שהייתם בישראל, הסדרת הרישומים, קביעת מעמדם של מבקשי מקלט ופליטים.</w:t>
      </w:r>
    </w:p>
    <w:p w14:paraId="1FD76A81" w14:textId="77777777" w:rsidR="003D49F5" w:rsidRPr="003D49F5" w:rsidRDefault="003D49F5" w:rsidP="003D49F5">
      <w:pPr>
        <w:overflowPunct/>
        <w:spacing w:before="120" w:after="120"/>
        <w:ind w:left="360"/>
        <w:contextualSpacing/>
        <w:jc w:val="both"/>
        <w:textAlignment w:val="auto"/>
        <w:rPr>
          <w:rFonts w:ascii="FrankRuehl" w:hAnsi="FrankRuehl" w:cs="FrankRuehl"/>
          <w:color w:val="000000"/>
          <w:sz w:val="26"/>
          <w:szCs w:val="26"/>
          <w:lang w:eastAsia="en-US"/>
        </w:rPr>
      </w:pPr>
    </w:p>
    <w:p w14:paraId="261D992D" w14:textId="77777777" w:rsidR="003D49F5" w:rsidRPr="003D49F5" w:rsidRDefault="003D49F5" w:rsidP="003D49F5">
      <w:pPr>
        <w:overflowPunct/>
        <w:spacing w:before="120" w:after="120"/>
        <w:ind w:left="360"/>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סיבות מרכזיות בגינן נוצרו עודפים בתכנית:</w:t>
      </w:r>
    </w:p>
    <w:p w14:paraId="588A23AB" w14:textId="5239642E" w:rsidR="003D49F5" w:rsidRPr="003D49F5" w:rsidRDefault="003D49F5" w:rsidP="003D49F5">
      <w:pPr>
        <w:tabs>
          <w:tab w:val="left" w:pos="794"/>
        </w:tabs>
        <w:overflowPunct/>
        <w:ind w:left="794" w:hanging="397"/>
        <w:contextualSpacing/>
        <w:jc w:val="both"/>
        <w:textAlignment w:val="auto"/>
        <w:rPr>
          <w:rFonts w:ascii="FrankRuehl" w:hAnsi="FrankRuehl" w:cs="FrankRuehl"/>
          <w:sz w:val="26"/>
          <w:szCs w:val="26"/>
          <w:lang w:eastAsia="en-US"/>
        </w:rPr>
      </w:pPr>
      <w:r>
        <w:rPr>
          <w:rFonts w:ascii="FrankRuehl" w:hAnsi="FrankRuehl" w:cs="FrankRuehl" w:hint="cs"/>
          <w:sz w:val="26"/>
          <w:szCs w:val="26"/>
          <w:rtl/>
          <w:lang w:eastAsia="en-US"/>
        </w:rPr>
        <w:t>א</w:t>
      </w:r>
      <w:r w:rsidRPr="003D49F5">
        <w:rPr>
          <w:rFonts w:ascii="FrankRuehl" w:hAnsi="FrankRuehl" w:cs="FrankRuehl"/>
          <w:sz w:val="26"/>
          <w:szCs w:val="26"/>
          <w:rtl/>
          <w:lang w:eastAsia="en-US"/>
        </w:rPr>
        <w:t>.</w:t>
      </w:r>
      <w:r w:rsidRPr="003D49F5">
        <w:rPr>
          <w:rFonts w:ascii="FrankRuehl" w:hAnsi="FrankRuehl" w:cs="FrankRuehl"/>
          <w:sz w:val="26"/>
          <w:szCs w:val="26"/>
          <w:rtl/>
          <w:lang w:eastAsia="en-US"/>
        </w:rPr>
        <w:tab/>
        <w:t>ביצוע פרוייקטי שיפוץ מבנים שונים (מבנים עבור שירות למסורבים בנתב"ג ושוהים בלתי  חוקיים) ומימון התקשרויות חוצות שנה לאספקת כרטיסי טיסה, מענקי יציאה, שירותי מזון ורפואה, תרגומים וצריכה עבור מקבלי השירות מהמנהל.</w:t>
      </w:r>
    </w:p>
    <w:p w14:paraId="46874C89" w14:textId="685D08CA" w:rsidR="003D49F5" w:rsidRPr="003D49F5" w:rsidRDefault="003D49F5" w:rsidP="003D49F5">
      <w:pPr>
        <w:overflowPunct/>
        <w:ind w:left="794" w:hanging="397"/>
        <w:contextualSpacing/>
        <w:jc w:val="both"/>
        <w:textAlignment w:val="auto"/>
        <w:rPr>
          <w:rFonts w:ascii="FrankRuehl" w:hAnsi="FrankRuehl" w:cs="FrankRuehl"/>
          <w:sz w:val="26"/>
          <w:szCs w:val="26"/>
          <w:lang w:eastAsia="en-US"/>
        </w:rPr>
      </w:pPr>
      <w:r>
        <w:rPr>
          <w:rFonts w:ascii="FrankRuehl" w:hAnsi="FrankRuehl" w:cs="FrankRuehl" w:hint="cs"/>
          <w:sz w:val="26"/>
          <w:szCs w:val="26"/>
          <w:rtl/>
          <w:lang w:eastAsia="en-US"/>
        </w:rPr>
        <w:t>ב</w:t>
      </w:r>
      <w:r w:rsidRPr="003D49F5">
        <w:rPr>
          <w:rFonts w:ascii="FrankRuehl" w:hAnsi="FrankRuehl" w:cs="FrankRuehl"/>
          <w:sz w:val="26"/>
          <w:szCs w:val="26"/>
          <w:rtl/>
          <w:lang w:eastAsia="en-US"/>
        </w:rPr>
        <w:t>.</w:t>
      </w:r>
      <w:r w:rsidRPr="003D49F5">
        <w:rPr>
          <w:rFonts w:ascii="FrankRuehl" w:hAnsi="FrankRuehl" w:cs="FrankRuehl"/>
          <w:sz w:val="26"/>
          <w:szCs w:val="26"/>
          <w:rtl/>
          <w:lang w:eastAsia="en-US"/>
        </w:rPr>
        <w:tab/>
        <w:t>מימון סעיפי תחזוקה ותפעול שוטף במנהל האכיפה עבור חודש דצמבר של שנת 2025.</w:t>
      </w:r>
    </w:p>
    <w:p w14:paraId="4F8FEF72" w14:textId="77777777" w:rsidR="003D49F5" w:rsidRPr="003D49F5" w:rsidRDefault="003D49F5" w:rsidP="003D49F5">
      <w:pPr>
        <w:overflowPunct/>
        <w:ind w:left="397"/>
        <w:contextualSpacing/>
        <w:jc w:val="both"/>
        <w:textAlignment w:val="auto"/>
        <w:rPr>
          <w:rFonts w:ascii="FrankRuehl" w:hAnsi="FrankRuehl" w:cs="FrankRuehl"/>
          <w:sz w:val="26"/>
          <w:szCs w:val="26"/>
          <w:lang w:eastAsia="en-US"/>
        </w:rPr>
      </w:pPr>
    </w:p>
    <w:p w14:paraId="5FE1D3C9" w14:textId="77777777" w:rsidR="003D49F5" w:rsidRPr="003D49F5" w:rsidRDefault="003D49F5" w:rsidP="003D49F5">
      <w:pPr>
        <w:tabs>
          <w:tab w:val="left" w:pos="397"/>
        </w:tabs>
        <w:overflowPunct/>
        <w:ind w:left="360" w:hanging="397"/>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4.</w:t>
      </w:r>
      <w:r w:rsidRPr="003D49F5">
        <w:rPr>
          <w:rFonts w:ascii="FrankRuehl" w:hAnsi="FrankRuehl" w:cs="FrankRuehl"/>
          <w:b/>
          <w:bCs/>
          <w:sz w:val="26"/>
          <w:szCs w:val="26"/>
          <w:rtl/>
          <w:lang w:eastAsia="en-US"/>
        </w:rPr>
        <w:tab/>
        <w:t xml:space="preserve">תכנית 68-12-03: מינהל היתרים למעסיקים -10,153 אלפי ש"ח </w:t>
      </w:r>
    </w:p>
    <w:p w14:paraId="7586AB05" w14:textId="77777777" w:rsidR="003D49F5" w:rsidRPr="003D49F5" w:rsidRDefault="003D49F5" w:rsidP="003D49F5">
      <w:pPr>
        <w:overflowPunct/>
        <w:spacing w:before="120" w:after="120"/>
        <w:ind w:firstLine="360"/>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עיקרי התכנית:</w:t>
      </w:r>
    </w:p>
    <w:p w14:paraId="4A5BD953" w14:textId="77777777" w:rsidR="003D49F5" w:rsidRPr="003D49F5" w:rsidRDefault="003D49F5" w:rsidP="003D49F5">
      <w:pPr>
        <w:overflowPunct/>
        <w:spacing w:before="120" w:after="120"/>
        <w:ind w:left="360"/>
        <w:contextualSpacing/>
        <w:jc w:val="both"/>
        <w:textAlignment w:val="auto"/>
        <w:rPr>
          <w:rFonts w:ascii="FrankRuehl" w:hAnsi="FrankRuehl" w:cs="FrankRuehl"/>
          <w:b/>
          <w:bCs/>
          <w:sz w:val="26"/>
          <w:szCs w:val="26"/>
          <w:lang w:eastAsia="en-US"/>
        </w:rPr>
      </w:pPr>
      <w:r w:rsidRPr="003D49F5">
        <w:rPr>
          <w:rFonts w:ascii="FrankRuehl" w:hAnsi="FrankRuehl" w:cs="FrankRuehl"/>
          <w:color w:val="000000"/>
          <w:sz w:val="26"/>
          <w:szCs w:val="26"/>
          <w:rtl/>
          <w:lang w:eastAsia="en-US"/>
        </w:rPr>
        <w:t>התכנית נועדה למימון שכר ותפעול שוטף של מנהל שירות למעסיקים ולעובדים זרים, האמון על מתן היתרים למעסיקים ולאנשים פרטיים בכל הנוגע להעסקתם של עובדים זרים כחוק בישראל, העסקת פלסטינאים, חתירה להסכמים בי-ליטרליים להבאת עובדים זרים.</w:t>
      </w:r>
    </w:p>
    <w:p w14:paraId="40AD1E64" w14:textId="77777777" w:rsidR="003D49F5" w:rsidRPr="003D49F5" w:rsidRDefault="003D49F5" w:rsidP="003D49F5">
      <w:pPr>
        <w:overflowPunct/>
        <w:spacing w:before="120" w:after="120"/>
        <w:ind w:left="360"/>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סיבות מרכזיות בגינן נוצרו עודפים בתכנית:</w:t>
      </w:r>
    </w:p>
    <w:p w14:paraId="4C73C8FB" w14:textId="77777777" w:rsidR="003D49F5" w:rsidRPr="003D49F5" w:rsidRDefault="003D49F5" w:rsidP="003D49F5">
      <w:pPr>
        <w:overflowPunct/>
        <w:spacing w:before="120" w:after="120"/>
        <w:ind w:left="360"/>
        <w:contextualSpacing/>
        <w:jc w:val="both"/>
        <w:textAlignment w:val="auto"/>
        <w:rPr>
          <w:rFonts w:ascii="FrankRuehl" w:hAnsi="FrankRuehl" w:cs="FrankRuehl"/>
          <w:sz w:val="26"/>
          <w:szCs w:val="26"/>
          <w:lang w:eastAsia="en-US"/>
        </w:rPr>
      </w:pPr>
      <w:r w:rsidRPr="003D49F5">
        <w:rPr>
          <w:rFonts w:ascii="FrankRuehl" w:hAnsi="FrankRuehl" w:cs="FrankRuehl"/>
          <w:sz w:val="26"/>
          <w:szCs w:val="26"/>
          <w:rtl/>
          <w:lang w:eastAsia="en-US"/>
        </w:rPr>
        <w:t xml:space="preserve">התחייבויות חוצות שנה בנושאי תפעול ואחזקה והזמנות ייעודיות משנת הכספים 2025 אשר התשלומים בגינם ממשיכים גם בשנת 2026 ובכלל זה הסכמים מיוחדים למיון ובחינת עובדים זרים בארצות המוצא בענף הבנייה ובענף הסיעוד, מוקד מידע לעובדים הזרים, הדרכות לחברות כוח אדם. </w:t>
      </w:r>
    </w:p>
    <w:p w14:paraId="10F2192E" w14:textId="77777777" w:rsidR="003D49F5" w:rsidRPr="003D49F5" w:rsidRDefault="003D49F5" w:rsidP="003D49F5">
      <w:pPr>
        <w:overflowPunct/>
        <w:spacing w:before="120" w:after="120"/>
        <w:ind w:left="360"/>
        <w:contextualSpacing/>
        <w:jc w:val="both"/>
        <w:textAlignment w:val="auto"/>
        <w:rPr>
          <w:rFonts w:ascii="FrankRuehl" w:hAnsi="FrankRuehl" w:cs="FrankRuehl"/>
          <w:sz w:val="26"/>
          <w:szCs w:val="26"/>
          <w:lang w:eastAsia="en-US"/>
        </w:rPr>
      </w:pPr>
    </w:p>
    <w:p w14:paraId="32BCC4F1" w14:textId="77777777" w:rsidR="003D49F5" w:rsidRPr="003D49F5" w:rsidRDefault="003D49F5" w:rsidP="003D49F5">
      <w:pPr>
        <w:tabs>
          <w:tab w:val="left" w:pos="397"/>
        </w:tabs>
        <w:overflowPunct/>
        <w:ind w:left="360" w:hanging="397"/>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5.</w:t>
      </w:r>
      <w:r w:rsidRPr="003D49F5">
        <w:rPr>
          <w:rFonts w:ascii="FrankRuehl" w:hAnsi="FrankRuehl" w:cs="FrankRuehl"/>
          <w:b/>
          <w:bCs/>
          <w:sz w:val="26"/>
          <w:szCs w:val="26"/>
          <w:rtl/>
          <w:lang w:eastAsia="en-US"/>
        </w:rPr>
        <w:tab/>
        <w:t xml:space="preserve">תכנית 68-13-01: שכר ופעולות - 21,996 אלפי ש"ח </w:t>
      </w:r>
    </w:p>
    <w:p w14:paraId="0EDC131E" w14:textId="77777777" w:rsidR="003D49F5" w:rsidRPr="003D49F5" w:rsidRDefault="003D49F5" w:rsidP="003D49F5">
      <w:pPr>
        <w:overflowPunct/>
        <w:spacing w:before="120" w:after="120"/>
        <w:ind w:left="360"/>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עיקרי התכנית:</w:t>
      </w:r>
    </w:p>
    <w:p w14:paraId="2BD616E7" w14:textId="77777777" w:rsidR="003D49F5" w:rsidRPr="003D49F5" w:rsidRDefault="003D49F5" w:rsidP="003D49F5">
      <w:pPr>
        <w:overflowPunct/>
        <w:spacing w:before="120" w:after="120"/>
        <w:ind w:left="360"/>
        <w:contextualSpacing/>
        <w:jc w:val="both"/>
        <w:textAlignment w:val="auto"/>
        <w:rPr>
          <w:rFonts w:ascii="FrankRuehl" w:hAnsi="FrankRuehl" w:cs="FrankRuehl"/>
          <w:b/>
          <w:bCs/>
          <w:sz w:val="26"/>
          <w:szCs w:val="26"/>
          <w:lang w:eastAsia="en-US"/>
        </w:rPr>
      </w:pPr>
      <w:r w:rsidRPr="003D49F5">
        <w:rPr>
          <w:rFonts w:ascii="FrankRuehl" w:hAnsi="FrankRuehl" w:cs="FrankRuehl"/>
          <w:color w:val="000000"/>
          <w:sz w:val="26"/>
          <w:szCs w:val="26"/>
          <w:rtl/>
          <w:lang w:eastAsia="en-US"/>
        </w:rPr>
        <w:t>התכנית מיועדת למימון שכר, תפעול ופעולות של מנהל מעברי הגבול האמון על הפעלת מעברי הגבול הבינלאומיים ומימוש מדיניות הרשות ושר הפנים בנושא ביקורת ובקרת הגבולות, מהווה גוף מקצועי ומנחה לבקרי הגבול, מתאם את גופי המנהל השונים, מייעץ למנכ"ל הרשות ומתכלל את עבודת המטה מול גורמי חוץ בנושא ביקורת הגבולות.</w:t>
      </w:r>
    </w:p>
    <w:p w14:paraId="4F396DD0" w14:textId="77777777" w:rsidR="003D49F5" w:rsidRPr="003D49F5" w:rsidRDefault="003D49F5" w:rsidP="003D49F5">
      <w:pPr>
        <w:overflowPunct/>
        <w:spacing w:before="120" w:after="120"/>
        <w:ind w:left="360"/>
        <w:contextualSpacing/>
        <w:jc w:val="both"/>
        <w:textAlignment w:val="auto"/>
        <w:rPr>
          <w:rFonts w:ascii="FrankRuehl" w:hAnsi="FrankRuehl" w:cs="FrankRuehl"/>
          <w:b/>
          <w:bCs/>
          <w:sz w:val="26"/>
          <w:szCs w:val="26"/>
          <w:lang w:eastAsia="en-US"/>
        </w:rPr>
      </w:pPr>
      <w:r w:rsidRPr="003D49F5">
        <w:rPr>
          <w:rFonts w:ascii="FrankRuehl" w:hAnsi="FrankRuehl" w:cs="FrankRuehl"/>
          <w:b/>
          <w:bCs/>
          <w:sz w:val="26"/>
          <w:szCs w:val="26"/>
          <w:rtl/>
          <w:lang w:eastAsia="en-US"/>
        </w:rPr>
        <w:t>סיבות מרכזיות בגינן נוצרו עודפים בתכנית:</w:t>
      </w:r>
    </w:p>
    <w:p w14:paraId="6936B2DB" w14:textId="77777777" w:rsidR="003D49F5" w:rsidRPr="003D49F5" w:rsidRDefault="003D49F5" w:rsidP="003D49F5">
      <w:pPr>
        <w:overflowPunct/>
        <w:spacing w:before="120" w:after="120"/>
        <w:ind w:left="360"/>
        <w:contextualSpacing/>
        <w:jc w:val="both"/>
        <w:textAlignment w:val="auto"/>
        <w:rPr>
          <w:rFonts w:ascii="FrankRuehl" w:hAnsi="FrankRuehl" w:cs="FrankRuehl"/>
          <w:sz w:val="26"/>
          <w:szCs w:val="26"/>
          <w:lang w:eastAsia="en-US"/>
        </w:rPr>
      </w:pPr>
      <w:r w:rsidRPr="003D49F5">
        <w:rPr>
          <w:rFonts w:ascii="FrankRuehl" w:hAnsi="FrankRuehl" w:cs="FrankRuehl"/>
          <w:sz w:val="26"/>
          <w:szCs w:val="26"/>
          <w:rtl/>
          <w:lang w:eastAsia="en-US"/>
        </w:rPr>
        <w:t>העודפים נועדו לממן התקשרויות חוצות שנה הנוגעות לתפעול השוטף בהפעלת מעברי גבול על בסיס 24 שעות ביממה, 365 יום כולל מימון מערך הסעות, מערך מזון רציף, שירותי רפואה ואבטחה רציפים, ושירותים ייחודיים הן לפעילות המינהל והן לנכנסים וליוצאים במעברים.</w:t>
      </w:r>
    </w:p>
    <w:p w14:paraId="727863C8" w14:textId="77777777" w:rsidR="003D49F5" w:rsidRPr="003D49F5" w:rsidRDefault="003D49F5" w:rsidP="003D49F5">
      <w:pPr>
        <w:overflowPunct/>
        <w:spacing w:before="120" w:after="120"/>
        <w:contextualSpacing/>
        <w:jc w:val="both"/>
        <w:textAlignment w:val="auto"/>
        <w:rPr>
          <w:rFonts w:ascii="FrankRuehl" w:hAnsi="FrankRuehl" w:cs="FrankRuehl"/>
          <w:sz w:val="26"/>
          <w:szCs w:val="26"/>
          <w:lang w:eastAsia="en-US"/>
        </w:rPr>
      </w:pPr>
    </w:p>
    <w:p w14:paraId="7CA34B4B" w14:textId="52DDE97E" w:rsidR="0051496B" w:rsidRPr="003D49F5" w:rsidRDefault="003D49F5" w:rsidP="003D49F5">
      <w:pPr>
        <w:overflowPunct/>
        <w:spacing w:before="120" w:after="120"/>
        <w:ind w:firstLine="360"/>
        <w:contextualSpacing/>
        <w:jc w:val="both"/>
        <w:textAlignment w:val="auto"/>
        <w:rPr>
          <w:rFonts w:ascii="FrankRuehl" w:hAnsi="FrankRuehl" w:cs="FrankRuehl"/>
          <w:sz w:val="26"/>
          <w:szCs w:val="26"/>
          <w:rtl/>
          <w:lang w:eastAsia="en-US"/>
        </w:rPr>
      </w:pPr>
      <w:r w:rsidRPr="003D49F5">
        <w:rPr>
          <w:rFonts w:ascii="FrankRuehl" w:hAnsi="FrankRuehl" w:cs="FrankRuehl"/>
          <w:b/>
          <w:bCs/>
          <w:sz w:val="26"/>
          <w:szCs w:val="26"/>
          <w:rtl/>
          <w:lang w:eastAsia="en-US"/>
        </w:rPr>
        <w:t>השפעה על כח אדם:</w:t>
      </w:r>
      <w:r w:rsidRPr="003D49F5">
        <w:rPr>
          <w:rFonts w:ascii="FrankRuehl" w:hAnsi="FrankRuehl" w:cs="FrankRuehl"/>
          <w:sz w:val="26"/>
          <w:szCs w:val="26"/>
          <w:rtl/>
          <w:lang w:eastAsia="en-US"/>
        </w:rPr>
        <w:t xml:space="preserve"> אין.</w:t>
      </w:r>
    </w:p>
    <w:p w14:paraId="1F8C6BF7" w14:textId="77777777" w:rsidR="007332A2" w:rsidRPr="000A3FA0" w:rsidRDefault="007332A2" w:rsidP="00A6761F">
      <w:pPr>
        <w:jc w:val="both"/>
        <w:rPr>
          <w:rFonts w:cs="FrankRuehl"/>
          <w:sz w:val="26"/>
          <w:szCs w:val="26"/>
          <w:rtl/>
        </w:rPr>
      </w:pPr>
    </w:p>
    <w:p w14:paraId="6916B5F9" w14:textId="77777777" w:rsidR="0051496B" w:rsidRPr="000A3FA0" w:rsidRDefault="0051496B" w:rsidP="00A6761F">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27500A18" w14:textId="77777777" w:rsidR="0051496B" w:rsidRPr="000A3FA0" w:rsidRDefault="0051496B" w:rsidP="00A6761F">
      <w:pPr>
        <w:jc w:val="both"/>
        <w:rPr>
          <w:rFonts w:cs="FrankRuehl"/>
          <w:sz w:val="26"/>
          <w:szCs w:val="26"/>
          <w:rtl/>
        </w:rPr>
      </w:pPr>
    </w:p>
    <w:p w14:paraId="449FFF21" w14:textId="77777777" w:rsidR="0051496B" w:rsidRPr="000A3FA0" w:rsidRDefault="0051496B" w:rsidP="00A6761F">
      <w:pPr>
        <w:jc w:val="both"/>
        <w:rPr>
          <w:rFonts w:cs="FrankRuehl"/>
          <w:sz w:val="26"/>
          <w:szCs w:val="26"/>
          <w:rtl/>
        </w:rPr>
      </w:pPr>
    </w:p>
    <w:p w14:paraId="490B689C"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55B8F76C" w14:textId="77777777" w:rsidR="0051496B" w:rsidRDefault="0051496B">
      <w:pPr>
        <w:tabs>
          <w:tab w:val="center" w:pos="6867"/>
        </w:tabs>
        <w:rPr>
          <w:rFonts w:cs="FrankRuehl"/>
          <w:sz w:val="26"/>
          <w:szCs w:val="26"/>
          <w:rtl/>
        </w:rPr>
      </w:pPr>
    </w:p>
    <w:p w14:paraId="33F8C067"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68FA04E9" w14:textId="77777777" w:rsidR="0051496B" w:rsidRPr="000A3FA0" w:rsidRDefault="0051496B">
      <w:pPr>
        <w:tabs>
          <w:tab w:val="center" w:pos="6867"/>
        </w:tabs>
        <w:rPr>
          <w:rFonts w:cs="FrankRuehl"/>
          <w:sz w:val="26"/>
          <w:szCs w:val="26"/>
          <w:rtl/>
        </w:rPr>
      </w:pPr>
    </w:p>
    <w:p w14:paraId="5A9B4226"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11458E0A"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3466CE21" w14:textId="77777777" w:rsidR="0051496B" w:rsidRPr="000A3FA0" w:rsidRDefault="0051496B">
      <w:pPr>
        <w:rPr>
          <w:rFonts w:cs="FrankRuehl"/>
          <w:sz w:val="26"/>
          <w:szCs w:val="26"/>
          <w:rtl/>
        </w:rPr>
      </w:pPr>
    </w:p>
    <w:p w14:paraId="66FEA02D" w14:textId="77777777" w:rsidR="0051496B" w:rsidRPr="000A3FA0" w:rsidRDefault="0051496B">
      <w:pPr>
        <w:rPr>
          <w:rFonts w:cs="FrankRuehl"/>
          <w:sz w:val="26"/>
          <w:szCs w:val="26"/>
          <w:rtl/>
        </w:rPr>
      </w:pPr>
      <w:r w:rsidRPr="000A3FA0">
        <w:rPr>
          <w:rFonts w:cs="FrankRuehl"/>
          <w:sz w:val="26"/>
          <w:szCs w:val="26"/>
          <w:rtl/>
        </w:rPr>
        <w:t>העתק:</w:t>
      </w:r>
    </w:p>
    <w:p w14:paraId="5153D688" w14:textId="77777777" w:rsidR="0051496B" w:rsidRPr="000A3FA0" w:rsidRDefault="0051496B">
      <w:pPr>
        <w:rPr>
          <w:rFonts w:cs="FrankRuehl"/>
          <w:sz w:val="26"/>
          <w:szCs w:val="26"/>
          <w:rtl/>
        </w:rPr>
      </w:pPr>
      <w:r w:rsidRPr="000A3FA0">
        <w:rPr>
          <w:rFonts w:cs="FrankRuehl"/>
          <w:sz w:val="26"/>
          <w:szCs w:val="26"/>
          <w:rtl/>
        </w:rPr>
        <w:t>החשב הכללי</w:t>
      </w:r>
    </w:p>
    <w:p w14:paraId="185A06BC" w14:textId="77777777" w:rsidR="0051496B" w:rsidRPr="000A3FA0" w:rsidRDefault="0051496B">
      <w:pPr>
        <w:rPr>
          <w:rFonts w:cs="FrankRuehl"/>
          <w:sz w:val="26"/>
          <w:szCs w:val="26"/>
          <w:rtl/>
        </w:rPr>
      </w:pPr>
      <w:r w:rsidRPr="000A3FA0">
        <w:rPr>
          <w:rFonts w:cs="FrankRuehl"/>
          <w:sz w:val="26"/>
          <w:szCs w:val="26"/>
          <w:rtl/>
        </w:rPr>
        <w:t>מבקר המדינה (2)</w:t>
      </w:r>
    </w:p>
    <w:p w14:paraId="50C12047" w14:textId="2241F7D9" w:rsidR="0051496B" w:rsidRPr="000A3FA0" w:rsidRDefault="00131A64">
      <w:pPr>
        <w:rPr>
          <w:rFonts w:cs="FrankRuehl"/>
          <w:sz w:val="26"/>
          <w:szCs w:val="26"/>
          <w:rtl/>
        </w:rPr>
      </w:pPr>
      <w:bookmarkStart w:id="12" w:name="TAKZIV22"/>
      <w:r>
        <w:rPr>
          <w:rFonts w:cs="FrankRuehl"/>
          <w:sz w:val="26"/>
          <w:szCs w:val="26"/>
          <w:rtl/>
        </w:rPr>
        <w:lastRenderedPageBreak/>
        <w:t>חשב מנהל האוכלוסין וההגירה</w:t>
      </w:r>
      <w:bookmarkEnd w:id="12"/>
      <w:r w:rsidR="0051496B" w:rsidRPr="000A3FA0">
        <w:rPr>
          <w:rFonts w:cs="FrankRuehl"/>
          <w:sz w:val="26"/>
          <w:szCs w:val="26"/>
          <w:rtl/>
        </w:rPr>
        <w:t xml:space="preserve"> </w:t>
      </w:r>
    </w:p>
    <w:p w14:paraId="1C0036A9" w14:textId="2C14E69F"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131A64">
        <w:rPr>
          <w:rFonts w:cs="FrankRuehl"/>
          <w:sz w:val="26"/>
          <w:szCs w:val="26"/>
          <w:rtl/>
        </w:rPr>
        <w:t>רשות האוכלוסין</w:t>
      </w:r>
      <w:bookmarkEnd w:id="13"/>
    </w:p>
    <w:p w14:paraId="4F3DB654" w14:textId="38E01FA7"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131A64">
        <w:rPr>
          <w:rFonts w:cs="FrankRuehl"/>
          <w:sz w:val="26"/>
          <w:szCs w:val="26"/>
          <w:rtl/>
        </w:rPr>
        <w:t>רשות האוכלוסין</w:t>
      </w:r>
      <w:bookmarkEnd w:id="14"/>
    </w:p>
    <w:p w14:paraId="0D88928E" w14:textId="2ADBD9FA" w:rsidR="0051496B" w:rsidRPr="000A3FA0" w:rsidRDefault="00131A64">
      <w:pPr>
        <w:rPr>
          <w:rFonts w:cs="FrankRuehl"/>
          <w:sz w:val="26"/>
          <w:szCs w:val="26"/>
          <w:rtl/>
        </w:rPr>
      </w:pPr>
      <w:bookmarkStart w:id="15" w:name="TAKZIV23"/>
      <w:r>
        <w:rPr>
          <w:rFonts w:cs="FrankRuehl"/>
          <w:sz w:val="26"/>
          <w:szCs w:val="26"/>
          <w:rtl/>
        </w:rPr>
        <w:t>נציבות שירות המדינה</w:t>
      </w:r>
      <w:bookmarkEnd w:id="15"/>
    </w:p>
    <w:p w14:paraId="4B6B037D" w14:textId="77777777" w:rsidR="0051496B" w:rsidRPr="000A3FA0" w:rsidRDefault="0051496B">
      <w:pPr>
        <w:rPr>
          <w:rFonts w:cs="FrankRuehl"/>
          <w:sz w:val="26"/>
          <w:szCs w:val="26"/>
          <w:rtl/>
        </w:rPr>
      </w:pPr>
    </w:p>
    <w:p w14:paraId="6371AB33" w14:textId="35627D81" w:rsidR="0051496B" w:rsidRDefault="0051496B">
      <w:pPr>
        <w:rPr>
          <w:rFonts w:cs="FrankRuehl"/>
          <w:sz w:val="26"/>
          <w:szCs w:val="26"/>
          <w:rtl/>
        </w:rPr>
      </w:pPr>
      <w:bookmarkStart w:id="16" w:name="TAKZIV25"/>
      <w:bookmarkEnd w:id="16"/>
    </w:p>
    <w:p w14:paraId="1E758520" w14:textId="1D80D19A" w:rsidR="00514D5A" w:rsidRDefault="00514D5A">
      <w:pPr>
        <w:rPr>
          <w:rFonts w:cs="FrankRuehl"/>
          <w:sz w:val="26"/>
          <w:szCs w:val="26"/>
          <w:rtl/>
        </w:rPr>
      </w:pPr>
    </w:p>
    <w:p w14:paraId="71F5C487" w14:textId="7C816919" w:rsidR="00514D5A" w:rsidRDefault="00514D5A">
      <w:pPr>
        <w:rPr>
          <w:rFonts w:cs="FrankRuehl"/>
          <w:sz w:val="26"/>
          <w:szCs w:val="26"/>
          <w:rtl/>
        </w:rPr>
      </w:pPr>
    </w:p>
    <w:p w14:paraId="0BA9E03E" w14:textId="0F0C5D41" w:rsidR="00514D5A" w:rsidRDefault="00514D5A">
      <w:pPr>
        <w:rPr>
          <w:rFonts w:cs="FrankRuehl"/>
          <w:sz w:val="26"/>
          <w:szCs w:val="26"/>
          <w:rtl/>
        </w:rPr>
      </w:pPr>
    </w:p>
    <w:p w14:paraId="686238F7" w14:textId="1B3037F8" w:rsidR="00514D5A" w:rsidRDefault="00514D5A">
      <w:pPr>
        <w:rPr>
          <w:rFonts w:cs="FrankRuehl"/>
          <w:sz w:val="26"/>
          <w:szCs w:val="26"/>
          <w:rtl/>
        </w:rPr>
      </w:pPr>
    </w:p>
    <w:p w14:paraId="23DFEF93" w14:textId="60F6A302" w:rsidR="00514D5A" w:rsidRDefault="00514D5A">
      <w:pPr>
        <w:rPr>
          <w:rFonts w:cs="FrankRuehl"/>
          <w:sz w:val="26"/>
          <w:szCs w:val="26"/>
          <w:rtl/>
        </w:rPr>
      </w:pPr>
    </w:p>
    <w:p w14:paraId="70D85DF0" w14:textId="3798B4B4" w:rsidR="00514D5A" w:rsidRDefault="00514D5A">
      <w:pPr>
        <w:rPr>
          <w:rFonts w:cs="FrankRuehl"/>
          <w:sz w:val="26"/>
          <w:szCs w:val="26"/>
          <w:rtl/>
        </w:rPr>
      </w:pPr>
    </w:p>
    <w:p w14:paraId="7859223F" w14:textId="0E83C852" w:rsidR="00514D5A" w:rsidRDefault="00514D5A">
      <w:pPr>
        <w:rPr>
          <w:rFonts w:cs="FrankRuehl"/>
          <w:sz w:val="26"/>
          <w:szCs w:val="26"/>
          <w:rtl/>
        </w:rPr>
      </w:pPr>
    </w:p>
    <w:p w14:paraId="70A8A7F6" w14:textId="11406EB9" w:rsidR="00514D5A" w:rsidRDefault="00514D5A">
      <w:pPr>
        <w:rPr>
          <w:rFonts w:cs="FrankRuehl"/>
          <w:sz w:val="26"/>
          <w:szCs w:val="26"/>
          <w:rtl/>
        </w:rPr>
      </w:pPr>
    </w:p>
    <w:p w14:paraId="6FE4677A" w14:textId="28629CF9" w:rsidR="00514D5A" w:rsidRDefault="00514D5A">
      <w:pPr>
        <w:rPr>
          <w:rFonts w:cs="FrankRuehl"/>
          <w:sz w:val="26"/>
          <w:szCs w:val="26"/>
          <w:rtl/>
        </w:rPr>
      </w:pPr>
    </w:p>
    <w:p w14:paraId="6A2CB46D" w14:textId="5012ADBC" w:rsidR="00514D5A" w:rsidRDefault="00514D5A">
      <w:pPr>
        <w:rPr>
          <w:rFonts w:cs="FrankRuehl"/>
          <w:sz w:val="26"/>
          <w:szCs w:val="26"/>
          <w:rtl/>
        </w:rPr>
      </w:pPr>
    </w:p>
    <w:p w14:paraId="779FF3F7" w14:textId="4E5F2F6F" w:rsidR="00514D5A" w:rsidRDefault="00514D5A">
      <w:pPr>
        <w:rPr>
          <w:rFonts w:cs="FrankRuehl"/>
          <w:sz w:val="26"/>
          <w:szCs w:val="26"/>
          <w:rtl/>
        </w:rPr>
      </w:pPr>
    </w:p>
    <w:p w14:paraId="34AB93F6" w14:textId="355807A7" w:rsidR="00514D5A" w:rsidRDefault="00514D5A">
      <w:pPr>
        <w:rPr>
          <w:rFonts w:cs="FrankRuehl"/>
          <w:sz w:val="26"/>
          <w:szCs w:val="26"/>
          <w:rtl/>
        </w:rPr>
      </w:pPr>
    </w:p>
    <w:p w14:paraId="0D2A6FDB" w14:textId="3011E466" w:rsidR="00514D5A" w:rsidRDefault="00514D5A">
      <w:pPr>
        <w:rPr>
          <w:rFonts w:cs="FrankRuehl"/>
          <w:sz w:val="26"/>
          <w:szCs w:val="26"/>
          <w:rtl/>
        </w:rPr>
      </w:pPr>
    </w:p>
    <w:p w14:paraId="3973ED9A" w14:textId="2F6F10E7" w:rsidR="00514D5A" w:rsidRDefault="00514D5A">
      <w:pPr>
        <w:rPr>
          <w:rFonts w:cs="FrankRuehl"/>
          <w:sz w:val="26"/>
          <w:szCs w:val="26"/>
          <w:rtl/>
        </w:rPr>
      </w:pPr>
    </w:p>
    <w:p w14:paraId="52E82D3B" w14:textId="301C1CEE" w:rsidR="00514D5A" w:rsidRDefault="00514D5A">
      <w:pPr>
        <w:rPr>
          <w:rFonts w:cs="FrankRuehl"/>
          <w:sz w:val="26"/>
          <w:szCs w:val="26"/>
          <w:rtl/>
        </w:rPr>
      </w:pPr>
    </w:p>
    <w:p w14:paraId="418EB0E6" w14:textId="1A254A9D" w:rsidR="00514D5A" w:rsidRDefault="00514D5A">
      <w:pPr>
        <w:rPr>
          <w:rFonts w:cs="FrankRuehl"/>
          <w:sz w:val="26"/>
          <w:szCs w:val="26"/>
          <w:rtl/>
        </w:rPr>
      </w:pPr>
    </w:p>
    <w:p w14:paraId="23AC2175" w14:textId="1D8C56BB" w:rsidR="00514D5A" w:rsidRDefault="00514D5A">
      <w:pPr>
        <w:rPr>
          <w:rFonts w:cs="FrankRuehl"/>
          <w:sz w:val="26"/>
          <w:szCs w:val="26"/>
          <w:rtl/>
        </w:rPr>
      </w:pPr>
    </w:p>
    <w:p w14:paraId="2BE7F384" w14:textId="7C75CF8A" w:rsidR="00514D5A" w:rsidRDefault="00514D5A">
      <w:pPr>
        <w:rPr>
          <w:rFonts w:cs="FrankRuehl"/>
          <w:sz w:val="26"/>
          <w:szCs w:val="26"/>
          <w:rtl/>
        </w:rPr>
      </w:pPr>
    </w:p>
    <w:p w14:paraId="4EA7D100" w14:textId="1709CE2F" w:rsidR="00514D5A" w:rsidRDefault="00514D5A">
      <w:pPr>
        <w:rPr>
          <w:rFonts w:cs="FrankRuehl"/>
          <w:sz w:val="26"/>
          <w:szCs w:val="26"/>
          <w:rtl/>
        </w:rPr>
      </w:pPr>
    </w:p>
    <w:p w14:paraId="6E37AB1A" w14:textId="68ABEFF7" w:rsidR="00514D5A" w:rsidRDefault="00514D5A">
      <w:pPr>
        <w:rPr>
          <w:rFonts w:cs="FrankRuehl"/>
          <w:sz w:val="26"/>
          <w:szCs w:val="26"/>
          <w:rtl/>
        </w:rPr>
      </w:pPr>
    </w:p>
    <w:p w14:paraId="2721C9BF" w14:textId="56457742" w:rsidR="00514D5A" w:rsidRDefault="00514D5A">
      <w:pPr>
        <w:rPr>
          <w:rFonts w:cs="FrankRuehl"/>
          <w:sz w:val="26"/>
          <w:szCs w:val="26"/>
          <w:rtl/>
        </w:rPr>
      </w:pPr>
    </w:p>
    <w:p w14:paraId="41FCF4C5" w14:textId="20470295" w:rsidR="00514D5A" w:rsidRDefault="00514D5A">
      <w:pPr>
        <w:rPr>
          <w:rFonts w:cs="FrankRuehl"/>
          <w:sz w:val="26"/>
          <w:szCs w:val="26"/>
          <w:rtl/>
        </w:rPr>
      </w:pPr>
    </w:p>
    <w:p w14:paraId="5F3ADFE0" w14:textId="70AB74BB" w:rsidR="00514D5A" w:rsidRDefault="00514D5A">
      <w:pPr>
        <w:rPr>
          <w:rFonts w:cs="FrankRuehl"/>
          <w:sz w:val="26"/>
          <w:szCs w:val="26"/>
          <w:rtl/>
        </w:rPr>
      </w:pPr>
    </w:p>
    <w:p w14:paraId="7CAA1A66" w14:textId="24C3AD9F" w:rsidR="00514D5A" w:rsidRDefault="00514D5A">
      <w:pPr>
        <w:rPr>
          <w:rFonts w:cs="FrankRuehl"/>
          <w:sz w:val="26"/>
          <w:szCs w:val="26"/>
          <w:rtl/>
        </w:rPr>
      </w:pPr>
    </w:p>
    <w:p w14:paraId="01E87C44" w14:textId="4EF3E577" w:rsidR="00514D5A" w:rsidRDefault="00514D5A">
      <w:pPr>
        <w:rPr>
          <w:rFonts w:cs="FrankRuehl"/>
          <w:sz w:val="26"/>
          <w:szCs w:val="26"/>
          <w:rtl/>
        </w:rPr>
      </w:pPr>
    </w:p>
    <w:p w14:paraId="7DB6D8E0" w14:textId="6AAB07A0" w:rsidR="00514D5A" w:rsidRDefault="00514D5A">
      <w:pPr>
        <w:rPr>
          <w:rFonts w:cs="FrankRuehl"/>
          <w:sz w:val="26"/>
          <w:szCs w:val="26"/>
          <w:rtl/>
        </w:rPr>
      </w:pPr>
    </w:p>
    <w:p w14:paraId="3E5087E0" w14:textId="327974CB" w:rsidR="00514D5A" w:rsidRDefault="00514D5A">
      <w:pPr>
        <w:rPr>
          <w:rFonts w:cs="FrankRuehl"/>
          <w:sz w:val="26"/>
          <w:szCs w:val="26"/>
          <w:rtl/>
        </w:rPr>
      </w:pPr>
    </w:p>
    <w:p w14:paraId="7882501B" w14:textId="3A481D23" w:rsidR="00514D5A" w:rsidRDefault="00514D5A">
      <w:pPr>
        <w:rPr>
          <w:rFonts w:cs="FrankRuehl"/>
          <w:sz w:val="26"/>
          <w:szCs w:val="26"/>
          <w:rtl/>
        </w:rPr>
      </w:pPr>
    </w:p>
    <w:p w14:paraId="7B928EF8" w14:textId="4083B655" w:rsidR="00514D5A" w:rsidRDefault="00514D5A">
      <w:pPr>
        <w:rPr>
          <w:rFonts w:cs="FrankRuehl"/>
          <w:sz w:val="26"/>
          <w:szCs w:val="26"/>
          <w:rtl/>
        </w:rPr>
      </w:pPr>
    </w:p>
    <w:p w14:paraId="17F6A6A2" w14:textId="6C6360D4" w:rsidR="00514D5A" w:rsidRDefault="00514D5A">
      <w:pPr>
        <w:rPr>
          <w:rFonts w:cs="FrankRuehl"/>
          <w:sz w:val="26"/>
          <w:szCs w:val="26"/>
          <w:rtl/>
        </w:rPr>
      </w:pPr>
    </w:p>
    <w:p w14:paraId="3B8685E6" w14:textId="32CB9D26" w:rsidR="00514D5A" w:rsidRDefault="00514D5A">
      <w:pPr>
        <w:rPr>
          <w:rFonts w:cs="FrankRuehl"/>
          <w:sz w:val="26"/>
          <w:szCs w:val="26"/>
          <w:rtl/>
        </w:rPr>
      </w:pPr>
    </w:p>
    <w:p w14:paraId="4858976A" w14:textId="09B5AAD5" w:rsidR="00514D5A" w:rsidRDefault="00514D5A">
      <w:pPr>
        <w:rPr>
          <w:rFonts w:cs="FrankRuehl"/>
          <w:sz w:val="26"/>
          <w:szCs w:val="26"/>
          <w:rtl/>
        </w:rPr>
      </w:pPr>
    </w:p>
    <w:p w14:paraId="19676162" w14:textId="2E0FA254" w:rsidR="00514D5A" w:rsidRDefault="00514D5A">
      <w:pPr>
        <w:rPr>
          <w:rFonts w:cs="FrankRuehl"/>
          <w:sz w:val="26"/>
          <w:szCs w:val="26"/>
          <w:rtl/>
        </w:rPr>
      </w:pPr>
    </w:p>
    <w:p w14:paraId="28D32D0F" w14:textId="4874694C" w:rsidR="00514D5A" w:rsidRDefault="00514D5A">
      <w:pPr>
        <w:rPr>
          <w:rFonts w:cs="FrankRuehl"/>
          <w:sz w:val="26"/>
          <w:szCs w:val="26"/>
          <w:rtl/>
        </w:rPr>
      </w:pPr>
    </w:p>
    <w:p w14:paraId="34F86213" w14:textId="37D74819" w:rsidR="00514D5A" w:rsidRDefault="00514D5A">
      <w:pPr>
        <w:rPr>
          <w:rFonts w:cs="FrankRuehl"/>
          <w:sz w:val="26"/>
          <w:szCs w:val="26"/>
          <w:rtl/>
        </w:rPr>
      </w:pPr>
    </w:p>
    <w:p w14:paraId="58F5AEB6" w14:textId="643C6ED5" w:rsidR="00514D5A" w:rsidRDefault="00514D5A">
      <w:pPr>
        <w:rPr>
          <w:rFonts w:cs="FrankRuehl"/>
          <w:sz w:val="26"/>
          <w:szCs w:val="26"/>
          <w:rtl/>
        </w:rPr>
      </w:pPr>
    </w:p>
    <w:p w14:paraId="7D74BEBC" w14:textId="02C63EF1" w:rsidR="00514D5A" w:rsidRDefault="00514D5A">
      <w:pPr>
        <w:rPr>
          <w:rFonts w:cs="FrankRuehl"/>
          <w:sz w:val="26"/>
          <w:szCs w:val="26"/>
          <w:rtl/>
        </w:rPr>
      </w:pPr>
    </w:p>
    <w:p w14:paraId="0A6954C8" w14:textId="05E63D1A" w:rsidR="00514D5A" w:rsidRDefault="00514D5A">
      <w:pPr>
        <w:rPr>
          <w:rFonts w:cs="FrankRuehl"/>
          <w:sz w:val="26"/>
          <w:szCs w:val="26"/>
          <w:rtl/>
        </w:rPr>
      </w:pPr>
    </w:p>
    <w:p w14:paraId="6CC2BAA4" w14:textId="057F1CF9" w:rsidR="00514D5A" w:rsidRDefault="00514D5A">
      <w:pPr>
        <w:rPr>
          <w:rFonts w:cs="FrankRuehl"/>
          <w:sz w:val="26"/>
          <w:szCs w:val="26"/>
          <w:rtl/>
        </w:rPr>
      </w:pPr>
    </w:p>
    <w:p w14:paraId="78871E8C" w14:textId="72ABD37F" w:rsidR="00514D5A" w:rsidRDefault="00514D5A">
      <w:pPr>
        <w:rPr>
          <w:rFonts w:cs="FrankRuehl"/>
          <w:sz w:val="26"/>
          <w:szCs w:val="26"/>
          <w:rtl/>
        </w:rPr>
      </w:pPr>
    </w:p>
    <w:p w14:paraId="44DDAC0B" w14:textId="071DF40C" w:rsidR="00514D5A" w:rsidRDefault="00514D5A">
      <w:pPr>
        <w:rPr>
          <w:rFonts w:cs="FrankRuehl"/>
          <w:sz w:val="26"/>
          <w:szCs w:val="26"/>
          <w:rtl/>
        </w:rPr>
      </w:pPr>
    </w:p>
    <w:p w14:paraId="23281FDE" w14:textId="555B4144" w:rsidR="00514D5A" w:rsidRDefault="00514D5A">
      <w:pPr>
        <w:rPr>
          <w:rFonts w:cs="FrankRuehl"/>
          <w:sz w:val="26"/>
          <w:szCs w:val="26"/>
          <w:rtl/>
        </w:rPr>
      </w:pPr>
    </w:p>
    <w:p w14:paraId="28E3C1B2" w14:textId="448A8409" w:rsidR="00514D5A" w:rsidRDefault="00514D5A">
      <w:pPr>
        <w:rPr>
          <w:rFonts w:cs="FrankRuehl"/>
          <w:sz w:val="26"/>
          <w:szCs w:val="26"/>
          <w:rtl/>
        </w:rPr>
      </w:pPr>
    </w:p>
    <w:p w14:paraId="10F813DB" w14:textId="181E7015" w:rsidR="00514D5A" w:rsidRDefault="00514D5A">
      <w:pPr>
        <w:rPr>
          <w:rFonts w:cs="FrankRuehl"/>
          <w:sz w:val="26"/>
          <w:szCs w:val="26"/>
          <w:rtl/>
        </w:rPr>
      </w:pPr>
    </w:p>
    <w:p w14:paraId="62BE9FF5" w14:textId="460B5B09" w:rsidR="00514D5A" w:rsidRDefault="00514D5A">
      <w:pPr>
        <w:rPr>
          <w:rFonts w:cs="FrankRuehl"/>
          <w:sz w:val="26"/>
          <w:szCs w:val="26"/>
          <w:rtl/>
        </w:rPr>
      </w:pPr>
    </w:p>
    <w:p w14:paraId="3CB04ABA" w14:textId="522F8EF8" w:rsidR="00514D5A" w:rsidRDefault="00514D5A">
      <w:pPr>
        <w:rPr>
          <w:rFonts w:cs="FrankRuehl"/>
          <w:sz w:val="26"/>
          <w:szCs w:val="26"/>
          <w:rtl/>
        </w:rPr>
      </w:pPr>
    </w:p>
    <w:p w14:paraId="4F70A2DB" w14:textId="4724B42C" w:rsidR="00514D5A" w:rsidRPr="00514D5A" w:rsidRDefault="00514D5A" w:rsidP="00514D5A">
      <w:pPr>
        <w:jc w:val="center"/>
        <w:rPr>
          <w:rFonts w:cs="FrankRuehl"/>
          <w:b/>
          <w:bCs/>
          <w:sz w:val="26"/>
          <w:szCs w:val="26"/>
          <w:u w:val="single"/>
          <w:rtl/>
        </w:rPr>
      </w:pPr>
      <w:r w:rsidRPr="00514D5A">
        <w:rPr>
          <w:rFonts w:cs="FrankRuehl" w:hint="cs"/>
          <w:b/>
          <w:bCs/>
          <w:sz w:val="26"/>
          <w:szCs w:val="26"/>
          <w:u w:val="single"/>
          <w:rtl/>
        </w:rPr>
        <w:lastRenderedPageBreak/>
        <w:t>נספח לדברי ההסבר</w:t>
      </w:r>
    </w:p>
    <w:p w14:paraId="258BFDD6" w14:textId="77777777" w:rsidR="00514D5A" w:rsidRPr="00514D5A" w:rsidRDefault="00514D5A" w:rsidP="00514D5A">
      <w:pPr>
        <w:jc w:val="center"/>
        <w:rPr>
          <w:rFonts w:cs="FrankRuehl"/>
          <w:b/>
          <w:bCs/>
          <w:sz w:val="26"/>
          <w:szCs w:val="26"/>
          <w:u w:val="single"/>
          <w:rtl/>
        </w:rPr>
      </w:pPr>
    </w:p>
    <w:p w14:paraId="02944AFF" w14:textId="35BC97E2" w:rsidR="00514D5A" w:rsidRDefault="00514D5A" w:rsidP="00514D5A">
      <w:pPr>
        <w:jc w:val="center"/>
        <w:rPr>
          <w:rFonts w:cs="FrankRuehl"/>
          <w:b/>
          <w:bCs/>
          <w:sz w:val="26"/>
          <w:szCs w:val="26"/>
          <w:rtl/>
        </w:rPr>
      </w:pPr>
      <w:r w:rsidRPr="00514D5A">
        <w:rPr>
          <w:rFonts w:cs="FrankRuehl" w:hint="cs"/>
          <w:b/>
          <w:bCs/>
          <w:sz w:val="26"/>
          <w:szCs w:val="26"/>
          <w:rtl/>
        </w:rPr>
        <w:t xml:space="preserve">היסטוריה </w:t>
      </w:r>
      <w:r w:rsidRPr="00514D5A">
        <w:rPr>
          <w:rFonts w:cs="FrankRuehl"/>
          <w:b/>
          <w:bCs/>
          <w:sz w:val="26"/>
          <w:szCs w:val="26"/>
          <w:rtl/>
        </w:rPr>
        <w:t>תקציבית</w:t>
      </w:r>
      <w:r>
        <w:rPr>
          <w:rFonts w:cs="FrankRuehl" w:hint="cs"/>
          <w:b/>
          <w:bCs/>
          <w:sz w:val="26"/>
          <w:szCs w:val="26"/>
          <w:rtl/>
        </w:rPr>
        <w:t xml:space="preserve"> </w:t>
      </w:r>
      <w:r w:rsidRPr="00514D5A">
        <w:rPr>
          <w:rFonts w:cs="FrankRuehl" w:hint="cs"/>
          <w:b/>
          <w:bCs/>
          <w:sz w:val="26"/>
          <w:szCs w:val="26"/>
          <w:rtl/>
        </w:rPr>
        <w:t>של הפנייה</w:t>
      </w:r>
    </w:p>
    <w:p w14:paraId="1F1B7B1E" w14:textId="7C4EE258" w:rsidR="00514D5A" w:rsidRDefault="00514D5A" w:rsidP="00514D5A">
      <w:pPr>
        <w:jc w:val="center"/>
        <w:rPr>
          <w:rFonts w:cs="FrankRuehl"/>
          <w:b/>
          <w:bCs/>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514D5A" w:rsidRPr="00514D5A" w14:paraId="60EB35CF" w14:textId="77777777" w:rsidTr="00514D5A">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42AB1E5D" w14:textId="77777777" w:rsidR="00514D5A" w:rsidRPr="00514D5A" w:rsidRDefault="00514D5A" w:rsidP="00514D5A">
            <w:pPr>
              <w:overflowPunct/>
              <w:autoSpaceDE/>
              <w:autoSpaceDN/>
              <w:adjustRightInd/>
              <w:jc w:val="center"/>
              <w:textAlignment w:val="auto"/>
              <w:rPr>
                <w:rFonts w:ascii="Calibri" w:hAnsi="Calibri" w:cs="Calibri"/>
                <w:b/>
                <w:bCs/>
                <w:color w:val="000000"/>
                <w:sz w:val="16"/>
                <w:szCs w:val="16"/>
                <w:lang w:eastAsia="en-US"/>
              </w:rPr>
            </w:pPr>
            <w:r w:rsidRPr="00514D5A">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39B8B877" w14:textId="77777777" w:rsidR="00514D5A" w:rsidRPr="00514D5A" w:rsidRDefault="00514D5A" w:rsidP="00514D5A">
            <w:pPr>
              <w:overflowPunct/>
              <w:autoSpaceDE/>
              <w:autoSpaceDN/>
              <w:adjustRightInd/>
              <w:jc w:val="center"/>
              <w:textAlignment w:val="auto"/>
              <w:rPr>
                <w:rFonts w:ascii="Calibri" w:hAnsi="Calibri" w:cs="Calibri"/>
                <w:b/>
                <w:bCs/>
                <w:color w:val="000000"/>
                <w:sz w:val="16"/>
                <w:szCs w:val="16"/>
                <w:rtl/>
                <w:lang w:eastAsia="en-US"/>
              </w:rPr>
            </w:pPr>
            <w:r w:rsidRPr="00514D5A">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7E898F88" w14:textId="77777777" w:rsidR="00514D5A" w:rsidRPr="00514D5A" w:rsidRDefault="00514D5A" w:rsidP="00514D5A">
            <w:pPr>
              <w:overflowPunct/>
              <w:autoSpaceDE/>
              <w:autoSpaceDN/>
              <w:adjustRightInd/>
              <w:jc w:val="center"/>
              <w:textAlignment w:val="auto"/>
              <w:rPr>
                <w:rFonts w:ascii="Calibri" w:hAnsi="Calibri" w:cs="Calibri"/>
                <w:b/>
                <w:bCs/>
                <w:color w:val="000000"/>
                <w:sz w:val="16"/>
                <w:szCs w:val="16"/>
                <w:rtl/>
                <w:lang w:eastAsia="en-US"/>
              </w:rPr>
            </w:pPr>
            <w:r w:rsidRPr="00514D5A">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7E546098" w14:textId="77777777" w:rsidR="00514D5A" w:rsidRPr="00514D5A" w:rsidRDefault="00514D5A" w:rsidP="00514D5A">
            <w:pPr>
              <w:overflowPunct/>
              <w:autoSpaceDE/>
              <w:autoSpaceDN/>
              <w:adjustRightInd/>
              <w:jc w:val="center"/>
              <w:textAlignment w:val="auto"/>
              <w:rPr>
                <w:rFonts w:ascii="Calibri" w:hAnsi="Calibri" w:cs="Calibri"/>
                <w:b/>
                <w:bCs/>
                <w:color w:val="000000"/>
                <w:sz w:val="16"/>
                <w:szCs w:val="16"/>
                <w:rtl/>
                <w:lang w:eastAsia="en-US"/>
              </w:rPr>
            </w:pPr>
            <w:r w:rsidRPr="00514D5A">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060AA1BB" w14:textId="77777777" w:rsidR="00514D5A" w:rsidRPr="00514D5A" w:rsidRDefault="00514D5A" w:rsidP="00514D5A">
            <w:pPr>
              <w:overflowPunct/>
              <w:autoSpaceDE/>
              <w:autoSpaceDN/>
              <w:adjustRightInd/>
              <w:jc w:val="center"/>
              <w:textAlignment w:val="auto"/>
              <w:rPr>
                <w:rFonts w:ascii="Calibri" w:hAnsi="Calibri" w:cs="Calibri"/>
                <w:b/>
                <w:bCs/>
                <w:color w:val="000000"/>
                <w:sz w:val="16"/>
                <w:szCs w:val="16"/>
                <w:rtl/>
                <w:lang w:eastAsia="en-US"/>
              </w:rPr>
            </w:pPr>
            <w:r w:rsidRPr="00514D5A">
              <w:rPr>
                <w:rFonts w:ascii="Calibri" w:hAnsi="Calibri" w:cs="Calibri"/>
                <w:b/>
                <w:bCs/>
                <w:color w:val="000000"/>
                <w:sz w:val="16"/>
                <w:szCs w:val="16"/>
                <w:rtl/>
                <w:lang w:eastAsia="en-US"/>
              </w:rPr>
              <w:t>סך עודף שהועבר ב-2023</w:t>
            </w:r>
          </w:p>
        </w:tc>
      </w:tr>
      <w:tr w:rsidR="00514D5A" w:rsidRPr="00514D5A" w14:paraId="56E7A743" w14:textId="77777777" w:rsidTr="00514D5A">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3A7C2CDA"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rtl/>
                <w:lang w:eastAsia="en-US"/>
              </w:rPr>
            </w:pPr>
            <w:r w:rsidRPr="00514D5A">
              <w:rPr>
                <w:rFonts w:ascii="Calibri" w:hAnsi="Calibri" w:cs="Calibri"/>
                <w:color w:val="000000"/>
                <w:sz w:val="16"/>
                <w:szCs w:val="16"/>
                <w:lang w:eastAsia="en-US"/>
              </w:rPr>
              <w:t>681101</w:t>
            </w:r>
          </w:p>
        </w:tc>
        <w:tc>
          <w:tcPr>
            <w:tcW w:w="1111" w:type="pct"/>
            <w:tcBorders>
              <w:top w:val="nil"/>
              <w:left w:val="single" w:sz="4" w:space="0" w:color="979991"/>
              <w:bottom w:val="single" w:sz="4" w:space="0" w:color="979991"/>
              <w:right w:val="nil"/>
            </w:tcBorders>
            <w:shd w:val="clear" w:color="000000" w:fill="FFFFFF"/>
            <w:vAlign w:val="center"/>
            <w:hideMark/>
          </w:tcPr>
          <w:p w14:paraId="48D17B31"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24,464</w:t>
            </w:r>
          </w:p>
        </w:tc>
        <w:tc>
          <w:tcPr>
            <w:tcW w:w="968" w:type="pct"/>
            <w:tcBorders>
              <w:top w:val="nil"/>
              <w:left w:val="single" w:sz="4" w:space="0" w:color="979991"/>
              <w:bottom w:val="single" w:sz="4" w:space="0" w:color="979991"/>
              <w:right w:val="nil"/>
            </w:tcBorders>
            <w:shd w:val="clear" w:color="000000" w:fill="FFFFFF"/>
            <w:vAlign w:val="center"/>
            <w:hideMark/>
          </w:tcPr>
          <w:p w14:paraId="276FD208"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26,443</w:t>
            </w:r>
          </w:p>
        </w:tc>
        <w:tc>
          <w:tcPr>
            <w:tcW w:w="968" w:type="pct"/>
            <w:tcBorders>
              <w:top w:val="nil"/>
              <w:left w:val="single" w:sz="4" w:space="0" w:color="979991"/>
              <w:bottom w:val="single" w:sz="4" w:space="0" w:color="979991"/>
              <w:right w:val="nil"/>
            </w:tcBorders>
            <w:shd w:val="clear" w:color="000000" w:fill="FFFFFF"/>
            <w:vAlign w:val="center"/>
            <w:hideMark/>
          </w:tcPr>
          <w:p w14:paraId="07D93E79"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30,639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43E58F6"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19,937</w:t>
            </w:r>
          </w:p>
        </w:tc>
      </w:tr>
      <w:tr w:rsidR="00514D5A" w:rsidRPr="00514D5A" w14:paraId="32BFA40D" w14:textId="77777777" w:rsidTr="00514D5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008A3A3"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681102</w:t>
            </w:r>
          </w:p>
        </w:tc>
        <w:tc>
          <w:tcPr>
            <w:tcW w:w="1111" w:type="pct"/>
            <w:tcBorders>
              <w:top w:val="nil"/>
              <w:left w:val="single" w:sz="4" w:space="0" w:color="979991"/>
              <w:bottom w:val="single" w:sz="4" w:space="0" w:color="979991"/>
              <w:right w:val="nil"/>
            </w:tcBorders>
            <w:shd w:val="clear" w:color="000000" w:fill="FFFFFF"/>
            <w:vAlign w:val="center"/>
            <w:hideMark/>
          </w:tcPr>
          <w:p w14:paraId="367A6614"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105,706</w:t>
            </w:r>
          </w:p>
        </w:tc>
        <w:tc>
          <w:tcPr>
            <w:tcW w:w="968" w:type="pct"/>
            <w:tcBorders>
              <w:top w:val="nil"/>
              <w:left w:val="single" w:sz="4" w:space="0" w:color="979991"/>
              <w:bottom w:val="single" w:sz="4" w:space="0" w:color="979991"/>
              <w:right w:val="nil"/>
            </w:tcBorders>
            <w:shd w:val="clear" w:color="000000" w:fill="FFFFFF"/>
            <w:vAlign w:val="center"/>
            <w:hideMark/>
          </w:tcPr>
          <w:p w14:paraId="10AADA25"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76,030</w:t>
            </w:r>
          </w:p>
        </w:tc>
        <w:tc>
          <w:tcPr>
            <w:tcW w:w="968" w:type="pct"/>
            <w:tcBorders>
              <w:top w:val="nil"/>
              <w:left w:val="single" w:sz="4" w:space="0" w:color="979991"/>
              <w:bottom w:val="single" w:sz="4" w:space="0" w:color="979991"/>
              <w:right w:val="nil"/>
            </w:tcBorders>
            <w:shd w:val="clear" w:color="000000" w:fill="FFFFFF"/>
            <w:vAlign w:val="center"/>
            <w:hideMark/>
          </w:tcPr>
          <w:p w14:paraId="057F7EDC"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76,203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73260FE"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87,153</w:t>
            </w:r>
          </w:p>
        </w:tc>
      </w:tr>
      <w:tr w:rsidR="00514D5A" w:rsidRPr="00514D5A" w14:paraId="57F556D1" w14:textId="77777777" w:rsidTr="00514D5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D054DE7"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681201</w:t>
            </w:r>
          </w:p>
        </w:tc>
        <w:tc>
          <w:tcPr>
            <w:tcW w:w="1111" w:type="pct"/>
            <w:tcBorders>
              <w:top w:val="nil"/>
              <w:left w:val="single" w:sz="4" w:space="0" w:color="979991"/>
              <w:bottom w:val="single" w:sz="4" w:space="0" w:color="979991"/>
              <w:right w:val="nil"/>
            </w:tcBorders>
            <w:shd w:val="clear" w:color="000000" w:fill="FFFFFF"/>
            <w:vAlign w:val="center"/>
            <w:hideMark/>
          </w:tcPr>
          <w:p w14:paraId="4F8A8630"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24,019</w:t>
            </w:r>
          </w:p>
        </w:tc>
        <w:tc>
          <w:tcPr>
            <w:tcW w:w="968" w:type="pct"/>
            <w:tcBorders>
              <w:top w:val="nil"/>
              <w:left w:val="single" w:sz="4" w:space="0" w:color="979991"/>
              <w:bottom w:val="single" w:sz="4" w:space="0" w:color="979991"/>
              <w:right w:val="nil"/>
            </w:tcBorders>
            <w:shd w:val="clear" w:color="000000" w:fill="FFFFFF"/>
            <w:vAlign w:val="center"/>
            <w:hideMark/>
          </w:tcPr>
          <w:p w14:paraId="104AAF3D"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19,849</w:t>
            </w:r>
          </w:p>
        </w:tc>
        <w:tc>
          <w:tcPr>
            <w:tcW w:w="968" w:type="pct"/>
            <w:tcBorders>
              <w:top w:val="nil"/>
              <w:left w:val="single" w:sz="4" w:space="0" w:color="979991"/>
              <w:bottom w:val="single" w:sz="4" w:space="0" w:color="979991"/>
              <w:right w:val="nil"/>
            </w:tcBorders>
            <w:shd w:val="clear" w:color="000000" w:fill="FFFFFF"/>
            <w:vAlign w:val="center"/>
            <w:hideMark/>
          </w:tcPr>
          <w:p w14:paraId="1C317BCC"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41,914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1670346"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42,659</w:t>
            </w:r>
          </w:p>
        </w:tc>
      </w:tr>
      <w:tr w:rsidR="00514D5A" w:rsidRPr="00514D5A" w14:paraId="75DCECB6" w14:textId="77777777" w:rsidTr="00514D5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A106737"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681203</w:t>
            </w:r>
          </w:p>
        </w:tc>
        <w:tc>
          <w:tcPr>
            <w:tcW w:w="1111" w:type="pct"/>
            <w:tcBorders>
              <w:top w:val="nil"/>
              <w:left w:val="single" w:sz="4" w:space="0" w:color="979991"/>
              <w:bottom w:val="single" w:sz="4" w:space="0" w:color="979991"/>
              <w:right w:val="nil"/>
            </w:tcBorders>
            <w:shd w:val="clear" w:color="000000" w:fill="FFFFFF"/>
            <w:vAlign w:val="center"/>
            <w:hideMark/>
          </w:tcPr>
          <w:p w14:paraId="62549A45"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10,153</w:t>
            </w:r>
          </w:p>
        </w:tc>
        <w:tc>
          <w:tcPr>
            <w:tcW w:w="968" w:type="pct"/>
            <w:tcBorders>
              <w:top w:val="nil"/>
              <w:left w:val="single" w:sz="4" w:space="0" w:color="979991"/>
              <w:bottom w:val="single" w:sz="4" w:space="0" w:color="979991"/>
              <w:right w:val="nil"/>
            </w:tcBorders>
            <w:shd w:val="clear" w:color="000000" w:fill="FFFFFF"/>
            <w:vAlign w:val="center"/>
            <w:hideMark/>
          </w:tcPr>
          <w:p w14:paraId="62AF3B7B"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5,123</w:t>
            </w:r>
          </w:p>
        </w:tc>
        <w:tc>
          <w:tcPr>
            <w:tcW w:w="968" w:type="pct"/>
            <w:tcBorders>
              <w:top w:val="nil"/>
              <w:left w:val="single" w:sz="4" w:space="0" w:color="979991"/>
              <w:bottom w:val="single" w:sz="4" w:space="0" w:color="979991"/>
              <w:right w:val="nil"/>
            </w:tcBorders>
            <w:shd w:val="clear" w:color="000000" w:fill="FFFFFF"/>
            <w:vAlign w:val="center"/>
            <w:hideMark/>
          </w:tcPr>
          <w:p w14:paraId="7789C588"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5,348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7B6BE92A"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9,354</w:t>
            </w:r>
          </w:p>
        </w:tc>
      </w:tr>
      <w:tr w:rsidR="00514D5A" w:rsidRPr="00514D5A" w14:paraId="6C0DF652" w14:textId="77777777" w:rsidTr="00514D5A">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771F715"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681301</w:t>
            </w:r>
          </w:p>
        </w:tc>
        <w:tc>
          <w:tcPr>
            <w:tcW w:w="1111" w:type="pct"/>
            <w:tcBorders>
              <w:top w:val="nil"/>
              <w:left w:val="single" w:sz="4" w:space="0" w:color="979991"/>
              <w:bottom w:val="single" w:sz="4" w:space="0" w:color="979991"/>
              <w:right w:val="nil"/>
            </w:tcBorders>
            <w:shd w:val="clear" w:color="000000" w:fill="FFFFFF"/>
            <w:vAlign w:val="center"/>
            <w:hideMark/>
          </w:tcPr>
          <w:p w14:paraId="2A20A8F0"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38,996</w:t>
            </w:r>
          </w:p>
        </w:tc>
        <w:tc>
          <w:tcPr>
            <w:tcW w:w="968" w:type="pct"/>
            <w:tcBorders>
              <w:top w:val="nil"/>
              <w:left w:val="single" w:sz="4" w:space="0" w:color="979991"/>
              <w:bottom w:val="single" w:sz="4" w:space="0" w:color="979991"/>
              <w:right w:val="nil"/>
            </w:tcBorders>
            <w:shd w:val="clear" w:color="000000" w:fill="FFFFFF"/>
            <w:vAlign w:val="center"/>
            <w:hideMark/>
          </w:tcPr>
          <w:p w14:paraId="41FDBD87"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5,706</w:t>
            </w:r>
          </w:p>
        </w:tc>
        <w:tc>
          <w:tcPr>
            <w:tcW w:w="968" w:type="pct"/>
            <w:tcBorders>
              <w:top w:val="nil"/>
              <w:left w:val="single" w:sz="4" w:space="0" w:color="979991"/>
              <w:bottom w:val="single" w:sz="4" w:space="0" w:color="979991"/>
              <w:right w:val="nil"/>
            </w:tcBorders>
            <w:shd w:val="clear" w:color="000000" w:fill="FFFFFF"/>
            <w:vAlign w:val="center"/>
            <w:hideMark/>
          </w:tcPr>
          <w:p w14:paraId="3E5CC2AE"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8,510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7A55080" w14:textId="77777777" w:rsidR="00514D5A" w:rsidRPr="00514D5A" w:rsidRDefault="00514D5A" w:rsidP="00514D5A">
            <w:pPr>
              <w:overflowPunct/>
              <w:autoSpaceDE/>
              <w:autoSpaceDN/>
              <w:bidi w:val="0"/>
              <w:adjustRightInd/>
              <w:jc w:val="center"/>
              <w:textAlignment w:val="auto"/>
              <w:rPr>
                <w:rFonts w:ascii="Calibri" w:hAnsi="Calibri" w:cs="Calibri"/>
                <w:color w:val="000000"/>
                <w:sz w:val="16"/>
                <w:szCs w:val="16"/>
                <w:lang w:eastAsia="en-US"/>
              </w:rPr>
            </w:pPr>
            <w:r w:rsidRPr="00514D5A">
              <w:rPr>
                <w:rFonts w:ascii="Calibri" w:hAnsi="Calibri" w:cs="Calibri"/>
                <w:color w:val="000000"/>
                <w:sz w:val="16"/>
                <w:szCs w:val="16"/>
                <w:lang w:eastAsia="en-US"/>
              </w:rPr>
              <w:t>6,919</w:t>
            </w:r>
          </w:p>
        </w:tc>
      </w:tr>
    </w:tbl>
    <w:p w14:paraId="794E4FDD" w14:textId="77777777" w:rsidR="00514D5A" w:rsidRPr="00514D5A" w:rsidRDefault="00514D5A" w:rsidP="00514D5A">
      <w:pPr>
        <w:jc w:val="center"/>
        <w:rPr>
          <w:rFonts w:cs="FrankRuehl"/>
          <w:b/>
          <w:bCs/>
          <w:sz w:val="26"/>
          <w:szCs w:val="26"/>
          <w:rtl/>
        </w:rPr>
      </w:pPr>
    </w:p>
    <w:sectPr w:rsidR="00514D5A" w:rsidRPr="00514D5A"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4A78C" w14:textId="77777777" w:rsidR="00992392" w:rsidRDefault="00992392" w:rsidP="00A32326">
      <w:r>
        <w:separator/>
      </w:r>
    </w:p>
  </w:endnote>
  <w:endnote w:type="continuationSeparator" w:id="0">
    <w:p w14:paraId="029F285B" w14:textId="77777777" w:rsidR="00992392" w:rsidRDefault="00992392"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8CA35"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E0280"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C9E1"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F0BBB" w14:textId="77777777" w:rsidR="00992392" w:rsidRDefault="00992392" w:rsidP="00A32326">
      <w:r>
        <w:separator/>
      </w:r>
    </w:p>
  </w:footnote>
  <w:footnote w:type="continuationSeparator" w:id="0">
    <w:p w14:paraId="6F4223A8" w14:textId="77777777" w:rsidR="00992392" w:rsidRDefault="00992392"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0104"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82690" w14:textId="77777777" w:rsidR="00A32326" w:rsidRPr="00CB5FFD" w:rsidRDefault="00992392" w:rsidP="00A32326">
    <w:pPr>
      <w:pStyle w:val="a4"/>
      <w:jc w:val="right"/>
      <w:rPr>
        <w:color w:val="4F81BD"/>
        <w:rtl/>
        <w:cs/>
      </w:rPr>
    </w:pPr>
    <w:r>
      <w:rPr>
        <w:noProof/>
        <w:rtl/>
      </w:rPr>
      <w:pict w14:anchorId="58C75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671C4F55" w14:textId="77777777" w:rsidR="00A32326" w:rsidRPr="00CB5FFD" w:rsidRDefault="00A32326" w:rsidP="00A32326">
    <w:pPr>
      <w:pStyle w:val="a4"/>
      <w:jc w:val="right"/>
      <w:rPr>
        <w:color w:val="4F81BD"/>
        <w:rtl/>
        <w:cs/>
      </w:rPr>
    </w:pPr>
  </w:p>
  <w:p w14:paraId="441C54CF" w14:textId="77777777" w:rsidR="00A32326" w:rsidRDefault="00A32326" w:rsidP="00A32326">
    <w:pPr>
      <w:pStyle w:val="a4"/>
    </w:pPr>
  </w:p>
  <w:p w14:paraId="0DEE5661"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FA1E"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131A64"/>
    <w:rsid w:val="003371C4"/>
    <w:rsid w:val="003D49F5"/>
    <w:rsid w:val="00411078"/>
    <w:rsid w:val="00507569"/>
    <w:rsid w:val="0051496B"/>
    <w:rsid w:val="00514D5A"/>
    <w:rsid w:val="00596B46"/>
    <w:rsid w:val="007332A2"/>
    <w:rsid w:val="0096594F"/>
    <w:rsid w:val="00992392"/>
    <w:rsid w:val="009E3253"/>
    <w:rsid w:val="00A14A9C"/>
    <w:rsid w:val="00A32326"/>
    <w:rsid w:val="00A51CFB"/>
    <w:rsid w:val="00A6761F"/>
    <w:rsid w:val="00AC0FB8"/>
    <w:rsid w:val="00BE74E8"/>
    <w:rsid w:val="00C81BEB"/>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646C68E"/>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807</Words>
  <Characters>4039</Characters>
  <Application>Microsoft Office Word</Application>
  <DocSecurity>0</DocSecurity>
  <Lines>33</Lines>
  <Paragraphs>9</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2026-04-28T12:22:00Z</dcterms:created>
  <dcterms:modified xsi:type="dcterms:W3CDTF">2026-04-28T13:13:00Z</dcterms:modified>
</cp:coreProperties>
</file>