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4AE8" w14:textId="77777777" w:rsidR="0051496B" w:rsidRDefault="0051496B">
      <w:pPr>
        <w:pStyle w:val="a7"/>
        <w:rPr>
          <w:rtl/>
        </w:rPr>
      </w:pPr>
      <w:r>
        <w:rPr>
          <w:rtl/>
        </w:rPr>
        <w:t>מדינת ישראל</w:t>
      </w:r>
    </w:p>
    <w:p w14:paraId="07756C0B" w14:textId="77777777" w:rsidR="0051496B" w:rsidRDefault="0051496B">
      <w:pPr>
        <w:pStyle w:val="a7"/>
        <w:rPr>
          <w:rtl/>
        </w:rPr>
      </w:pPr>
      <w:r>
        <w:rPr>
          <w:rtl/>
        </w:rPr>
        <w:t>האוצר - אגף התקציבים</w:t>
      </w:r>
    </w:p>
    <w:p w14:paraId="3EBE9998" w14:textId="77777777" w:rsidR="0051496B" w:rsidRDefault="0051496B">
      <w:pPr>
        <w:rPr>
          <w:rtl/>
        </w:rPr>
      </w:pPr>
    </w:p>
    <w:p w14:paraId="31172D84" w14:textId="77777777" w:rsidR="0051496B" w:rsidRDefault="0051496B">
      <w:pPr>
        <w:rPr>
          <w:rtl/>
        </w:rPr>
      </w:pPr>
    </w:p>
    <w:p w14:paraId="6139FDDD" w14:textId="77777777" w:rsidR="0051496B" w:rsidRPr="000A3FA0" w:rsidRDefault="0051496B">
      <w:pPr>
        <w:tabs>
          <w:tab w:val="left" w:pos="6300"/>
        </w:tabs>
        <w:rPr>
          <w:rFonts w:cs="FrankRuehl"/>
          <w:sz w:val="26"/>
          <w:szCs w:val="26"/>
          <w:rtl/>
        </w:rPr>
      </w:pPr>
      <w:r>
        <w:rPr>
          <w:rtl/>
        </w:rPr>
        <w:tab/>
      </w:r>
      <w:bookmarkStart w:id="0" w:name="TAKZIV8"/>
      <w:bookmarkEnd w:id="0"/>
    </w:p>
    <w:p w14:paraId="08CCEA1F"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383E4AC7"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48C791E1" w14:textId="55C1FB27"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CE694F">
        <w:rPr>
          <w:rFonts w:cs="FrankRuehl"/>
          <w:sz w:val="26"/>
          <w:szCs w:val="26"/>
          <w:rtl/>
        </w:rPr>
        <w:t>202</w:t>
      </w:r>
      <w:bookmarkEnd w:id="2"/>
      <w:r w:rsidRPr="000A3FA0">
        <w:rPr>
          <w:rFonts w:cs="FrankRuehl"/>
          <w:sz w:val="26"/>
          <w:szCs w:val="26"/>
          <w:rtl/>
        </w:rPr>
        <w:t xml:space="preserve"> - </w:t>
      </w:r>
      <w:bookmarkStart w:id="3" w:name="TAKZIV3"/>
      <w:r w:rsidR="00CE694F">
        <w:rPr>
          <w:rFonts w:cs="FrankRuehl"/>
          <w:sz w:val="26"/>
          <w:szCs w:val="26"/>
          <w:rtl/>
        </w:rPr>
        <w:t>54</w:t>
      </w:r>
      <w:bookmarkEnd w:id="3"/>
    </w:p>
    <w:p w14:paraId="2B34398F"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D90EE1B"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C0B3C68" w14:textId="77777777" w:rsidR="0051496B" w:rsidRPr="000A3FA0" w:rsidRDefault="0051496B">
      <w:pPr>
        <w:rPr>
          <w:rFonts w:cs="FrankRuehl"/>
          <w:sz w:val="26"/>
          <w:szCs w:val="26"/>
          <w:rtl/>
        </w:rPr>
      </w:pPr>
      <w:r w:rsidRPr="000A3FA0">
        <w:rPr>
          <w:rFonts w:cs="FrankRuehl"/>
          <w:sz w:val="26"/>
          <w:szCs w:val="26"/>
          <w:rtl/>
        </w:rPr>
        <w:t>לכבוד,</w:t>
      </w:r>
    </w:p>
    <w:p w14:paraId="261916E8" w14:textId="77777777" w:rsidR="0051496B" w:rsidRPr="000A3FA0" w:rsidRDefault="0051496B">
      <w:pPr>
        <w:rPr>
          <w:rFonts w:cs="FrankRuehl"/>
          <w:sz w:val="26"/>
          <w:szCs w:val="26"/>
          <w:rtl/>
        </w:rPr>
      </w:pPr>
      <w:r w:rsidRPr="000A3FA0">
        <w:rPr>
          <w:rFonts w:cs="FrankRuehl"/>
          <w:sz w:val="26"/>
          <w:szCs w:val="26"/>
          <w:rtl/>
        </w:rPr>
        <w:t>יו"ר ועדת הכספים</w:t>
      </w:r>
    </w:p>
    <w:p w14:paraId="2B9093CE" w14:textId="77777777" w:rsidR="0051496B" w:rsidRPr="000A3FA0" w:rsidRDefault="0051496B">
      <w:pPr>
        <w:rPr>
          <w:rFonts w:cs="FrankRuehl"/>
          <w:sz w:val="26"/>
          <w:szCs w:val="26"/>
          <w:rtl/>
        </w:rPr>
      </w:pPr>
      <w:r w:rsidRPr="000A3FA0">
        <w:rPr>
          <w:rFonts w:cs="FrankRuehl"/>
          <w:sz w:val="26"/>
          <w:szCs w:val="26"/>
          <w:rtl/>
        </w:rPr>
        <w:t>הכנסת</w:t>
      </w:r>
    </w:p>
    <w:p w14:paraId="64831149" w14:textId="77777777" w:rsidR="0051496B" w:rsidRPr="000A3FA0" w:rsidRDefault="0051496B">
      <w:pPr>
        <w:rPr>
          <w:rFonts w:cs="FrankRuehl"/>
          <w:sz w:val="26"/>
          <w:szCs w:val="26"/>
          <w:rtl/>
        </w:rPr>
      </w:pPr>
    </w:p>
    <w:p w14:paraId="133B1A5A" w14:textId="77777777" w:rsidR="0051496B" w:rsidRPr="000A3FA0" w:rsidRDefault="0051496B">
      <w:pPr>
        <w:rPr>
          <w:rFonts w:cs="FrankRuehl"/>
          <w:sz w:val="26"/>
          <w:szCs w:val="26"/>
          <w:rtl/>
        </w:rPr>
      </w:pPr>
      <w:r w:rsidRPr="000A3FA0">
        <w:rPr>
          <w:rFonts w:cs="FrankRuehl"/>
          <w:sz w:val="26"/>
          <w:szCs w:val="26"/>
          <w:rtl/>
        </w:rPr>
        <w:t>א.נ.,</w:t>
      </w:r>
    </w:p>
    <w:p w14:paraId="5D6EB9B2" w14:textId="77777777" w:rsidR="0051496B" w:rsidRPr="000A3FA0" w:rsidRDefault="0051496B">
      <w:pPr>
        <w:rPr>
          <w:rFonts w:cs="FrankRuehl"/>
          <w:sz w:val="26"/>
          <w:szCs w:val="26"/>
          <w:rtl/>
        </w:rPr>
      </w:pPr>
    </w:p>
    <w:p w14:paraId="7BD6DB0B" w14:textId="7D0B6796"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CE694F">
        <w:rPr>
          <w:rFonts w:cs="FrankRuehl"/>
          <w:sz w:val="26"/>
          <w:rtl/>
        </w:rPr>
        <w:t>2026</w:t>
      </w:r>
      <w:bookmarkEnd w:id="5"/>
      <w:r w:rsidRPr="000A3FA0">
        <w:rPr>
          <w:rFonts w:cs="FrankRuehl"/>
          <w:sz w:val="26"/>
          <w:rtl/>
        </w:rPr>
        <w:t xml:space="preserve">     </w:t>
      </w:r>
    </w:p>
    <w:p w14:paraId="7C9E3F16" w14:textId="77777777" w:rsidR="0051496B" w:rsidRPr="000A3FA0" w:rsidRDefault="0051496B" w:rsidP="00A6761F">
      <w:pPr>
        <w:jc w:val="both"/>
        <w:rPr>
          <w:rFonts w:cs="FrankRuehl"/>
          <w:sz w:val="26"/>
          <w:szCs w:val="26"/>
          <w:rtl/>
        </w:rPr>
      </w:pPr>
    </w:p>
    <w:p w14:paraId="07B1726F" w14:textId="5A1887F3" w:rsidR="0051496B" w:rsidRPr="000A3FA0" w:rsidRDefault="0051496B" w:rsidP="00AB00AA">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CE694F">
        <w:rPr>
          <w:rFonts w:cs="FrankRuehl"/>
          <w:sz w:val="26"/>
          <w:szCs w:val="26"/>
          <w:rtl/>
        </w:rPr>
        <w:t>495,325</w:t>
      </w:r>
      <w:bookmarkEnd w:id="6"/>
      <w:r w:rsidRPr="000A3FA0">
        <w:rPr>
          <w:rFonts w:cs="FrankRuehl"/>
          <w:sz w:val="26"/>
          <w:szCs w:val="26"/>
          <w:rtl/>
        </w:rPr>
        <w:t xml:space="preserve"> אלפי שקלים חדשים מסעיף </w:t>
      </w:r>
      <w:bookmarkStart w:id="7" w:name="TAKZIV3_1"/>
      <w:r w:rsidR="00CE694F">
        <w:rPr>
          <w:rFonts w:cs="FrankRuehl"/>
          <w:sz w:val="26"/>
          <w:szCs w:val="26"/>
          <w:rtl/>
        </w:rPr>
        <w:t>54</w:t>
      </w:r>
      <w:bookmarkEnd w:id="7"/>
      <w:r w:rsidRPr="000A3FA0">
        <w:rPr>
          <w:rFonts w:cs="FrankRuehl"/>
          <w:sz w:val="26"/>
          <w:szCs w:val="26"/>
          <w:rtl/>
        </w:rPr>
        <w:t xml:space="preserve"> - </w:t>
      </w:r>
      <w:bookmarkStart w:id="8" w:name="TAKZIV6_2"/>
      <w:r w:rsidR="00CE694F">
        <w:rPr>
          <w:rFonts w:cs="FrankRuehl"/>
          <w:sz w:val="26"/>
          <w:szCs w:val="26"/>
          <w:rtl/>
        </w:rPr>
        <w:t>רשויות פיקוח</w:t>
      </w:r>
      <w:bookmarkEnd w:id="8"/>
      <w:r w:rsidRPr="000A3FA0">
        <w:rPr>
          <w:rFonts w:cs="FrankRuehl"/>
          <w:sz w:val="26"/>
          <w:szCs w:val="26"/>
          <w:rtl/>
        </w:rPr>
        <w:t xml:space="preserve"> משנת הכספים </w:t>
      </w:r>
      <w:bookmarkStart w:id="9" w:name="TAKZIV2_1"/>
      <w:r w:rsidR="00CE694F">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CE694F">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AB00AA">
        <w:rPr>
          <w:rFonts w:cs="FrankRuehl" w:hint="cs"/>
          <w:sz w:val="26"/>
          <w:szCs w:val="26"/>
          <w:rtl/>
        </w:rPr>
        <w:t xml:space="preserve"> </w:t>
      </w:r>
      <w:r w:rsidRPr="000A3FA0">
        <w:rPr>
          <w:rFonts w:cs="FrankRuehl"/>
          <w:sz w:val="26"/>
          <w:szCs w:val="26"/>
          <w:rtl/>
        </w:rPr>
        <w:t>כמפורט בתדפיס המצורף בזה.</w:t>
      </w:r>
    </w:p>
    <w:p w14:paraId="69470922" w14:textId="4FEC509E" w:rsidR="007332A2" w:rsidRDefault="007332A2" w:rsidP="00AB00AA">
      <w:pPr>
        <w:jc w:val="both"/>
        <w:rPr>
          <w:rFonts w:cs="FrankRuehl"/>
          <w:sz w:val="26"/>
          <w:szCs w:val="26"/>
          <w:rtl/>
        </w:rPr>
      </w:pPr>
    </w:p>
    <w:p w14:paraId="37DDAFBD" w14:textId="4EABC68B" w:rsidR="00AB00AA" w:rsidRDefault="00AB00AA" w:rsidP="00AB00AA">
      <w:pPr>
        <w:jc w:val="both"/>
        <w:rPr>
          <w:rFonts w:cs="FrankRuehl"/>
          <w:sz w:val="26"/>
          <w:szCs w:val="26"/>
          <w:rtl/>
        </w:rPr>
      </w:pPr>
    </w:p>
    <w:p w14:paraId="3CB59D5F" w14:textId="5F43B4D3" w:rsidR="00AB00AA" w:rsidRDefault="00AB00AA" w:rsidP="00AB00AA">
      <w:pPr>
        <w:contextualSpacing/>
        <w:jc w:val="both"/>
        <w:rPr>
          <w:rFonts w:ascii="FrankRuehl" w:hAnsi="FrankRuehl" w:cs="FrankRuehl"/>
          <w:b/>
          <w:bCs/>
          <w:sz w:val="26"/>
          <w:szCs w:val="26"/>
          <w:lang w:eastAsia="en-US"/>
        </w:rPr>
      </w:pPr>
      <w:r>
        <w:rPr>
          <w:rFonts w:ascii="FrankRuehl" w:hAnsi="FrankRuehl" w:cs="FrankRuehl"/>
          <w:b/>
          <w:bCs/>
          <w:sz w:val="26"/>
          <w:szCs w:val="26"/>
          <w:rtl/>
        </w:rPr>
        <w:t xml:space="preserve">הבקשה דנה בסעיף תקציבי 54 </w:t>
      </w:r>
      <w:r>
        <w:rPr>
          <w:rFonts w:ascii="FrankRuehl" w:hAnsi="FrankRuehl" w:cs="FrankRuehl" w:hint="cs"/>
          <w:b/>
          <w:bCs/>
          <w:sz w:val="26"/>
          <w:szCs w:val="26"/>
          <w:rtl/>
        </w:rPr>
        <w:t>-</w:t>
      </w:r>
      <w:r>
        <w:rPr>
          <w:rFonts w:ascii="FrankRuehl" w:hAnsi="FrankRuehl" w:cs="FrankRuehl"/>
          <w:b/>
          <w:bCs/>
          <w:sz w:val="26"/>
          <w:szCs w:val="26"/>
          <w:rtl/>
        </w:rPr>
        <w:t xml:space="preserve"> רשויות פיקוח</w:t>
      </w:r>
    </w:p>
    <w:p w14:paraId="1E6315B0" w14:textId="77777777" w:rsidR="00AB00AA" w:rsidRDefault="00AB00AA" w:rsidP="00AB00AA">
      <w:pPr>
        <w:contextualSpacing/>
        <w:jc w:val="both"/>
        <w:rPr>
          <w:rFonts w:ascii="FrankRuehl" w:hAnsi="FrankRuehl" w:cs="FrankRuehl"/>
          <w:b/>
          <w:bCs/>
          <w:sz w:val="26"/>
          <w:szCs w:val="26"/>
          <w:rtl/>
        </w:rPr>
      </w:pPr>
    </w:p>
    <w:p w14:paraId="5A43C20D" w14:textId="77777777" w:rsidR="00AB00AA" w:rsidRDefault="00AB00AA" w:rsidP="00AB00AA">
      <w:pPr>
        <w:contextualSpacing/>
        <w:jc w:val="both"/>
        <w:rPr>
          <w:rFonts w:ascii="FrankRuehl" w:hAnsi="FrankRuehl" w:cs="FrankRuehl"/>
          <w:b/>
          <w:bCs/>
          <w:sz w:val="26"/>
          <w:szCs w:val="26"/>
        </w:rPr>
      </w:pPr>
      <w:r>
        <w:rPr>
          <w:rFonts w:ascii="FrankRuehl" w:hAnsi="FrankRuehl" w:cs="FrankRuehl"/>
          <w:b/>
          <w:bCs/>
          <w:sz w:val="26"/>
          <w:szCs w:val="26"/>
          <w:rtl/>
        </w:rPr>
        <w:t xml:space="preserve">עיקרי הפניה: </w:t>
      </w:r>
    </w:p>
    <w:p w14:paraId="747840A4" w14:textId="354A2FED" w:rsidR="00AB00AA" w:rsidRDefault="00AB00AA" w:rsidP="00AB00AA">
      <w:pPr>
        <w:contextualSpacing/>
        <w:jc w:val="both"/>
        <w:rPr>
          <w:rFonts w:ascii="FrankRuehl" w:hAnsi="FrankRuehl" w:cs="FrankRuehl"/>
          <w:sz w:val="26"/>
          <w:szCs w:val="26"/>
          <w:rtl/>
        </w:rPr>
      </w:pPr>
      <w:r>
        <w:rPr>
          <w:rFonts w:ascii="FrankRuehl" w:hAnsi="FrankRuehl" w:cs="FrankRuehl"/>
          <w:sz w:val="26"/>
          <w:szCs w:val="26"/>
          <w:rtl/>
        </w:rPr>
        <w:t>הפנייה התקציבית נועדה להעברת עודפים משנת התקציב 2025 לשנת התקציב 2026 בסך של 495,325 אלפי ש"ח בהוצאה, בהתאם לפירוט המובא מטה.</w:t>
      </w:r>
    </w:p>
    <w:p w14:paraId="7A1D67DE" w14:textId="77777777" w:rsidR="00AB00AA" w:rsidRDefault="00AB00AA" w:rsidP="00AB00AA">
      <w:pPr>
        <w:contextualSpacing/>
        <w:jc w:val="both"/>
        <w:rPr>
          <w:rFonts w:ascii="FrankRuehl" w:hAnsi="FrankRuehl" w:cs="FrankRuehl"/>
          <w:sz w:val="26"/>
          <w:szCs w:val="26"/>
          <w:rtl/>
        </w:rPr>
      </w:pPr>
    </w:p>
    <w:p w14:paraId="4454BE33" w14:textId="77777777" w:rsidR="00AB00AA" w:rsidRDefault="00AB00AA" w:rsidP="00AB00AA">
      <w:pPr>
        <w:contextualSpacing/>
        <w:jc w:val="both"/>
        <w:rPr>
          <w:rFonts w:ascii="FrankRuehl" w:hAnsi="FrankRuehl" w:cs="FrankRuehl"/>
          <w:sz w:val="26"/>
          <w:szCs w:val="26"/>
          <w:rtl/>
        </w:rPr>
      </w:pPr>
      <w:r>
        <w:rPr>
          <w:rFonts w:ascii="FrankRuehl" w:hAnsi="FrankRuehl" w:cs="FrankRuehl"/>
          <w:sz w:val="26"/>
          <w:szCs w:val="26"/>
          <w:rtl/>
        </w:rPr>
        <w:t xml:space="preserve">הפנייה התקציבית בחלוקה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מובאת להלן:</w:t>
      </w:r>
    </w:p>
    <w:p w14:paraId="021196A7"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tl/>
        </w:rPr>
      </w:pPr>
      <w:r>
        <w:rPr>
          <w:rFonts w:ascii="FrankRuehl" w:hAnsi="FrankRuehl" w:cs="FrankRuehl"/>
          <w:b/>
          <w:bCs/>
          <w:sz w:val="26"/>
          <w:szCs w:val="26"/>
          <w:rtl/>
        </w:rPr>
        <w:t>תכנית 54-10-02: תפעול רשות התחרות – 5,305 אלפי ש"ח</w:t>
      </w:r>
    </w:p>
    <w:p w14:paraId="77CD3C43" w14:textId="77777777" w:rsidR="00AB00AA" w:rsidRDefault="00AB00AA" w:rsidP="00AB00AA">
      <w:pPr>
        <w:ind w:left="397"/>
        <w:contextualSpacing/>
        <w:jc w:val="both"/>
        <w:rPr>
          <w:rFonts w:ascii="FrankRuehl" w:hAnsi="FrankRuehl" w:cs="FrankRuehl"/>
          <w:b/>
          <w:bCs/>
          <w:sz w:val="26"/>
          <w:szCs w:val="26"/>
          <w:rtl/>
        </w:rPr>
      </w:pP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לתקצוב כלל הוצאות האחזקה והתפעול של המשרד כולל הוצאות שכר דירה, הוצאות חשמל, שירותי מחשוב, שירותי הדרכה, ארנונה, אחזקת </w:t>
      </w:r>
      <w:proofErr w:type="spellStart"/>
      <w:r>
        <w:rPr>
          <w:rFonts w:ascii="FrankRuehl" w:hAnsi="FrankRuehl" w:cs="FrankRuehl"/>
          <w:sz w:val="26"/>
          <w:szCs w:val="26"/>
          <w:rtl/>
        </w:rPr>
        <w:t>רכב.</w:t>
      </w:r>
      <w:r>
        <w:rPr>
          <w:rFonts w:ascii="FrankRuehl" w:hAnsi="FrankRuehl" w:cs="FrankRuehl"/>
          <w:b/>
          <w:bCs/>
          <w:sz w:val="26"/>
          <w:szCs w:val="26"/>
          <w:rtl/>
        </w:rPr>
        <w:t>סיבות</w:t>
      </w:r>
      <w:proofErr w:type="spellEnd"/>
      <w:r>
        <w:rPr>
          <w:rFonts w:ascii="FrankRuehl" w:hAnsi="FrankRuehl" w:cs="FrankRuehl"/>
          <w:b/>
          <w:bCs/>
          <w:sz w:val="26"/>
          <w:szCs w:val="26"/>
          <w:rtl/>
        </w:rPr>
        <w:t xml:space="preserve">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78DCE01" w14:textId="77777777" w:rsidR="00AB00AA" w:rsidRDefault="00AB00AA" w:rsidP="00AB00AA">
      <w:pPr>
        <w:ind w:left="368"/>
        <w:contextualSpacing/>
        <w:jc w:val="both"/>
        <w:rPr>
          <w:rFonts w:ascii="FrankRuehl" w:hAnsi="FrankRuehl" w:cs="FrankRuehl"/>
          <w:sz w:val="26"/>
          <w:szCs w:val="26"/>
        </w:rPr>
      </w:pPr>
      <w:r>
        <w:rPr>
          <w:rFonts w:ascii="FrankRuehl" w:hAnsi="FrankRuehl" w:cs="FrankRuehl"/>
          <w:sz w:val="26"/>
          <w:szCs w:val="26"/>
          <w:rtl/>
        </w:rPr>
        <w:t xml:space="preserve">העודפים בתוכנית התפעול של רשות התחרות נוצרו עקב התחייבויות שנמשכות מעבר לשנה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שדרוג מערכות מחשוב לצרכי חקירה (מערכות </w:t>
      </w:r>
      <w:r>
        <w:rPr>
          <w:rFonts w:ascii="FrankRuehl" w:hAnsi="FrankRuehl" w:cs="FrankRuehl"/>
          <w:sz w:val="26"/>
          <w:szCs w:val="26"/>
        </w:rPr>
        <w:t>BIG DATA</w:t>
      </w:r>
      <w:r>
        <w:rPr>
          <w:rFonts w:ascii="FrankRuehl" w:hAnsi="FrankRuehl" w:cs="FrankRuehl"/>
          <w:sz w:val="26"/>
          <w:szCs w:val="26"/>
          <w:rtl/>
        </w:rPr>
        <w:t xml:space="preserve">, מערכת </w:t>
      </w:r>
      <w:r>
        <w:rPr>
          <w:rFonts w:ascii="FrankRuehl" w:hAnsi="FrankRuehl" w:cs="FrankRuehl"/>
          <w:sz w:val="26"/>
          <w:szCs w:val="26"/>
        </w:rPr>
        <w:t>CRM</w:t>
      </w:r>
      <w:r>
        <w:rPr>
          <w:rFonts w:ascii="FrankRuehl" w:hAnsi="FrankRuehl" w:cs="FrankRuehl"/>
          <w:sz w:val="26"/>
          <w:szCs w:val="26"/>
          <w:rtl/>
        </w:rPr>
        <w:t>), רכש נתונים, החלפת תוכנות ומחשבים, ייעוץ לאבטחת מידע וסייבר ותחזוקת מבנים (שכר דירה, ארנונה, דמי ניהול ואבטחה).</w:t>
      </w:r>
    </w:p>
    <w:p w14:paraId="3624C9EA" w14:textId="77777777" w:rsidR="00AB00AA" w:rsidRDefault="00AB00AA" w:rsidP="00AB00AA">
      <w:pPr>
        <w:ind w:left="368"/>
        <w:contextualSpacing/>
        <w:jc w:val="both"/>
        <w:rPr>
          <w:rFonts w:ascii="FrankRuehl" w:hAnsi="FrankRuehl" w:cs="FrankRuehl"/>
          <w:sz w:val="26"/>
          <w:szCs w:val="26"/>
          <w:rtl/>
        </w:rPr>
      </w:pPr>
    </w:p>
    <w:p w14:paraId="3C62EFC6"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tl/>
        </w:rPr>
      </w:pPr>
      <w:r>
        <w:rPr>
          <w:rFonts w:ascii="FrankRuehl" w:hAnsi="FrankRuehl" w:cs="FrankRuehl"/>
          <w:b/>
          <w:bCs/>
          <w:sz w:val="26"/>
          <w:szCs w:val="26"/>
          <w:rtl/>
        </w:rPr>
        <w:t>תכנית 54-11-02: תפעול הרשות להגנת הצרכן וסחר הוגן – 2,569 אלפי ש"ח</w:t>
      </w:r>
    </w:p>
    <w:p w14:paraId="3A9549A2"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sz w:val="26"/>
          <w:szCs w:val="26"/>
          <w:rtl/>
        </w:rPr>
        <w:t xml:space="preserve">תכנית זו נועדה לתפעול השוטף של הרשות להגנת הצרכן וסחר הוגן: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לתקצוב כלל הוצאות האחזקה והתפעול של המשרד כולל הוצאות שכר דירה, הוצאות חשמל, שירותי מחשוב, שירותי הדרכה, ארנונה, אחזקת רכב.</w:t>
      </w:r>
    </w:p>
    <w:p w14:paraId="0C36A95E"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80C22A3" w14:textId="77777777" w:rsidR="00AB00AA" w:rsidRDefault="00AB00AA" w:rsidP="00AB00AA">
      <w:pPr>
        <w:tabs>
          <w:tab w:val="center" w:pos="6867"/>
        </w:tabs>
        <w:ind w:left="397"/>
        <w:contextualSpacing/>
        <w:jc w:val="both"/>
        <w:rPr>
          <w:rFonts w:cs="FrankRuehl"/>
          <w:sz w:val="26"/>
          <w:szCs w:val="26"/>
        </w:rPr>
      </w:pPr>
      <w:r>
        <w:rPr>
          <w:rFonts w:ascii="FrankRuehl" w:hAnsi="FrankRuehl" w:cs="FrankRuehl"/>
          <w:sz w:val="26"/>
          <w:szCs w:val="26"/>
          <w:rtl/>
        </w:rPr>
        <w:t xml:space="preserve">העודפים בתוכנית התפעול של הרשות להגנת הצרכן ולסחר הוגן נוצרו עקב התחייבויות שנמשכות מעבר לשנה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שירותי מחשוב ותקשורת ליחידה (רישיונות תוכנה, רכש מחשבים ניידים, קווי אינטרנט, שרתים וטלפוניה), תחזוקת מבנים (שכר דירה, ארנונה, שירותי אחזקה, השכרת חניות וחשמל), שירותי ייעוץ (עבודה לאכיפת שקיפות המחירים באתרי הרשתות הקמעונאיות, עבודות כלכליות וסקרים). התקשרויות חוצות שנים – הזמנות שהחלו בשנה הנוכחית אך השירות או האספקה בפועל ממשיכים גם לשנה הבאה, ולכן התשלום נדחה בהתאם.</w:t>
      </w:r>
    </w:p>
    <w:p w14:paraId="471B5C9E" w14:textId="77777777" w:rsidR="00AB00AA" w:rsidRDefault="00AB00AA" w:rsidP="00AB00AA">
      <w:pPr>
        <w:tabs>
          <w:tab w:val="center" w:pos="6867"/>
        </w:tabs>
        <w:ind w:left="397"/>
        <w:contextualSpacing/>
        <w:jc w:val="both"/>
        <w:rPr>
          <w:rFonts w:cs="FrankRuehl"/>
          <w:sz w:val="26"/>
          <w:szCs w:val="26"/>
          <w:rtl/>
        </w:rPr>
      </w:pPr>
    </w:p>
    <w:p w14:paraId="7499967C" w14:textId="5526A882" w:rsidR="00AB00AA" w:rsidRDefault="00AB00AA" w:rsidP="00AB00AA">
      <w:pPr>
        <w:tabs>
          <w:tab w:val="center" w:pos="6867"/>
        </w:tabs>
        <w:ind w:left="397"/>
        <w:contextualSpacing/>
        <w:jc w:val="both"/>
        <w:rPr>
          <w:rFonts w:cs="FrankRuehl"/>
          <w:sz w:val="26"/>
          <w:szCs w:val="26"/>
          <w:rtl/>
        </w:rPr>
      </w:pPr>
      <w:r>
        <w:rPr>
          <w:rFonts w:cs="FrankRuehl"/>
          <w:sz w:val="26"/>
          <w:szCs w:val="26"/>
          <w:rtl/>
        </w:rPr>
        <w:tab/>
      </w:r>
    </w:p>
    <w:p w14:paraId="432F19FE"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Pr>
      </w:pPr>
      <w:r>
        <w:rPr>
          <w:rFonts w:ascii="FrankRuehl" w:hAnsi="FrankRuehl" w:cs="FrankRuehl"/>
          <w:b/>
          <w:bCs/>
          <w:sz w:val="26"/>
          <w:szCs w:val="26"/>
          <w:rtl/>
        </w:rPr>
        <w:lastRenderedPageBreak/>
        <w:t xml:space="preserve">תכנית 54-30-01: שכר ופעולות </w:t>
      </w:r>
      <w:r>
        <w:rPr>
          <w:rFonts w:ascii="FrankRuehl" w:hAnsi="FrankRuehl" w:cs="FrankRuehl"/>
          <w:b/>
          <w:bCs/>
          <w:sz w:val="26"/>
          <w:szCs w:val="26"/>
        </w:rPr>
        <w:t>–</w:t>
      </w:r>
      <w:r>
        <w:rPr>
          <w:rFonts w:ascii="FrankRuehl" w:hAnsi="FrankRuehl" w:cs="FrankRuehl"/>
          <w:b/>
          <w:bCs/>
          <w:sz w:val="26"/>
          <w:szCs w:val="26"/>
          <w:rtl/>
        </w:rPr>
        <w:t xml:space="preserve">  7,768 אלפי ש"ח</w:t>
      </w:r>
    </w:p>
    <w:p w14:paraId="0105045D" w14:textId="77777777" w:rsidR="00AB00AA" w:rsidRDefault="00AB00AA" w:rsidP="00AB00AA">
      <w:pPr>
        <w:ind w:left="397"/>
        <w:contextualSpacing/>
        <w:jc w:val="both"/>
        <w:rPr>
          <w:rFonts w:ascii="FrankRuehl" w:hAnsi="FrankRuehl" w:cs="FrankRuehl"/>
          <w:sz w:val="26"/>
          <w:szCs w:val="26"/>
          <w:rtl/>
        </w:rPr>
      </w:pPr>
      <w:r>
        <w:rPr>
          <w:rFonts w:ascii="FrankRuehl" w:hAnsi="FrankRuehl" w:cs="FrankRuehl"/>
          <w:sz w:val="26"/>
          <w:szCs w:val="26"/>
          <w:rtl/>
        </w:rPr>
        <w:t xml:space="preserve">התוכנית מתקצבת את הוצאות השכר, התפעול והפעולות של רשות החשמל, העוסקת באסדרה ובפיקוח על משק החשמל בהתאם לחוק משק החשמל ולחוק החשמל. </w:t>
      </w:r>
    </w:p>
    <w:p w14:paraId="38850428"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1FD37FD" w14:textId="77777777" w:rsidR="00AB00AA" w:rsidRDefault="00AB00AA" w:rsidP="00AB00AA">
      <w:pPr>
        <w:ind w:left="397"/>
        <w:contextualSpacing/>
        <w:jc w:val="both"/>
        <w:rPr>
          <w:rFonts w:ascii="FrankRuehl" w:hAnsi="FrankRuehl" w:cs="FrankRuehl"/>
          <w:sz w:val="26"/>
          <w:szCs w:val="26"/>
        </w:rPr>
      </w:pPr>
      <w:r>
        <w:rPr>
          <w:rFonts w:ascii="FrankRuehl" w:hAnsi="FrankRuehl" w:cs="FrankRuehl"/>
          <w:sz w:val="26"/>
          <w:szCs w:val="26"/>
          <w:rtl/>
        </w:rPr>
        <w:t xml:space="preserve">העודפים הם בגין התקשרויות לתפעול השוטף של המשרד ושירותי יעוץ מקצועי אשר לא הסתיימו במהלך השנה </w:t>
      </w:r>
      <w:proofErr w:type="spellStart"/>
      <w:r>
        <w:rPr>
          <w:rFonts w:ascii="FrankRuehl" w:hAnsi="FrankRuehl" w:cs="FrankRuehl"/>
          <w:sz w:val="26"/>
          <w:szCs w:val="26"/>
          <w:rtl/>
        </w:rPr>
        <w:t>הקלנדרית</w:t>
      </w:r>
      <w:proofErr w:type="spellEnd"/>
      <w:r>
        <w:rPr>
          <w:rFonts w:ascii="FrankRuehl" w:hAnsi="FrankRuehl" w:cs="FrankRuehl"/>
          <w:sz w:val="26"/>
          <w:szCs w:val="26"/>
          <w:rtl/>
        </w:rPr>
        <w:t>. התקשרויות אלו חוצות שנה ולפיכך נוצרים עודפים.</w:t>
      </w:r>
    </w:p>
    <w:p w14:paraId="4A59D8D3" w14:textId="77777777" w:rsidR="00AB00AA" w:rsidRDefault="00AB00AA" w:rsidP="00AB00AA">
      <w:pPr>
        <w:ind w:left="720"/>
        <w:contextualSpacing/>
        <w:jc w:val="both"/>
        <w:rPr>
          <w:rFonts w:ascii="FrankRuehl" w:hAnsi="FrankRuehl" w:cs="FrankRuehl"/>
          <w:sz w:val="26"/>
          <w:szCs w:val="26"/>
        </w:rPr>
      </w:pPr>
    </w:p>
    <w:p w14:paraId="73DFF06A"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Pr>
      </w:pPr>
      <w:r>
        <w:rPr>
          <w:rFonts w:ascii="FrankRuehl" w:hAnsi="FrankRuehl" w:cs="FrankRuehl"/>
          <w:b/>
          <w:bCs/>
          <w:sz w:val="26"/>
          <w:szCs w:val="26"/>
          <w:rtl/>
        </w:rPr>
        <w:t xml:space="preserve">תכנית 54-31-02: רשות הגז </w:t>
      </w:r>
      <w:r>
        <w:rPr>
          <w:rFonts w:ascii="FrankRuehl" w:hAnsi="FrankRuehl" w:cs="FrankRuehl"/>
          <w:b/>
          <w:bCs/>
          <w:sz w:val="26"/>
          <w:szCs w:val="26"/>
        </w:rPr>
        <w:t>–</w:t>
      </w:r>
      <w:r>
        <w:rPr>
          <w:rFonts w:ascii="FrankRuehl" w:hAnsi="FrankRuehl" w:cs="FrankRuehl"/>
          <w:b/>
          <w:bCs/>
          <w:sz w:val="26"/>
          <w:szCs w:val="26"/>
          <w:rtl/>
        </w:rPr>
        <w:t xml:space="preserve"> הוצאות תפעול ופעילות </w:t>
      </w:r>
      <w:r>
        <w:rPr>
          <w:rFonts w:ascii="FrankRuehl" w:hAnsi="FrankRuehl" w:cs="FrankRuehl"/>
          <w:b/>
          <w:bCs/>
          <w:sz w:val="26"/>
          <w:szCs w:val="26"/>
        </w:rPr>
        <w:t>–</w:t>
      </w:r>
      <w:r>
        <w:rPr>
          <w:rFonts w:ascii="FrankRuehl" w:hAnsi="FrankRuehl" w:cs="FrankRuehl"/>
          <w:b/>
          <w:bCs/>
          <w:sz w:val="26"/>
          <w:szCs w:val="26"/>
          <w:rtl/>
        </w:rPr>
        <w:t xml:space="preserve"> 36,694 אלפי ש"ח</w:t>
      </w:r>
    </w:p>
    <w:p w14:paraId="71170392" w14:textId="77777777" w:rsidR="00AB00AA" w:rsidRDefault="00AB00AA" w:rsidP="00AB00AA">
      <w:pPr>
        <w:ind w:left="397"/>
        <w:contextualSpacing/>
        <w:jc w:val="both"/>
        <w:rPr>
          <w:rFonts w:ascii="FrankRuehl" w:hAnsi="FrankRuehl" w:cs="FrankRuehl"/>
          <w:sz w:val="26"/>
          <w:szCs w:val="26"/>
        </w:rPr>
      </w:pP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מתוקצבות פעולות רשות הגז הטבעי, כולל תפעול שוטף, ייעוץ מקצועי, פיקוח על בניית מערכות הגז הטבעי, מענקים לקידום הקמת רשת החלוקה ופעילות בתחום המשפטי. </w:t>
      </w:r>
    </w:p>
    <w:p w14:paraId="1AF0FBFE"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9FFEDCE" w14:textId="77777777" w:rsidR="00AB00AA" w:rsidRDefault="00AB00AA" w:rsidP="00AB00AA">
      <w:pPr>
        <w:ind w:left="397"/>
        <w:contextualSpacing/>
        <w:jc w:val="both"/>
        <w:rPr>
          <w:rFonts w:ascii="FrankRuehl" w:hAnsi="FrankRuehl" w:cs="FrankRuehl"/>
          <w:sz w:val="26"/>
          <w:szCs w:val="26"/>
        </w:rPr>
      </w:pPr>
      <w:r>
        <w:rPr>
          <w:rFonts w:ascii="FrankRuehl" w:hAnsi="FrankRuehl" w:cs="FrankRuehl"/>
          <w:sz w:val="26"/>
          <w:szCs w:val="26"/>
          <w:rtl/>
        </w:rPr>
        <w:t xml:space="preserve">העודפים הם בגין התקשרויות ייעוץ מקצועי שוטף לסקירה ומעקב אחרי התפקוד השוטף של משק הגז, יועצים לביצוע עבודות פיקוח על הקמת מערכות הגז הטבעי ותשתית חלוקה הגז, עודפים בגין התקשרויות בתחום התפעול. התקשרויות אלה הן חוצות 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ולפיכך נוצרו 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מרבית העודפים מיועדים לחיבור בתי חולים לגז, תהליך שאורך מספר שנים, ולתמיכה במכרזי חלוקת גז, לפי אבני דרך, ולכן אורך מספר שנים עד לסיום חלוקת התמיכות.</w:t>
      </w:r>
    </w:p>
    <w:p w14:paraId="5A52C9F5" w14:textId="77777777" w:rsidR="00AB00AA" w:rsidRDefault="00AB00AA" w:rsidP="00AB00AA">
      <w:pPr>
        <w:ind w:left="397"/>
        <w:contextualSpacing/>
        <w:jc w:val="both"/>
        <w:rPr>
          <w:rFonts w:ascii="FrankRuehl" w:hAnsi="FrankRuehl" w:cs="FrankRuehl"/>
          <w:sz w:val="26"/>
          <w:szCs w:val="26"/>
          <w:rtl/>
        </w:rPr>
      </w:pPr>
    </w:p>
    <w:p w14:paraId="351A98D7" w14:textId="77777777" w:rsidR="00AB00AA" w:rsidRDefault="00AB00AA" w:rsidP="00AB00AA">
      <w:pPr>
        <w:numPr>
          <w:ilvl w:val="0"/>
          <w:numId w:val="1"/>
        </w:numPr>
        <w:overflowPunct/>
        <w:contextualSpacing/>
        <w:jc w:val="both"/>
        <w:textAlignment w:val="auto"/>
        <w:rPr>
          <w:rFonts w:cs="FrankRuehl"/>
          <w:b/>
          <w:bCs/>
          <w:sz w:val="26"/>
          <w:szCs w:val="26"/>
          <w:rtl/>
        </w:rPr>
      </w:pPr>
      <w:r>
        <w:rPr>
          <w:rFonts w:cs="FrankRuehl"/>
          <w:b/>
          <w:bCs/>
          <w:sz w:val="26"/>
          <w:szCs w:val="26"/>
          <w:rtl/>
        </w:rPr>
        <w:t>54-33-02 - מנהל התכנון – פעולות – 34,846  אלפי ש"ח</w:t>
      </w:r>
    </w:p>
    <w:p w14:paraId="58664BF7" w14:textId="77777777" w:rsidR="00AB00AA" w:rsidRDefault="00AB00AA" w:rsidP="00AB00AA">
      <w:pPr>
        <w:ind w:left="397"/>
        <w:contextualSpacing/>
        <w:jc w:val="both"/>
        <w:rPr>
          <w:rFonts w:cs="FrankRuehl"/>
          <w:sz w:val="26"/>
          <w:szCs w:val="26"/>
        </w:rPr>
      </w:pPr>
      <w:r>
        <w:rPr>
          <w:rFonts w:cs="FrankRuehl"/>
          <w:b/>
          <w:bCs/>
          <w:sz w:val="26"/>
          <w:szCs w:val="26"/>
          <w:rtl/>
        </w:rPr>
        <w:t xml:space="preserve">תיאור </w:t>
      </w:r>
      <w:proofErr w:type="spellStart"/>
      <w:r>
        <w:rPr>
          <w:rFonts w:cs="FrankRuehl"/>
          <w:b/>
          <w:bCs/>
          <w:sz w:val="26"/>
          <w:szCs w:val="26"/>
          <w:rtl/>
        </w:rPr>
        <w:t>התכנית</w:t>
      </w:r>
      <w:proofErr w:type="spellEnd"/>
      <w:r>
        <w:rPr>
          <w:rFonts w:cs="FrankRuehl"/>
          <w:b/>
          <w:bCs/>
          <w:sz w:val="26"/>
          <w:szCs w:val="26"/>
          <w:rtl/>
        </w:rPr>
        <w:t>:</w:t>
      </w:r>
      <w:r>
        <w:rPr>
          <w:rFonts w:cs="FrankRuehl"/>
          <w:sz w:val="26"/>
          <w:szCs w:val="26"/>
          <w:rtl/>
        </w:rPr>
        <w:t xml:space="preserve"> </w:t>
      </w:r>
      <w:proofErr w:type="spellStart"/>
      <w:r>
        <w:rPr>
          <w:rFonts w:cs="FrankRuehl"/>
          <w:sz w:val="26"/>
          <w:szCs w:val="26"/>
          <w:rtl/>
        </w:rPr>
        <w:t>התכנית</w:t>
      </w:r>
      <w:proofErr w:type="spellEnd"/>
      <w:r>
        <w:rPr>
          <w:rFonts w:cs="FrankRuehl"/>
          <w:sz w:val="26"/>
          <w:szCs w:val="26"/>
          <w:rtl/>
        </w:rPr>
        <w:t xml:space="preserve"> כוללת את תקציבי פעולות התכנון כולל תשלום ליועצים, תכנון מתארי, מחשוב, ועדות ערר, מכוני בקרה ,שירותי תכנון וכן תקצוב הרפורמה בתכנון ובניה.</w:t>
      </w:r>
    </w:p>
    <w:p w14:paraId="677D3718" w14:textId="77777777" w:rsidR="00AB00AA" w:rsidRDefault="00AB00AA" w:rsidP="00AB00AA">
      <w:pPr>
        <w:ind w:left="397"/>
        <w:contextualSpacing/>
        <w:jc w:val="both"/>
        <w:rPr>
          <w:rFonts w:cs="FrankRuehl"/>
          <w:sz w:val="26"/>
          <w:szCs w:val="26"/>
          <w:rtl/>
        </w:rPr>
      </w:pPr>
    </w:p>
    <w:p w14:paraId="49B770EE" w14:textId="77777777" w:rsidR="00AB00AA" w:rsidRDefault="00AB00AA" w:rsidP="00AB00AA">
      <w:pPr>
        <w:ind w:left="397"/>
        <w:contextualSpacing/>
        <w:jc w:val="both"/>
        <w:rPr>
          <w:rFonts w:cs="FrankRuehl"/>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sz w:val="26"/>
          <w:szCs w:val="26"/>
          <w:rtl/>
        </w:rPr>
        <w:t>:</w:t>
      </w:r>
    </w:p>
    <w:p w14:paraId="1D7432CE" w14:textId="77777777" w:rsidR="00AB00AA" w:rsidRDefault="00AB00AA" w:rsidP="00AB00AA">
      <w:pPr>
        <w:ind w:left="397"/>
        <w:contextualSpacing/>
        <w:jc w:val="both"/>
        <w:rPr>
          <w:rFonts w:cs="FrankRuehl"/>
          <w:sz w:val="26"/>
          <w:szCs w:val="26"/>
          <w:rtl/>
        </w:rPr>
      </w:pPr>
      <w:r>
        <w:rPr>
          <w:rFonts w:cs="FrankRuehl"/>
          <w:sz w:val="26"/>
          <w:szCs w:val="26"/>
          <w:rtl/>
        </w:rPr>
        <w:t xml:space="preserve">העודפים הם בגין התקשרויות שוטפות של תפעול מנהל התכנון, וכן התקשרויות עם יועצי תכנון וחברות מתכננות, קידום תכנון והתקשרויות בהתאם להחלטות ממשלה, ותשלומים למכוני בקרה. התקשרויות אלה הן חוצות שנה </w:t>
      </w:r>
      <w:proofErr w:type="spellStart"/>
      <w:r>
        <w:rPr>
          <w:rFonts w:cs="FrankRuehl"/>
          <w:sz w:val="26"/>
          <w:szCs w:val="26"/>
          <w:rtl/>
        </w:rPr>
        <w:t>קלנדרית</w:t>
      </w:r>
      <w:proofErr w:type="spellEnd"/>
      <w:r>
        <w:rPr>
          <w:rFonts w:cs="FrankRuehl"/>
          <w:sz w:val="26"/>
          <w:szCs w:val="26"/>
          <w:rtl/>
        </w:rPr>
        <w:t xml:space="preserve">, ולפיכך נוצרו עודפים </w:t>
      </w:r>
      <w:proofErr w:type="spellStart"/>
      <w:r>
        <w:rPr>
          <w:rFonts w:cs="FrankRuehl"/>
          <w:sz w:val="26"/>
          <w:szCs w:val="26"/>
          <w:rtl/>
        </w:rPr>
        <w:t>בתכנית</w:t>
      </w:r>
      <w:proofErr w:type="spellEnd"/>
      <w:r>
        <w:rPr>
          <w:rFonts w:cs="FrankRuehl"/>
          <w:sz w:val="26"/>
          <w:szCs w:val="26"/>
          <w:rtl/>
        </w:rPr>
        <w:t>,</w:t>
      </w:r>
      <w:r>
        <w:rPr>
          <w:rFonts w:ascii="FrankRuehl" w:hAnsi="FrankRuehl" w:cs="FrankRuehl"/>
          <w:sz w:val="26"/>
          <w:szCs w:val="26"/>
          <w:rtl/>
        </w:rPr>
        <w:t xml:space="preserve"> אשר העברתם מבוקשת לשנה הנוכחית.</w:t>
      </w:r>
    </w:p>
    <w:p w14:paraId="0DCDC23C" w14:textId="77777777" w:rsidR="00AB00AA" w:rsidRDefault="00AB00AA" w:rsidP="00AB00AA">
      <w:pPr>
        <w:ind w:left="794"/>
        <w:contextualSpacing/>
        <w:jc w:val="both"/>
        <w:rPr>
          <w:rFonts w:cs="FrankRuehl"/>
          <w:sz w:val="26"/>
          <w:szCs w:val="26"/>
          <w:rtl/>
        </w:rPr>
      </w:pPr>
    </w:p>
    <w:p w14:paraId="29A13085" w14:textId="77777777" w:rsidR="00AB00AA" w:rsidRDefault="00AB00AA" w:rsidP="00AB00AA">
      <w:pPr>
        <w:numPr>
          <w:ilvl w:val="0"/>
          <w:numId w:val="1"/>
        </w:numPr>
        <w:overflowPunct/>
        <w:contextualSpacing/>
        <w:jc w:val="both"/>
        <w:textAlignment w:val="auto"/>
        <w:rPr>
          <w:rFonts w:cs="FrankRuehl"/>
          <w:b/>
          <w:bCs/>
          <w:sz w:val="26"/>
          <w:szCs w:val="26"/>
        </w:rPr>
      </w:pPr>
      <w:r>
        <w:rPr>
          <w:rFonts w:cs="FrankRuehl"/>
          <w:b/>
          <w:bCs/>
          <w:sz w:val="26"/>
          <w:szCs w:val="26"/>
          <w:rtl/>
        </w:rPr>
        <w:t>54-34-02 - הרשות לאכיפה במקרקעין – תפעול ופעולות –8,481 אלפי ש"ח</w:t>
      </w:r>
    </w:p>
    <w:p w14:paraId="27CF250D" w14:textId="77777777" w:rsidR="00AB00AA" w:rsidRDefault="00AB00AA" w:rsidP="00AB00AA">
      <w:pPr>
        <w:ind w:left="397"/>
        <w:contextualSpacing/>
        <w:jc w:val="both"/>
        <w:rPr>
          <w:rFonts w:cs="FrankRuehl"/>
          <w:sz w:val="26"/>
          <w:szCs w:val="26"/>
        </w:rPr>
      </w:pPr>
      <w:r>
        <w:rPr>
          <w:rFonts w:cs="FrankRuehl"/>
          <w:b/>
          <w:bCs/>
          <w:sz w:val="26"/>
          <w:szCs w:val="26"/>
          <w:rtl/>
        </w:rPr>
        <w:t xml:space="preserve">תיאור </w:t>
      </w:r>
      <w:proofErr w:type="spellStart"/>
      <w:r>
        <w:rPr>
          <w:rFonts w:cs="FrankRuehl"/>
          <w:b/>
          <w:bCs/>
          <w:sz w:val="26"/>
          <w:szCs w:val="26"/>
          <w:rtl/>
        </w:rPr>
        <w:t>התכנית</w:t>
      </w:r>
      <w:proofErr w:type="spellEnd"/>
      <w:r>
        <w:rPr>
          <w:rFonts w:cs="FrankRuehl"/>
          <w:b/>
          <w:bCs/>
          <w:sz w:val="26"/>
          <w:szCs w:val="26"/>
          <w:rtl/>
        </w:rPr>
        <w:t>:</w:t>
      </w:r>
      <w:r>
        <w:rPr>
          <w:rFonts w:cs="FrankRuehl"/>
          <w:sz w:val="26"/>
          <w:szCs w:val="26"/>
          <w:rtl/>
        </w:rPr>
        <w:t xml:space="preserve"> </w:t>
      </w:r>
      <w:proofErr w:type="spellStart"/>
      <w:r>
        <w:rPr>
          <w:rFonts w:cs="FrankRuehl"/>
          <w:sz w:val="26"/>
          <w:szCs w:val="26"/>
          <w:rtl/>
        </w:rPr>
        <w:t>בתכנית</w:t>
      </w:r>
      <w:proofErr w:type="spellEnd"/>
      <w:r>
        <w:rPr>
          <w:rFonts w:cs="FrankRuehl"/>
          <w:sz w:val="26"/>
          <w:szCs w:val="26"/>
          <w:rtl/>
        </w:rPr>
        <w:t xml:space="preserve"> זו מתוקצבות פעולות הרשות לאכיפה במקרקעין, כולל פעולות אכיפה, ביצוע סקרים, פעולות הריסה, פעילות בתחום המשפטי וכן תפעול שוטף.</w:t>
      </w:r>
    </w:p>
    <w:p w14:paraId="50CD292E" w14:textId="77777777" w:rsidR="00AB00AA" w:rsidRDefault="00AB00AA" w:rsidP="00AB00AA">
      <w:pPr>
        <w:ind w:left="397"/>
        <w:contextualSpacing/>
        <w:jc w:val="both"/>
        <w:rPr>
          <w:rFonts w:cs="FrankRuehl"/>
          <w:sz w:val="26"/>
          <w:szCs w:val="26"/>
          <w:rtl/>
        </w:rPr>
      </w:pPr>
    </w:p>
    <w:p w14:paraId="69B1B229" w14:textId="77777777" w:rsidR="00AB00AA" w:rsidRDefault="00AB00AA" w:rsidP="00AB00AA">
      <w:pPr>
        <w:ind w:left="397"/>
        <w:contextualSpacing/>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p>
    <w:p w14:paraId="610CB0AD" w14:textId="77777777" w:rsidR="00AB00AA" w:rsidRDefault="00AB00AA" w:rsidP="00AB00AA">
      <w:pPr>
        <w:ind w:left="397"/>
        <w:contextualSpacing/>
        <w:jc w:val="both"/>
        <w:rPr>
          <w:rFonts w:cs="FrankRuehl"/>
          <w:sz w:val="26"/>
          <w:szCs w:val="26"/>
          <w:rtl/>
        </w:rPr>
      </w:pPr>
      <w:r>
        <w:rPr>
          <w:rFonts w:cs="FrankRuehl"/>
          <w:sz w:val="26"/>
          <w:szCs w:val="26"/>
          <w:rtl/>
        </w:rPr>
        <w:t xml:space="preserve">העודפים הם בגין התקשרויות לביצוע פעולות אכיפה וסקרים על עבירות בניה. כמו כן קיימים עודפים בגין התקשרויות בתחום התפעול. התקשרויות אלה הן חוצות שנה </w:t>
      </w:r>
      <w:proofErr w:type="spellStart"/>
      <w:r>
        <w:rPr>
          <w:rFonts w:cs="FrankRuehl"/>
          <w:sz w:val="26"/>
          <w:szCs w:val="26"/>
          <w:rtl/>
        </w:rPr>
        <w:t>קלנדרית</w:t>
      </w:r>
      <w:proofErr w:type="spellEnd"/>
      <w:r>
        <w:rPr>
          <w:rFonts w:cs="FrankRuehl"/>
          <w:sz w:val="26"/>
          <w:szCs w:val="26"/>
          <w:rtl/>
        </w:rPr>
        <w:t xml:space="preserve">, ולפיכך נוצרו עודפים </w:t>
      </w:r>
      <w:proofErr w:type="spellStart"/>
      <w:r>
        <w:rPr>
          <w:rFonts w:cs="FrankRuehl"/>
          <w:sz w:val="26"/>
          <w:szCs w:val="26"/>
          <w:rtl/>
        </w:rPr>
        <w:t>בתכנית</w:t>
      </w:r>
      <w:proofErr w:type="spellEnd"/>
      <w:r>
        <w:rPr>
          <w:rFonts w:cs="FrankRuehl"/>
          <w:sz w:val="26"/>
          <w:szCs w:val="26"/>
          <w:rtl/>
        </w:rPr>
        <w:t>,</w:t>
      </w:r>
      <w:r>
        <w:rPr>
          <w:rFonts w:ascii="FrankRuehl" w:hAnsi="FrankRuehl" w:cs="FrankRuehl"/>
          <w:sz w:val="26"/>
          <w:szCs w:val="26"/>
          <w:rtl/>
        </w:rPr>
        <w:t xml:space="preserve"> אשר העברתם מבוקשת לשנה הנוכחית.</w:t>
      </w:r>
    </w:p>
    <w:p w14:paraId="3EE2B843" w14:textId="77777777" w:rsidR="00AB00AA" w:rsidRDefault="00AB00AA" w:rsidP="00AB00AA">
      <w:pPr>
        <w:ind w:left="397"/>
        <w:contextualSpacing/>
        <w:jc w:val="both"/>
        <w:rPr>
          <w:rFonts w:ascii="FrankRuehl" w:hAnsi="FrankRuehl" w:cs="FrankRuehl"/>
          <w:sz w:val="26"/>
          <w:szCs w:val="26"/>
          <w:rtl/>
        </w:rPr>
      </w:pPr>
    </w:p>
    <w:p w14:paraId="1AC3ACE5" w14:textId="77777777" w:rsidR="00AB00AA" w:rsidRDefault="00AB00AA" w:rsidP="00AB00AA">
      <w:pPr>
        <w:numPr>
          <w:ilvl w:val="0"/>
          <w:numId w:val="1"/>
        </w:numPr>
        <w:overflowPunct/>
        <w:contextualSpacing/>
        <w:jc w:val="both"/>
        <w:textAlignment w:val="auto"/>
        <w:rPr>
          <w:rFonts w:cs="FrankRuehl"/>
          <w:b/>
          <w:bCs/>
          <w:sz w:val="26"/>
          <w:szCs w:val="26"/>
          <w:rtl/>
        </w:rPr>
      </w:pPr>
      <w:r>
        <w:rPr>
          <w:rFonts w:cs="FrankRuehl"/>
          <w:b/>
          <w:bCs/>
          <w:sz w:val="26"/>
          <w:szCs w:val="26"/>
          <w:rtl/>
        </w:rPr>
        <w:t xml:space="preserve">תכנית 54-35-01: הרשות להתחדשות עירונית </w:t>
      </w:r>
      <w:r>
        <w:rPr>
          <w:rFonts w:cs="FrankRuehl"/>
          <w:b/>
          <w:bCs/>
          <w:sz w:val="26"/>
          <w:szCs w:val="26"/>
        </w:rPr>
        <w:t>–</w:t>
      </w:r>
      <w:r>
        <w:rPr>
          <w:rFonts w:cs="FrankRuehl"/>
          <w:b/>
          <w:bCs/>
          <w:sz w:val="26"/>
          <w:szCs w:val="26"/>
          <w:rtl/>
        </w:rPr>
        <w:t xml:space="preserve"> </w:t>
      </w:r>
      <w:r>
        <w:rPr>
          <w:rFonts w:cs="FrankRuehl" w:hint="cs"/>
          <w:b/>
          <w:bCs/>
          <w:sz w:val="26"/>
          <w:szCs w:val="26"/>
          <w:rtl/>
        </w:rPr>
        <w:t>32,390 אלפי ש"ח</w:t>
      </w:r>
    </w:p>
    <w:p w14:paraId="5FCC9CC3" w14:textId="77777777" w:rsidR="00AB00AA" w:rsidRDefault="00AB00AA" w:rsidP="00AB00AA">
      <w:pPr>
        <w:ind w:left="397"/>
        <w:contextualSpacing/>
        <w:jc w:val="both"/>
        <w:rPr>
          <w:rFonts w:cs="FrankRuehl"/>
          <w:b/>
          <w:bCs/>
          <w:sz w:val="26"/>
          <w:szCs w:val="26"/>
        </w:rPr>
      </w:pPr>
      <w:r>
        <w:rPr>
          <w:rFonts w:cs="FrankRuehl"/>
          <w:b/>
          <w:bCs/>
          <w:sz w:val="26"/>
          <w:szCs w:val="26"/>
          <w:rtl/>
        </w:rPr>
        <w:t xml:space="preserve">תיאור </w:t>
      </w:r>
      <w:proofErr w:type="spellStart"/>
      <w:r>
        <w:rPr>
          <w:rFonts w:cs="FrankRuehl"/>
          <w:b/>
          <w:bCs/>
          <w:sz w:val="26"/>
          <w:szCs w:val="26"/>
          <w:rtl/>
        </w:rPr>
        <w:t>התכנית</w:t>
      </w:r>
      <w:proofErr w:type="spellEnd"/>
      <w:r>
        <w:rPr>
          <w:rFonts w:cs="FrankRuehl"/>
          <w:b/>
          <w:bCs/>
          <w:sz w:val="26"/>
          <w:szCs w:val="26"/>
          <w:rtl/>
        </w:rPr>
        <w:t>:</w:t>
      </w:r>
      <w:r>
        <w:rPr>
          <w:rFonts w:cs="FrankRuehl"/>
          <w:sz w:val="26"/>
          <w:szCs w:val="26"/>
          <w:rtl/>
        </w:rPr>
        <w:t xml:space="preserve"> תכנית זו משמשת לתקצוב הפעילות של הרשות להתחדשות עירונית. הרשות להתחדשות עירונית הוקמה בשנת 2017 מכוח חוק הרשות הממשלתית להתחדשות עירונית, התשע"ו-2016. במסגרת חוק זה הוקמה במקום האגף להתחדשות עירונית במשרד הבינוי והשיכון רשות עצמאית אשר תהיה אמונה על קידום תכנון להתחדשות עירונית, הובלת מדיניות ממשלתית בתחום ועידוד פרויקטים בתחום. </w:t>
      </w:r>
    </w:p>
    <w:p w14:paraId="47A6E14C" w14:textId="77777777" w:rsidR="00AB00AA" w:rsidRDefault="00AB00AA" w:rsidP="00AB00AA">
      <w:pPr>
        <w:ind w:left="397"/>
        <w:contextualSpacing/>
        <w:jc w:val="both"/>
        <w:rPr>
          <w:rFonts w:cs="FrankRuehl"/>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sz w:val="26"/>
          <w:szCs w:val="26"/>
          <w:rtl/>
        </w:rPr>
        <w:t>:</w:t>
      </w:r>
    </w:p>
    <w:p w14:paraId="681DEF22" w14:textId="77777777" w:rsidR="00AB00AA" w:rsidRDefault="00AB00AA" w:rsidP="00AB00AA">
      <w:pPr>
        <w:ind w:left="397"/>
        <w:contextualSpacing/>
        <w:jc w:val="both"/>
        <w:rPr>
          <w:rFonts w:cs="Times New Roman"/>
          <w:sz w:val="24"/>
          <w:szCs w:val="20"/>
        </w:rPr>
      </w:pPr>
      <w:r>
        <w:rPr>
          <w:rFonts w:cs="FrankRuehl"/>
          <w:sz w:val="26"/>
          <w:szCs w:val="26"/>
          <w:rtl/>
        </w:rPr>
        <w:t>העודפים נוצרו בגין התחייבויות חוצות שנה בתחומי התפעול השוטף ותכנון התחדשות עירונית וכן עקב פעילות פיתוח במסגרת הסכמי המסגרת להתחדשות עירונית, הנפרסת על פני מספר שנים בהתאם להתקדמות בהסכם.</w:t>
      </w:r>
    </w:p>
    <w:p w14:paraId="5F6BD2FA" w14:textId="77777777" w:rsidR="00AB00AA" w:rsidRDefault="00AB00AA" w:rsidP="00AB00AA">
      <w:pPr>
        <w:ind w:left="397"/>
        <w:contextualSpacing/>
        <w:jc w:val="both"/>
        <w:rPr>
          <w:rFonts w:ascii="FrankRuehl" w:hAnsi="FrankRuehl" w:cs="FrankRuehl"/>
          <w:sz w:val="26"/>
          <w:szCs w:val="26"/>
        </w:rPr>
      </w:pPr>
    </w:p>
    <w:p w14:paraId="4689A2AD"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Pr>
      </w:pPr>
      <w:r>
        <w:rPr>
          <w:rFonts w:ascii="FrankRuehl" w:hAnsi="FrankRuehl" w:cs="FrankRuehl"/>
          <w:b/>
          <w:bCs/>
          <w:sz w:val="26"/>
          <w:szCs w:val="26"/>
          <w:rtl/>
        </w:rPr>
        <w:t>תכנית 54-36-01: רשות שוק ההון – 36,055 אלפי ש"ח</w:t>
      </w:r>
    </w:p>
    <w:p w14:paraId="2932A93B" w14:textId="77777777" w:rsidR="00AB00AA" w:rsidRDefault="00AB00AA" w:rsidP="00AB00AA">
      <w:pPr>
        <w:ind w:left="397"/>
        <w:contextualSpacing/>
        <w:jc w:val="both"/>
        <w:rPr>
          <w:rFonts w:ascii="David" w:hAnsi="David" w:cs="FrankRuehl"/>
          <w:b/>
          <w:bCs/>
          <w:sz w:val="26"/>
          <w:szCs w:val="26"/>
          <w:rtl/>
        </w:rPr>
      </w:pPr>
      <w:r>
        <w:rPr>
          <w:rFonts w:ascii="David" w:hAnsi="David" w:cs="FrankRuehl"/>
          <w:sz w:val="26"/>
          <w:szCs w:val="26"/>
          <w:rtl/>
        </w:rPr>
        <w:t xml:space="preserve">תכנית זו משמשת לתקצוב כלל פעילותה של רשות שוק ההון. </w:t>
      </w:r>
      <w:proofErr w:type="spellStart"/>
      <w:r>
        <w:rPr>
          <w:rFonts w:ascii="David" w:hAnsi="David" w:cs="FrankRuehl"/>
          <w:sz w:val="26"/>
          <w:szCs w:val="26"/>
          <w:rtl/>
        </w:rPr>
        <w:t>התכנית</w:t>
      </w:r>
      <w:proofErr w:type="spellEnd"/>
      <w:r>
        <w:rPr>
          <w:rFonts w:ascii="David" w:hAnsi="David" w:cs="FrankRuehl"/>
          <w:sz w:val="26"/>
          <w:szCs w:val="26"/>
          <w:rtl/>
        </w:rPr>
        <w:t xml:space="preserve"> מאגדת בתוכה את התקציב המוקצה לתשלומי השכר של עובדי הרשות ואת תקציב הקניות הנדרש לתפעול השוטף של הרשות. כמו כן, </w:t>
      </w:r>
      <w:proofErr w:type="spellStart"/>
      <w:r>
        <w:rPr>
          <w:rFonts w:ascii="David" w:hAnsi="David" w:cs="FrankRuehl"/>
          <w:sz w:val="26"/>
          <w:szCs w:val="26"/>
          <w:rtl/>
        </w:rPr>
        <w:t>בתכנית</w:t>
      </w:r>
      <w:proofErr w:type="spellEnd"/>
      <w:r>
        <w:rPr>
          <w:rFonts w:ascii="David" w:hAnsi="David" w:cs="FrankRuehl"/>
          <w:sz w:val="26"/>
          <w:szCs w:val="26"/>
          <w:rtl/>
        </w:rPr>
        <w:t xml:space="preserve"> זו מתוקצבות כלל פעילויות הרשות לצורך מילוי תפקידיה.</w:t>
      </w:r>
    </w:p>
    <w:p w14:paraId="179302DE" w14:textId="77777777" w:rsidR="00AB00AA" w:rsidRDefault="00AB00AA" w:rsidP="00AB00AA">
      <w:pPr>
        <w:ind w:left="397"/>
        <w:contextualSpacing/>
        <w:jc w:val="both"/>
        <w:rPr>
          <w:rFonts w:cs="FrankRuehl"/>
          <w:sz w:val="26"/>
          <w:szCs w:val="26"/>
          <w:rtl/>
        </w:rPr>
      </w:pPr>
      <w:r>
        <w:rPr>
          <w:rFonts w:ascii="David" w:hAnsi="David" w:cs="FrankRuehl"/>
          <w:b/>
          <w:bCs/>
          <w:sz w:val="26"/>
          <w:szCs w:val="26"/>
          <w:rtl/>
        </w:rPr>
        <w:lastRenderedPageBreak/>
        <w:t>מטרת השינוי</w:t>
      </w:r>
      <w:r>
        <w:rPr>
          <w:rFonts w:ascii="FrankRuehl" w:hAnsi="David" w:cs="FrankRuehl"/>
          <w:sz w:val="26"/>
          <w:szCs w:val="26"/>
          <w:rtl/>
        </w:rPr>
        <w:t xml:space="preserve">: </w:t>
      </w:r>
      <w:r>
        <w:rPr>
          <w:rFonts w:cs="FrankRuehl"/>
          <w:sz w:val="26"/>
          <w:szCs w:val="26"/>
          <w:rtl/>
        </w:rPr>
        <w:t xml:space="preserve">העודפים הינם בגין התחייבויות רב שנתיות למכרזים, חוזים והתקשרויות </w:t>
      </w:r>
      <w:proofErr w:type="spellStart"/>
      <w:r>
        <w:rPr>
          <w:rFonts w:cs="FrankRuehl"/>
          <w:sz w:val="26"/>
          <w:szCs w:val="26"/>
          <w:rtl/>
        </w:rPr>
        <w:t>חשכ"ל</w:t>
      </w:r>
      <w:proofErr w:type="spellEnd"/>
      <w:r>
        <w:rPr>
          <w:rFonts w:cs="FrankRuehl"/>
          <w:sz w:val="26"/>
          <w:szCs w:val="26"/>
          <w:rtl/>
        </w:rPr>
        <w:t>. במסגרת זו, מתוקצבים פרויקטים טכנולוגיים לפיתוח מערכות דיווח ממוכנות והתקשרויות חוצות שנת תקציב עם נותני שירותים בתחום המחשוב, המהווים תשתית קריטית למניעת הונאות פיננסיות, למאבק בהון שחור ובצמצום השימוש לרעה בשירותים פיננסיים.</w:t>
      </w:r>
      <w:r>
        <w:rPr>
          <w:rFonts w:cs="FrankRuehl" w:hint="cs"/>
          <w:sz w:val="26"/>
          <w:szCs w:val="26"/>
        </w:rPr>
        <w:t xml:space="preserve"> </w:t>
      </w:r>
      <w:r>
        <w:rPr>
          <w:rFonts w:cs="FrankRuehl"/>
          <w:sz w:val="26"/>
          <w:szCs w:val="26"/>
          <w:rtl/>
        </w:rPr>
        <w:t>בנוסף, העודפים ישמשו להמשך התקשרויות עם יועצים חיצוניים (רואי חשבון, אקטוארים) התומכים בפעילות השוטפת של הרשות וכן בחיזוק החינוך הפיננסי והנגשת מידע לציבור</w:t>
      </w:r>
      <w:r>
        <w:rPr>
          <w:rFonts w:cs="FrankRuehl"/>
          <w:sz w:val="26"/>
          <w:szCs w:val="26"/>
        </w:rPr>
        <w:t>.</w:t>
      </w:r>
    </w:p>
    <w:p w14:paraId="7DE1CE98" w14:textId="77777777" w:rsidR="00AB00AA" w:rsidRDefault="00AB00AA" w:rsidP="00AB00AA">
      <w:pPr>
        <w:ind w:left="397"/>
        <w:contextualSpacing/>
        <w:jc w:val="both"/>
        <w:rPr>
          <w:rFonts w:ascii="FrankRuehl" w:hAnsi="David" w:cs="FrankRuehl"/>
          <w:sz w:val="26"/>
          <w:szCs w:val="26"/>
        </w:rPr>
      </w:pPr>
    </w:p>
    <w:p w14:paraId="546B8304"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Pr>
      </w:pPr>
      <w:r>
        <w:rPr>
          <w:rFonts w:ascii="FrankRuehl" w:hAnsi="FrankRuehl" w:cs="FrankRuehl"/>
          <w:b/>
          <w:bCs/>
          <w:sz w:val="26"/>
          <w:szCs w:val="26"/>
          <w:rtl/>
        </w:rPr>
        <w:t>תכנית 54-40-01: הרשות לפיתוח והתיישבות – 17,856 אלפי ש"ח</w:t>
      </w:r>
    </w:p>
    <w:p w14:paraId="3B8E1ED3" w14:textId="77777777" w:rsidR="00AB00AA" w:rsidRDefault="00AB00AA" w:rsidP="00AB00AA">
      <w:pPr>
        <w:pStyle w:val="aa"/>
        <w:spacing w:before="0" w:after="0" w:line="240" w:lineRule="auto"/>
        <w:ind w:left="397"/>
        <w:rPr>
          <w:rFonts w:ascii="FrankRuehl" w:hAnsi="FrankRuehl" w:cs="FrankRuehl"/>
          <w:sz w:val="26"/>
          <w:szCs w:val="26"/>
          <w:rtl/>
        </w:rPr>
      </w:pPr>
      <w:r>
        <w:rPr>
          <w:rFonts w:ascii="FrankRuehl" w:hAnsi="FrankRuehl" w:cs="FrankRuehl"/>
          <w:sz w:val="26"/>
          <w:szCs w:val="26"/>
          <w:rtl/>
        </w:rPr>
        <w:t>תכנית זו משמשת לתקצוב הפעילות של הרשות לפיתוח והתיישבות הבדואים בנגב. הרשות לפיתוח והתיישבות הבדואים בנגב הוקמה מכוח החלטת ממשלה מספר 1999 מיום ה-15 ביולי 2007. יעוד הרשות בהתאם להחלטת הממשלה כאמור הינו הסדרת התיישבות הבדואים בנגב, לרבות הסדר תביעות בעלות במקרקעין, הסדרת מגורי קבע, כולל תשתיות ושירותים ציבוריים, הן לגבי יישובים קיימים והן לגבי יישובים חדשים.</w:t>
      </w:r>
    </w:p>
    <w:p w14:paraId="5641647C"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5B8CF1A" w14:textId="77777777" w:rsidR="00AB00AA" w:rsidRDefault="00AB00AA" w:rsidP="00AB00AA">
      <w:pPr>
        <w:ind w:left="397"/>
        <w:contextualSpacing/>
        <w:jc w:val="both"/>
        <w:rPr>
          <w:rFonts w:ascii="FrankRuehl" w:hAnsi="FrankRuehl" w:cs="FrankRuehl"/>
          <w:sz w:val="26"/>
          <w:szCs w:val="26"/>
        </w:rPr>
      </w:pPr>
      <w:r>
        <w:rPr>
          <w:rFonts w:ascii="FrankRuehl" w:hAnsi="FrankRuehl" w:cs="FrankRuehl"/>
          <w:sz w:val="26"/>
          <w:szCs w:val="26"/>
          <w:rtl/>
        </w:rPr>
        <w:t xml:space="preserve">העודפים הם בגין התקשרויות ארוכות טווח בתחום התפעול לצד פיתוח תשתיות על. התקשרויות אלה הן חוצות 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ולפיכך נוצרו 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אשר העברתם מבוקשת לשנה הנוכחית.</w:t>
      </w:r>
    </w:p>
    <w:p w14:paraId="3DEDDB0F" w14:textId="77777777" w:rsidR="00AB00AA" w:rsidRDefault="00AB00AA" w:rsidP="00AB00AA">
      <w:pPr>
        <w:ind w:left="397"/>
        <w:contextualSpacing/>
        <w:jc w:val="both"/>
        <w:rPr>
          <w:rFonts w:ascii="FrankRuehl" w:hAnsi="FrankRuehl" w:cs="FrankRuehl"/>
          <w:b/>
          <w:bCs/>
          <w:sz w:val="26"/>
          <w:szCs w:val="26"/>
          <w:rtl/>
        </w:rPr>
      </w:pPr>
    </w:p>
    <w:p w14:paraId="68F99448" w14:textId="77777777" w:rsidR="00AB00AA" w:rsidRDefault="00AB00AA" w:rsidP="00AB00AA">
      <w:pPr>
        <w:numPr>
          <w:ilvl w:val="0"/>
          <w:numId w:val="1"/>
        </w:numPr>
        <w:overflowPunct/>
        <w:contextualSpacing/>
        <w:jc w:val="both"/>
        <w:textAlignment w:val="auto"/>
        <w:rPr>
          <w:rFonts w:ascii="FrankRuehl" w:hAnsi="FrankRuehl" w:cs="FrankRuehl"/>
          <w:b/>
          <w:bCs/>
          <w:sz w:val="26"/>
          <w:szCs w:val="26"/>
          <w:rtl/>
        </w:rPr>
      </w:pPr>
      <w:r>
        <w:rPr>
          <w:rFonts w:ascii="FrankRuehl" w:hAnsi="FrankRuehl" w:cs="FrankRuehl"/>
          <w:b/>
          <w:bCs/>
          <w:sz w:val="26"/>
          <w:szCs w:val="26"/>
          <w:rtl/>
        </w:rPr>
        <w:t>תכנית 54-40-02: היחידה לשילוב האוכלוסייה הבדואית בנגב – 5,791 אלפי ש"ח</w:t>
      </w:r>
    </w:p>
    <w:p w14:paraId="49BA7316" w14:textId="77777777" w:rsidR="00AB00AA" w:rsidRDefault="00AB00AA" w:rsidP="00AB00AA">
      <w:pPr>
        <w:ind w:left="397"/>
        <w:contextualSpacing/>
        <w:jc w:val="both"/>
        <w:rPr>
          <w:rFonts w:cs="David"/>
          <w:sz w:val="24"/>
          <w:rtl/>
        </w:rPr>
      </w:pP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מתוקצבת הפעילות של היחידה לשילוב החברה הבדואית בנגב ליישום החלטות הממשלה בנושא.</w:t>
      </w:r>
    </w:p>
    <w:p w14:paraId="10DDE02C" w14:textId="77777777" w:rsidR="00AB00AA" w:rsidRDefault="00AB00AA" w:rsidP="00AB00AA">
      <w:pPr>
        <w:ind w:left="397"/>
        <w:contextualSpacing/>
        <w:jc w:val="both"/>
        <w:rPr>
          <w:rtl/>
        </w:rPr>
      </w:pPr>
    </w:p>
    <w:p w14:paraId="2AEDAEE9" w14:textId="77777777" w:rsidR="00AB00AA" w:rsidRDefault="00AB00AA" w:rsidP="00AB00AA">
      <w:pPr>
        <w:ind w:left="397"/>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B5BD996" w14:textId="77777777" w:rsidR="00AB00AA" w:rsidRDefault="00AB00AA" w:rsidP="00AB00AA">
      <w:pPr>
        <w:ind w:left="397"/>
        <w:contextualSpacing/>
        <w:jc w:val="both"/>
        <w:rPr>
          <w:rFonts w:ascii="FrankRuehl" w:hAnsi="FrankRuehl" w:cs="FrankRuehl"/>
          <w:sz w:val="26"/>
          <w:szCs w:val="26"/>
        </w:rPr>
      </w:pPr>
      <w:r>
        <w:rPr>
          <w:rFonts w:ascii="FrankRuehl" w:hAnsi="FrankRuehl" w:cs="FrankRuehl"/>
          <w:sz w:val="26"/>
          <w:szCs w:val="26"/>
          <w:rtl/>
        </w:rPr>
        <w:t xml:space="preserve">העודפים הם בגין התקשרויות ארוכות טווח המקודמות במסגרת החלטת ממשלה 1279 בנושא תכנית לפיתוח כלכלי חברתי בקרב האוכלוסייה הבדואית בנגב לשנים 2026-2022. התקשרויות אלה הן חוצות 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ולפיכך נוצרו 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אשר העברתם מבוקשת לשנה הנוכחית.</w:t>
      </w:r>
    </w:p>
    <w:p w14:paraId="0DB7517F" w14:textId="77777777" w:rsidR="00AB00AA" w:rsidRDefault="00AB00AA" w:rsidP="00AB00AA">
      <w:pPr>
        <w:pStyle w:val="aa"/>
        <w:spacing w:line="240" w:lineRule="auto"/>
        <w:ind w:left="397"/>
        <w:rPr>
          <w:rFonts w:ascii="FrankRuehl" w:hAnsi="Calibri" w:cs="FrankRuehl"/>
          <w:sz w:val="26"/>
          <w:szCs w:val="26"/>
          <w:rtl/>
        </w:rPr>
      </w:pPr>
    </w:p>
    <w:p w14:paraId="4CBE2E4E" w14:textId="77777777" w:rsidR="00AB00AA" w:rsidRDefault="00AB00AA" w:rsidP="00AB00AA">
      <w:pPr>
        <w:numPr>
          <w:ilvl w:val="0"/>
          <w:numId w:val="1"/>
        </w:numPr>
        <w:overflowPunct/>
        <w:contextualSpacing/>
        <w:jc w:val="both"/>
        <w:textAlignment w:val="auto"/>
        <w:rPr>
          <w:rFonts w:cs="FrankRuehl"/>
          <w:b/>
          <w:bCs/>
          <w:sz w:val="26"/>
          <w:szCs w:val="26"/>
          <w:rtl/>
        </w:rPr>
      </w:pPr>
      <w:r>
        <w:rPr>
          <w:rFonts w:cs="FrankRuehl"/>
          <w:b/>
          <w:bCs/>
          <w:sz w:val="26"/>
          <w:szCs w:val="26"/>
          <w:rtl/>
        </w:rPr>
        <w:t xml:space="preserve"> תכנית 545001 – מנהלת תקומה– 255,335 אלפי ש"ח בהוצאה. </w:t>
      </w:r>
    </w:p>
    <w:p w14:paraId="370356E1" w14:textId="77777777" w:rsidR="00AB00AA" w:rsidRDefault="00AB00AA" w:rsidP="00AB00AA">
      <w:pPr>
        <w:ind w:left="397"/>
        <w:contextualSpacing/>
        <w:jc w:val="both"/>
        <w:rPr>
          <w:rFonts w:cs="FrankRuehl"/>
          <w:b/>
          <w:bCs/>
          <w:sz w:val="26"/>
          <w:szCs w:val="26"/>
          <w:rtl/>
        </w:rPr>
      </w:pPr>
      <w:proofErr w:type="spellStart"/>
      <w:r>
        <w:rPr>
          <w:rFonts w:cs="FrankRuehl"/>
          <w:sz w:val="26"/>
          <w:szCs w:val="26"/>
          <w:rtl/>
        </w:rPr>
        <w:t>בתכנית</w:t>
      </w:r>
      <w:proofErr w:type="spellEnd"/>
      <w:r>
        <w:rPr>
          <w:rFonts w:cs="FrankRuehl"/>
          <w:sz w:val="26"/>
          <w:szCs w:val="26"/>
          <w:rtl/>
        </w:rPr>
        <w:t xml:space="preserve"> זו מתוקצבת כלל הפעילות של מנהלת תקומה שהוקמה בעקבות </w:t>
      </w:r>
      <w:proofErr w:type="spellStart"/>
      <w:r>
        <w:rPr>
          <w:rFonts w:cs="FrankRuehl"/>
          <w:sz w:val="26"/>
          <w:szCs w:val="26"/>
          <w:rtl/>
        </w:rPr>
        <w:t>מחלחמת</w:t>
      </w:r>
      <w:proofErr w:type="spellEnd"/>
      <w:r>
        <w:rPr>
          <w:rFonts w:cs="FrankRuehl"/>
          <w:sz w:val="26"/>
          <w:szCs w:val="26"/>
          <w:rtl/>
        </w:rPr>
        <w:t xml:space="preserve"> "חרבות ברזל" ואחראית למציאת פתרונות לתושבי חבל תקומה ולפיתוח האזור.</w:t>
      </w:r>
    </w:p>
    <w:p w14:paraId="1628C8D6" w14:textId="77777777" w:rsidR="00AB00AA" w:rsidRDefault="00AB00AA" w:rsidP="00AB00AA">
      <w:pPr>
        <w:ind w:left="397"/>
        <w:contextualSpacing/>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p>
    <w:p w14:paraId="35AD7E14" w14:textId="77777777" w:rsidR="00AB00AA" w:rsidRDefault="00AB00AA" w:rsidP="00AB00AA">
      <w:pPr>
        <w:ind w:left="397"/>
        <w:contextualSpacing/>
        <w:jc w:val="both"/>
        <w:rPr>
          <w:rFonts w:cs="FrankRuehl"/>
          <w:sz w:val="26"/>
          <w:szCs w:val="26"/>
          <w:rtl/>
        </w:rPr>
      </w:pPr>
      <w:r>
        <w:rPr>
          <w:rFonts w:cs="FrankRuehl"/>
          <w:sz w:val="26"/>
          <w:szCs w:val="26"/>
          <w:rtl/>
        </w:rPr>
        <w:t xml:space="preserve">העודפים המחויבים נוצרו כתוצאה מהתקשרויות ארוכות טווח וחוזים חוצי שנה ופעולות אשר נועדו לשיקום חבל התקומה. </w:t>
      </w:r>
    </w:p>
    <w:p w14:paraId="5BCA91EA" w14:textId="77777777" w:rsidR="00AB00AA" w:rsidRDefault="00AB00AA" w:rsidP="00AB00AA">
      <w:pPr>
        <w:ind w:left="397"/>
        <w:contextualSpacing/>
        <w:jc w:val="both"/>
        <w:rPr>
          <w:rFonts w:cs="FrankRuehl"/>
          <w:sz w:val="26"/>
          <w:szCs w:val="26"/>
          <w:rtl/>
        </w:rPr>
      </w:pPr>
    </w:p>
    <w:p w14:paraId="054CB73F" w14:textId="77777777" w:rsidR="00AB00AA" w:rsidRDefault="00AB00AA" w:rsidP="00AB00AA">
      <w:pPr>
        <w:numPr>
          <w:ilvl w:val="0"/>
          <w:numId w:val="1"/>
        </w:numPr>
        <w:overflowPunct/>
        <w:contextualSpacing/>
        <w:jc w:val="both"/>
        <w:textAlignment w:val="auto"/>
        <w:rPr>
          <w:rFonts w:cs="FrankRuehl"/>
          <w:b/>
          <w:bCs/>
          <w:sz w:val="26"/>
          <w:szCs w:val="26"/>
          <w:rtl/>
        </w:rPr>
      </w:pPr>
      <w:r>
        <w:rPr>
          <w:rFonts w:cs="FrankRuehl"/>
          <w:b/>
          <w:bCs/>
          <w:sz w:val="26"/>
          <w:szCs w:val="26"/>
          <w:rtl/>
        </w:rPr>
        <w:t xml:space="preserve">תכנית 545002 – תוכניות ארוכות טווח– 52,235 אלפי ש"ח בהוצאה. </w:t>
      </w:r>
    </w:p>
    <w:p w14:paraId="6B1E9B50" w14:textId="77777777" w:rsidR="00AB00AA" w:rsidRDefault="00AB00AA" w:rsidP="00AB00AA">
      <w:pPr>
        <w:ind w:left="397"/>
        <w:contextualSpacing/>
        <w:jc w:val="both"/>
        <w:rPr>
          <w:rFonts w:cs="FrankRuehl"/>
          <w:b/>
          <w:bCs/>
          <w:sz w:val="26"/>
          <w:szCs w:val="26"/>
          <w:rtl/>
        </w:rPr>
      </w:pPr>
      <w:proofErr w:type="spellStart"/>
      <w:r>
        <w:rPr>
          <w:rFonts w:cs="FrankRuehl"/>
          <w:sz w:val="26"/>
          <w:szCs w:val="26"/>
          <w:rtl/>
        </w:rPr>
        <w:t>בתכנית</w:t>
      </w:r>
      <w:proofErr w:type="spellEnd"/>
      <w:r>
        <w:rPr>
          <w:rFonts w:cs="FrankRuehl"/>
          <w:sz w:val="26"/>
          <w:szCs w:val="26"/>
          <w:rtl/>
        </w:rPr>
        <w:t xml:space="preserve"> זו מתוקצבת כלל הפעילות של מנהלת תנופה שהוקמה בעקבות מלחמת "חרבות ברזל" ואחראית לשיקום ופיתוח הצפון. </w:t>
      </w:r>
    </w:p>
    <w:p w14:paraId="10394B72" w14:textId="77777777" w:rsidR="00AB00AA" w:rsidRDefault="00AB00AA" w:rsidP="00AB00AA">
      <w:pPr>
        <w:ind w:left="397"/>
        <w:contextualSpacing/>
        <w:jc w:val="both"/>
        <w:rPr>
          <w:rFonts w:cs="FrankRuehl"/>
          <w:b/>
          <w:bCs/>
          <w:sz w:val="26"/>
          <w:szCs w:val="26"/>
          <w:rtl/>
        </w:rPr>
      </w:pPr>
      <w:r>
        <w:rPr>
          <w:rFonts w:cs="FrankRuehl"/>
          <w:b/>
          <w:bCs/>
          <w:sz w:val="26"/>
          <w:szCs w:val="26"/>
          <w:rtl/>
        </w:rPr>
        <w:t xml:space="preserve">סיבות מרכזיות בגינן נוצרו עודפים </w:t>
      </w:r>
      <w:proofErr w:type="spellStart"/>
      <w:r>
        <w:rPr>
          <w:rFonts w:cs="FrankRuehl"/>
          <w:b/>
          <w:bCs/>
          <w:sz w:val="26"/>
          <w:szCs w:val="26"/>
          <w:rtl/>
        </w:rPr>
        <w:t>בתכנית</w:t>
      </w:r>
      <w:proofErr w:type="spellEnd"/>
      <w:r>
        <w:rPr>
          <w:rFonts w:cs="FrankRuehl"/>
          <w:b/>
          <w:bCs/>
          <w:sz w:val="26"/>
          <w:szCs w:val="26"/>
          <w:rtl/>
        </w:rPr>
        <w:t>:</w:t>
      </w:r>
    </w:p>
    <w:p w14:paraId="010FFFCD" w14:textId="77777777" w:rsidR="00AB00AA" w:rsidRDefault="00AB00AA" w:rsidP="00AB00AA">
      <w:pPr>
        <w:ind w:left="397"/>
        <w:contextualSpacing/>
        <w:jc w:val="both"/>
        <w:rPr>
          <w:rFonts w:ascii="FrankRuehl" w:hAnsi="FrankRuehl" w:cs="FrankRuehl"/>
          <w:sz w:val="26"/>
          <w:szCs w:val="26"/>
          <w:rtl/>
        </w:rPr>
      </w:pPr>
      <w:r>
        <w:rPr>
          <w:rFonts w:cs="FrankRuehl"/>
          <w:sz w:val="26"/>
          <w:szCs w:val="26"/>
          <w:rtl/>
        </w:rPr>
        <w:t xml:space="preserve">העודפים המחויבים נוצרו כתוצאה מהתקשרויות ארוכות טווח בתחומי חינוך, התיישבות, פיתוח כלכלי, הגנת הסביבה וחקלאות בצפון הארץ. התקשרויות אלו מקודמות במסגרת החלטת ממשלה 2330 בנושא קידום תוכנית לשיקום ולפיתוח הצפון בעקבות מלחמת חרבות ברזל. </w:t>
      </w:r>
    </w:p>
    <w:p w14:paraId="5DD51577" w14:textId="77777777" w:rsidR="00AB00AA" w:rsidRDefault="00AB00AA" w:rsidP="00AB00AA">
      <w:pPr>
        <w:ind w:left="397"/>
        <w:contextualSpacing/>
        <w:jc w:val="both"/>
        <w:rPr>
          <w:rFonts w:ascii="FrankRuehl" w:hAnsi="FrankRuehl" w:cs="FrankRuehl"/>
          <w:sz w:val="26"/>
          <w:szCs w:val="26"/>
          <w:rtl/>
        </w:rPr>
      </w:pPr>
      <w:r>
        <w:rPr>
          <w:rFonts w:ascii="FrankRuehl" w:hAnsi="FrankRuehl" w:cs="FrankRuehl"/>
          <w:sz w:val="26"/>
          <w:szCs w:val="26"/>
          <w:rtl/>
        </w:rPr>
        <w:t xml:space="preserve">התקשרויות אלה הן חוצות 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ולפיכך נוצרו 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אשר העברתם מבוקשת לשנה הנוכחית. </w:t>
      </w:r>
    </w:p>
    <w:p w14:paraId="2EEC9704" w14:textId="77777777" w:rsidR="00AB00AA" w:rsidRPr="000A3FA0" w:rsidRDefault="00AB00AA" w:rsidP="00AB00AA">
      <w:pPr>
        <w:contextualSpacing/>
        <w:jc w:val="both"/>
        <w:rPr>
          <w:rFonts w:cs="FrankRuehl"/>
          <w:sz w:val="26"/>
          <w:szCs w:val="26"/>
          <w:rtl/>
        </w:rPr>
      </w:pPr>
    </w:p>
    <w:p w14:paraId="65365071" w14:textId="77777777" w:rsidR="0051496B" w:rsidRPr="000A3FA0" w:rsidRDefault="0051496B" w:rsidP="00AB00AA">
      <w:pPr>
        <w:contextualSpacing/>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6FB8D8E3" w14:textId="77777777" w:rsidR="0051496B" w:rsidRPr="000A3FA0" w:rsidRDefault="0051496B" w:rsidP="00A6761F">
      <w:pPr>
        <w:jc w:val="both"/>
        <w:rPr>
          <w:rFonts w:cs="FrankRuehl"/>
          <w:sz w:val="26"/>
          <w:szCs w:val="26"/>
          <w:rtl/>
        </w:rPr>
      </w:pPr>
    </w:p>
    <w:p w14:paraId="21657481" w14:textId="77777777" w:rsidR="0051496B" w:rsidRPr="000A3FA0" w:rsidRDefault="0051496B" w:rsidP="00A6761F">
      <w:pPr>
        <w:jc w:val="both"/>
        <w:rPr>
          <w:rFonts w:cs="FrankRuehl"/>
          <w:sz w:val="26"/>
          <w:szCs w:val="26"/>
          <w:rtl/>
        </w:rPr>
      </w:pPr>
    </w:p>
    <w:p w14:paraId="4C332C0A"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22D57CB" w14:textId="77777777" w:rsidR="0051496B" w:rsidRDefault="0051496B">
      <w:pPr>
        <w:tabs>
          <w:tab w:val="center" w:pos="6867"/>
        </w:tabs>
        <w:rPr>
          <w:rFonts w:cs="FrankRuehl"/>
          <w:sz w:val="26"/>
          <w:szCs w:val="26"/>
          <w:rtl/>
        </w:rPr>
      </w:pPr>
    </w:p>
    <w:p w14:paraId="008DF0A0"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6054D07D" w14:textId="77777777" w:rsidR="0051496B" w:rsidRPr="000A3FA0" w:rsidRDefault="0051496B">
      <w:pPr>
        <w:tabs>
          <w:tab w:val="center" w:pos="6867"/>
        </w:tabs>
        <w:rPr>
          <w:rFonts w:cs="FrankRuehl"/>
          <w:sz w:val="26"/>
          <w:szCs w:val="26"/>
          <w:rtl/>
        </w:rPr>
      </w:pPr>
    </w:p>
    <w:p w14:paraId="30CF2540"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15D4E564"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2370D857" w14:textId="77777777" w:rsidR="0051496B" w:rsidRPr="000A3FA0" w:rsidRDefault="0051496B">
      <w:pPr>
        <w:rPr>
          <w:rFonts w:cs="FrankRuehl"/>
          <w:sz w:val="26"/>
          <w:szCs w:val="26"/>
          <w:rtl/>
        </w:rPr>
      </w:pPr>
    </w:p>
    <w:p w14:paraId="3B283F1F" w14:textId="77777777" w:rsidR="0051496B" w:rsidRPr="000A3FA0" w:rsidRDefault="0051496B">
      <w:pPr>
        <w:rPr>
          <w:rFonts w:cs="FrankRuehl"/>
          <w:sz w:val="26"/>
          <w:szCs w:val="26"/>
          <w:rtl/>
        </w:rPr>
      </w:pPr>
      <w:r w:rsidRPr="000A3FA0">
        <w:rPr>
          <w:rFonts w:cs="FrankRuehl"/>
          <w:sz w:val="26"/>
          <w:szCs w:val="26"/>
          <w:rtl/>
        </w:rPr>
        <w:t>העתק:</w:t>
      </w:r>
    </w:p>
    <w:p w14:paraId="120A66F9" w14:textId="77777777" w:rsidR="0051496B" w:rsidRPr="000A3FA0" w:rsidRDefault="0051496B">
      <w:pPr>
        <w:rPr>
          <w:rFonts w:cs="FrankRuehl"/>
          <w:sz w:val="26"/>
          <w:szCs w:val="26"/>
          <w:rtl/>
        </w:rPr>
      </w:pPr>
      <w:r w:rsidRPr="000A3FA0">
        <w:rPr>
          <w:rFonts w:cs="FrankRuehl"/>
          <w:sz w:val="26"/>
          <w:szCs w:val="26"/>
          <w:rtl/>
        </w:rPr>
        <w:t>החשב הכללי</w:t>
      </w:r>
    </w:p>
    <w:p w14:paraId="341D28B6" w14:textId="77777777" w:rsidR="0051496B" w:rsidRPr="000A3FA0" w:rsidRDefault="0051496B">
      <w:pPr>
        <w:rPr>
          <w:rFonts w:cs="FrankRuehl"/>
          <w:sz w:val="26"/>
          <w:szCs w:val="26"/>
          <w:rtl/>
        </w:rPr>
      </w:pPr>
      <w:r w:rsidRPr="000A3FA0">
        <w:rPr>
          <w:rFonts w:cs="FrankRuehl"/>
          <w:sz w:val="26"/>
          <w:szCs w:val="26"/>
          <w:rtl/>
        </w:rPr>
        <w:t>מבקר המדינה (2)</w:t>
      </w:r>
    </w:p>
    <w:p w14:paraId="1C43B465" w14:textId="77777777" w:rsidR="00CE694F" w:rsidRDefault="00CE694F">
      <w:pPr>
        <w:rPr>
          <w:rFonts w:cs="FrankRuehl"/>
          <w:sz w:val="26"/>
          <w:szCs w:val="26"/>
          <w:rtl/>
        </w:rPr>
      </w:pPr>
      <w:bookmarkStart w:id="12" w:name="TAKZIV22"/>
      <w:r>
        <w:rPr>
          <w:rFonts w:cs="FrankRuehl"/>
          <w:sz w:val="26"/>
          <w:szCs w:val="26"/>
          <w:rtl/>
        </w:rPr>
        <w:t>חשב זרוע עבודה - משרד הכלכלה</w:t>
      </w:r>
    </w:p>
    <w:p w14:paraId="13E59CE9" w14:textId="77777777" w:rsidR="00CE694F" w:rsidRDefault="00CE694F">
      <w:pPr>
        <w:rPr>
          <w:rFonts w:cs="FrankRuehl"/>
          <w:sz w:val="26"/>
          <w:szCs w:val="26"/>
          <w:rtl/>
        </w:rPr>
      </w:pPr>
      <w:r>
        <w:rPr>
          <w:rFonts w:cs="FrankRuehl"/>
          <w:sz w:val="26"/>
          <w:szCs w:val="26"/>
          <w:rtl/>
        </w:rPr>
        <w:t xml:space="preserve">חשב משרד </w:t>
      </w:r>
      <w:proofErr w:type="spellStart"/>
      <w:r>
        <w:rPr>
          <w:rFonts w:cs="FrankRuehl"/>
          <w:sz w:val="26"/>
          <w:szCs w:val="26"/>
          <w:rtl/>
        </w:rPr>
        <w:t>ההתישבות</w:t>
      </w:r>
      <w:proofErr w:type="spellEnd"/>
    </w:p>
    <w:p w14:paraId="152B4E97" w14:textId="77777777" w:rsidR="00CE694F" w:rsidRDefault="00CE694F">
      <w:pPr>
        <w:rPr>
          <w:rFonts w:cs="FrankRuehl"/>
          <w:sz w:val="26"/>
          <w:szCs w:val="26"/>
          <w:rtl/>
        </w:rPr>
      </w:pPr>
      <w:r>
        <w:rPr>
          <w:rFonts w:cs="FrankRuehl"/>
          <w:sz w:val="26"/>
          <w:szCs w:val="26"/>
          <w:rtl/>
        </w:rPr>
        <w:t>חשב הרשות להגנת הצרכן ולסחר הוגן</w:t>
      </w:r>
    </w:p>
    <w:p w14:paraId="0141F66E" w14:textId="77777777" w:rsidR="00CE694F" w:rsidRDefault="00CE694F">
      <w:pPr>
        <w:rPr>
          <w:rFonts w:cs="FrankRuehl"/>
          <w:sz w:val="26"/>
          <w:szCs w:val="26"/>
          <w:rtl/>
        </w:rPr>
      </w:pPr>
      <w:r>
        <w:rPr>
          <w:rFonts w:cs="FrankRuehl"/>
          <w:sz w:val="26"/>
          <w:szCs w:val="26"/>
          <w:rtl/>
        </w:rPr>
        <w:t>חשב משרד הבריאות</w:t>
      </w:r>
    </w:p>
    <w:p w14:paraId="04C34039" w14:textId="77777777" w:rsidR="00CE694F" w:rsidRDefault="00CE694F">
      <w:pPr>
        <w:rPr>
          <w:rFonts w:cs="FrankRuehl"/>
          <w:sz w:val="26"/>
          <w:szCs w:val="26"/>
          <w:rtl/>
        </w:rPr>
      </w:pPr>
      <w:r>
        <w:rPr>
          <w:rFonts w:cs="FrankRuehl"/>
          <w:sz w:val="26"/>
          <w:szCs w:val="26"/>
          <w:rtl/>
        </w:rPr>
        <w:t>חשב משרד הקליטה</w:t>
      </w:r>
    </w:p>
    <w:p w14:paraId="3EC8A903" w14:textId="77777777" w:rsidR="00CE694F" w:rsidRDefault="00CE694F">
      <w:pPr>
        <w:rPr>
          <w:rFonts w:cs="FrankRuehl"/>
          <w:sz w:val="26"/>
          <w:szCs w:val="26"/>
          <w:rtl/>
        </w:rPr>
      </w:pPr>
      <w:r>
        <w:rPr>
          <w:rFonts w:cs="FrankRuehl"/>
          <w:sz w:val="26"/>
          <w:szCs w:val="26"/>
          <w:rtl/>
        </w:rPr>
        <w:t>חשב משרד המדע</w:t>
      </w:r>
    </w:p>
    <w:p w14:paraId="6D62C2DE" w14:textId="77777777" w:rsidR="00CE694F" w:rsidRDefault="00CE694F">
      <w:pPr>
        <w:rPr>
          <w:rFonts w:cs="FrankRuehl"/>
          <w:sz w:val="26"/>
          <w:szCs w:val="26"/>
          <w:rtl/>
        </w:rPr>
      </w:pPr>
      <w:r>
        <w:rPr>
          <w:rFonts w:cs="FrankRuehl"/>
          <w:sz w:val="26"/>
          <w:szCs w:val="26"/>
          <w:rtl/>
        </w:rPr>
        <w:t>חשב משרד הכלכלה והתעשיה</w:t>
      </w:r>
    </w:p>
    <w:p w14:paraId="5F324D0C" w14:textId="77777777" w:rsidR="00CE694F" w:rsidRDefault="00CE694F">
      <w:pPr>
        <w:rPr>
          <w:rFonts w:cs="FrankRuehl"/>
          <w:sz w:val="26"/>
          <w:szCs w:val="26"/>
          <w:rtl/>
        </w:rPr>
      </w:pPr>
      <w:r>
        <w:rPr>
          <w:rFonts w:cs="FrankRuehl"/>
          <w:sz w:val="26"/>
          <w:szCs w:val="26"/>
          <w:rtl/>
        </w:rPr>
        <w:t>חשב מנהלת תקומה</w:t>
      </w:r>
    </w:p>
    <w:p w14:paraId="71E65334" w14:textId="77777777" w:rsidR="00CE694F" w:rsidRDefault="00CE694F">
      <w:pPr>
        <w:rPr>
          <w:rFonts w:cs="FrankRuehl"/>
          <w:sz w:val="26"/>
          <w:szCs w:val="26"/>
          <w:rtl/>
        </w:rPr>
      </w:pPr>
      <w:r>
        <w:rPr>
          <w:rFonts w:cs="FrankRuehl"/>
          <w:sz w:val="26"/>
          <w:szCs w:val="26"/>
          <w:rtl/>
        </w:rPr>
        <w:t>חשב משרד החינוך והתרבות</w:t>
      </w:r>
    </w:p>
    <w:p w14:paraId="69B6C450" w14:textId="77777777" w:rsidR="00CE694F" w:rsidRDefault="00CE694F">
      <w:pPr>
        <w:rPr>
          <w:rFonts w:cs="FrankRuehl"/>
          <w:sz w:val="26"/>
          <w:szCs w:val="26"/>
          <w:rtl/>
        </w:rPr>
      </w:pPr>
      <w:r>
        <w:rPr>
          <w:rFonts w:cs="FrankRuehl"/>
          <w:sz w:val="26"/>
          <w:szCs w:val="26"/>
          <w:rtl/>
        </w:rPr>
        <w:t>חשב משרד הבינוי והשיכון</w:t>
      </w:r>
    </w:p>
    <w:p w14:paraId="537134EF" w14:textId="77777777" w:rsidR="00CE694F" w:rsidRDefault="00CE694F">
      <w:pPr>
        <w:rPr>
          <w:rFonts w:cs="FrankRuehl"/>
          <w:sz w:val="26"/>
          <w:szCs w:val="26"/>
          <w:rtl/>
        </w:rPr>
      </w:pPr>
      <w:r>
        <w:rPr>
          <w:rFonts w:cs="FrankRuehl"/>
          <w:sz w:val="26"/>
          <w:szCs w:val="26"/>
          <w:rtl/>
        </w:rPr>
        <w:t xml:space="preserve">חשב המשרד </w:t>
      </w:r>
      <w:proofErr w:type="spellStart"/>
      <w:r>
        <w:rPr>
          <w:rFonts w:cs="FrankRuehl"/>
          <w:sz w:val="26"/>
          <w:szCs w:val="26"/>
          <w:rtl/>
        </w:rPr>
        <w:t>לבטחון</w:t>
      </w:r>
      <w:proofErr w:type="spellEnd"/>
      <w:r>
        <w:rPr>
          <w:rFonts w:cs="FrankRuehl"/>
          <w:sz w:val="26"/>
          <w:szCs w:val="26"/>
          <w:rtl/>
        </w:rPr>
        <w:t xml:space="preserve"> פנים</w:t>
      </w:r>
    </w:p>
    <w:p w14:paraId="1BD3D936" w14:textId="77777777" w:rsidR="00CE694F" w:rsidRDefault="00CE694F">
      <w:pPr>
        <w:rPr>
          <w:rFonts w:cs="FrankRuehl"/>
          <w:sz w:val="26"/>
          <w:szCs w:val="26"/>
          <w:rtl/>
        </w:rPr>
      </w:pPr>
      <w:r>
        <w:rPr>
          <w:rFonts w:cs="FrankRuehl"/>
          <w:sz w:val="26"/>
          <w:szCs w:val="26"/>
          <w:rtl/>
        </w:rPr>
        <w:t>חשב מנהל התכנון</w:t>
      </w:r>
    </w:p>
    <w:p w14:paraId="495CD13F" w14:textId="77777777" w:rsidR="00CE694F" w:rsidRDefault="00CE694F">
      <w:pPr>
        <w:rPr>
          <w:rFonts w:cs="FrankRuehl"/>
          <w:sz w:val="26"/>
          <w:szCs w:val="26"/>
          <w:rtl/>
        </w:rPr>
      </w:pPr>
      <w:r>
        <w:rPr>
          <w:rFonts w:cs="FrankRuehl"/>
          <w:sz w:val="26"/>
          <w:szCs w:val="26"/>
          <w:rtl/>
        </w:rPr>
        <w:t>חשב הרשות לשירות לאומי אזרחי</w:t>
      </w:r>
    </w:p>
    <w:p w14:paraId="4E1A86E2" w14:textId="77777777" w:rsidR="00CE694F" w:rsidRDefault="00CE694F">
      <w:pPr>
        <w:rPr>
          <w:rFonts w:cs="FrankRuehl"/>
          <w:sz w:val="26"/>
          <w:szCs w:val="26"/>
          <w:rtl/>
        </w:rPr>
      </w:pPr>
      <w:r>
        <w:rPr>
          <w:rFonts w:cs="FrankRuehl"/>
          <w:sz w:val="26"/>
          <w:szCs w:val="26"/>
          <w:rtl/>
        </w:rPr>
        <w:t>חשב החשב הכללי</w:t>
      </w:r>
    </w:p>
    <w:p w14:paraId="4CC11876" w14:textId="77777777" w:rsidR="00CE694F" w:rsidRDefault="00CE694F">
      <w:pPr>
        <w:rPr>
          <w:rFonts w:cs="FrankRuehl"/>
          <w:sz w:val="26"/>
          <w:szCs w:val="26"/>
          <w:rtl/>
        </w:rPr>
      </w:pPr>
      <w:r>
        <w:rPr>
          <w:rFonts w:cs="FrankRuehl"/>
          <w:sz w:val="26"/>
          <w:szCs w:val="26"/>
          <w:rtl/>
        </w:rPr>
        <w:t>חשב משרד המשפטים</w:t>
      </w:r>
    </w:p>
    <w:p w14:paraId="3AE24D79" w14:textId="77777777" w:rsidR="00CE694F" w:rsidRDefault="00CE694F">
      <w:pPr>
        <w:rPr>
          <w:rFonts w:cs="FrankRuehl"/>
          <w:sz w:val="26"/>
          <w:szCs w:val="26"/>
          <w:rtl/>
        </w:rPr>
      </w:pPr>
      <w:r>
        <w:rPr>
          <w:rFonts w:cs="FrankRuehl"/>
          <w:sz w:val="26"/>
          <w:szCs w:val="26"/>
          <w:rtl/>
        </w:rPr>
        <w:t>חשב המשרד לתשתיות לאומיות</w:t>
      </w:r>
    </w:p>
    <w:p w14:paraId="50EDFF81" w14:textId="77777777" w:rsidR="00CE694F" w:rsidRDefault="00CE694F">
      <w:pPr>
        <w:rPr>
          <w:rFonts w:cs="FrankRuehl"/>
          <w:sz w:val="26"/>
          <w:szCs w:val="26"/>
          <w:rtl/>
        </w:rPr>
      </w:pPr>
      <w:r>
        <w:rPr>
          <w:rFonts w:cs="FrankRuehl"/>
          <w:sz w:val="26"/>
          <w:szCs w:val="26"/>
          <w:rtl/>
        </w:rPr>
        <w:t>חשב משרד הדתות</w:t>
      </w:r>
    </w:p>
    <w:p w14:paraId="3E737090" w14:textId="77777777" w:rsidR="00CE694F" w:rsidRDefault="00CE694F">
      <w:pPr>
        <w:rPr>
          <w:rFonts w:cs="FrankRuehl"/>
          <w:sz w:val="26"/>
          <w:szCs w:val="26"/>
          <w:rtl/>
        </w:rPr>
      </w:pPr>
      <w:r>
        <w:rPr>
          <w:rFonts w:cs="FrankRuehl"/>
          <w:sz w:val="26"/>
          <w:szCs w:val="26"/>
          <w:rtl/>
        </w:rPr>
        <w:t>חשב רשות שוק ההון</w:t>
      </w:r>
    </w:p>
    <w:p w14:paraId="63D71FE0" w14:textId="77777777" w:rsidR="00CE694F" w:rsidRDefault="00CE694F">
      <w:pPr>
        <w:rPr>
          <w:rFonts w:cs="FrankRuehl"/>
          <w:sz w:val="26"/>
          <w:szCs w:val="26"/>
          <w:rtl/>
        </w:rPr>
      </w:pPr>
      <w:r>
        <w:rPr>
          <w:rFonts w:cs="FrankRuehl"/>
          <w:sz w:val="26"/>
          <w:szCs w:val="26"/>
          <w:rtl/>
        </w:rPr>
        <w:t>חשב רשות הבדואים</w:t>
      </w:r>
    </w:p>
    <w:p w14:paraId="376A30F6" w14:textId="77777777" w:rsidR="00CE694F" w:rsidRDefault="00CE694F">
      <w:pPr>
        <w:rPr>
          <w:rFonts w:cs="FrankRuehl"/>
          <w:sz w:val="26"/>
          <w:szCs w:val="26"/>
          <w:rtl/>
        </w:rPr>
      </w:pPr>
      <w:r>
        <w:rPr>
          <w:rFonts w:cs="FrankRuehl"/>
          <w:sz w:val="26"/>
          <w:szCs w:val="26"/>
          <w:rtl/>
        </w:rPr>
        <w:t>חשב המשרד לאיכות הסביבה</w:t>
      </w:r>
    </w:p>
    <w:p w14:paraId="13F8BB1F" w14:textId="77777777" w:rsidR="00CE694F" w:rsidRDefault="00CE694F">
      <w:pPr>
        <w:rPr>
          <w:rFonts w:cs="FrankRuehl"/>
          <w:sz w:val="26"/>
          <w:szCs w:val="26"/>
          <w:rtl/>
        </w:rPr>
      </w:pPr>
      <w:r>
        <w:rPr>
          <w:rFonts w:cs="FrankRuehl"/>
          <w:sz w:val="26"/>
          <w:szCs w:val="26"/>
          <w:rtl/>
        </w:rPr>
        <w:t>חשב משרד הרווחה</w:t>
      </w:r>
    </w:p>
    <w:p w14:paraId="588F72F4" w14:textId="77777777" w:rsidR="00CE694F" w:rsidRDefault="00CE694F">
      <w:pPr>
        <w:rPr>
          <w:rFonts w:cs="FrankRuehl"/>
          <w:sz w:val="26"/>
          <w:szCs w:val="26"/>
          <w:rtl/>
        </w:rPr>
      </w:pPr>
      <w:r>
        <w:rPr>
          <w:rFonts w:cs="FrankRuehl"/>
          <w:sz w:val="26"/>
          <w:szCs w:val="26"/>
          <w:rtl/>
        </w:rPr>
        <w:t>חשב משרד החקלאות</w:t>
      </w:r>
    </w:p>
    <w:p w14:paraId="5DAFA82E" w14:textId="112F8F1D" w:rsidR="0051496B" w:rsidRPr="000A3FA0" w:rsidRDefault="00CE694F" w:rsidP="00AB00AA">
      <w:pPr>
        <w:rPr>
          <w:rFonts w:cs="FrankRuehl"/>
          <w:sz w:val="26"/>
          <w:szCs w:val="26"/>
          <w:rtl/>
        </w:rPr>
      </w:pPr>
      <w:r>
        <w:rPr>
          <w:rFonts w:cs="FrankRuehl"/>
          <w:sz w:val="26"/>
          <w:szCs w:val="26"/>
          <w:rtl/>
        </w:rPr>
        <w:t>חשב רשות התחרות</w:t>
      </w:r>
      <w:bookmarkEnd w:id="12"/>
      <w:r w:rsidR="0051496B" w:rsidRPr="000A3FA0">
        <w:rPr>
          <w:rFonts w:cs="FrankRuehl"/>
          <w:sz w:val="26"/>
          <w:szCs w:val="26"/>
          <w:rtl/>
        </w:rPr>
        <w:t xml:space="preserve"> </w:t>
      </w:r>
    </w:p>
    <w:p w14:paraId="36D3D34A" w14:textId="0DCCFDDC"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CE694F">
        <w:rPr>
          <w:rFonts w:cs="FrankRuehl"/>
          <w:sz w:val="26"/>
          <w:szCs w:val="26"/>
          <w:rtl/>
        </w:rPr>
        <w:t>רשויות פיקוח</w:t>
      </w:r>
      <w:bookmarkEnd w:id="13"/>
    </w:p>
    <w:p w14:paraId="775D8AE8" w14:textId="0C33899D"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CE694F">
        <w:rPr>
          <w:rFonts w:cs="FrankRuehl"/>
          <w:sz w:val="26"/>
          <w:szCs w:val="26"/>
          <w:rtl/>
        </w:rPr>
        <w:t>רשויות פיקוח</w:t>
      </w:r>
      <w:bookmarkEnd w:id="14"/>
    </w:p>
    <w:p w14:paraId="5AA6DBFE" w14:textId="77777777" w:rsidR="0051496B" w:rsidRPr="000A3FA0" w:rsidRDefault="0051496B">
      <w:pPr>
        <w:rPr>
          <w:rFonts w:cs="FrankRuehl"/>
          <w:sz w:val="26"/>
          <w:szCs w:val="26"/>
          <w:rtl/>
        </w:rPr>
      </w:pPr>
      <w:bookmarkStart w:id="15" w:name="TAKZIV23"/>
      <w:bookmarkEnd w:id="15"/>
    </w:p>
    <w:p w14:paraId="4E5286E6" w14:textId="77777777" w:rsidR="0051496B" w:rsidRPr="000A3FA0" w:rsidRDefault="0051496B">
      <w:pPr>
        <w:rPr>
          <w:rFonts w:cs="FrankRuehl"/>
          <w:sz w:val="26"/>
          <w:szCs w:val="26"/>
          <w:rtl/>
        </w:rPr>
      </w:pPr>
    </w:p>
    <w:p w14:paraId="4F0E0769" w14:textId="31910572" w:rsidR="0051496B" w:rsidRDefault="0051496B">
      <w:pPr>
        <w:rPr>
          <w:rFonts w:cs="FrankRuehl"/>
          <w:sz w:val="26"/>
          <w:szCs w:val="26"/>
          <w:rtl/>
        </w:rPr>
      </w:pPr>
      <w:bookmarkStart w:id="16" w:name="TAKZIV25"/>
      <w:bookmarkEnd w:id="16"/>
    </w:p>
    <w:p w14:paraId="238AC1E7" w14:textId="1D3D8C71" w:rsidR="00F71AE2" w:rsidRDefault="00F71AE2">
      <w:pPr>
        <w:rPr>
          <w:rFonts w:cs="FrankRuehl"/>
          <w:sz w:val="26"/>
          <w:szCs w:val="26"/>
          <w:rtl/>
        </w:rPr>
      </w:pPr>
    </w:p>
    <w:p w14:paraId="5D419681" w14:textId="3837A955" w:rsidR="00F71AE2" w:rsidRDefault="00F71AE2">
      <w:pPr>
        <w:rPr>
          <w:rFonts w:cs="FrankRuehl"/>
          <w:sz w:val="26"/>
          <w:szCs w:val="26"/>
          <w:rtl/>
        </w:rPr>
      </w:pPr>
    </w:p>
    <w:p w14:paraId="4A67ECE2" w14:textId="0FF76D20" w:rsidR="00F71AE2" w:rsidRDefault="00F71AE2">
      <w:pPr>
        <w:rPr>
          <w:rFonts w:cs="FrankRuehl"/>
          <w:sz w:val="26"/>
          <w:szCs w:val="26"/>
          <w:rtl/>
        </w:rPr>
      </w:pPr>
    </w:p>
    <w:p w14:paraId="222221FE" w14:textId="127EDE0D" w:rsidR="00F71AE2" w:rsidRDefault="00F71AE2">
      <w:pPr>
        <w:rPr>
          <w:rFonts w:cs="FrankRuehl"/>
          <w:sz w:val="26"/>
          <w:szCs w:val="26"/>
          <w:rtl/>
        </w:rPr>
      </w:pPr>
    </w:p>
    <w:p w14:paraId="281944DB" w14:textId="6C735EDF" w:rsidR="00F71AE2" w:rsidRDefault="00F71AE2">
      <w:pPr>
        <w:rPr>
          <w:rFonts w:cs="FrankRuehl"/>
          <w:sz w:val="26"/>
          <w:szCs w:val="26"/>
          <w:rtl/>
        </w:rPr>
      </w:pPr>
    </w:p>
    <w:p w14:paraId="210B7EA2" w14:textId="5105DCCD" w:rsidR="00F71AE2" w:rsidRDefault="00F71AE2">
      <w:pPr>
        <w:rPr>
          <w:rFonts w:cs="FrankRuehl"/>
          <w:sz w:val="26"/>
          <w:szCs w:val="26"/>
          <w:rtl/>
        </w:rPr>
      </w:pPr>
    </w:p>
    <w:p w14:paraId="68F4770B" w14:textId="0587C148" w:rsidR="00F71AE2" w:rsidRDefault="00F71AE2">
      <w:pPr>
        <w:rPr>
          <w:rFonts w:cs="FrankRuehl"/>
          <w:sz w:val="26"/>
          <w:szCs w:val="26"/>
          <w:rtl/>
        </w:rPr>
      </w:pPr>
    </w:p>
    <w:p w14:paraId="440EAA4B" w14:textId="01A7CF80" w:rsidR="00F71AE2" w:rsidRDefault="00F71AE2">
      <w:pPr>
        <w:rPr>
          <w:rFonts w:cs="FrankRuehl"/>
          <w:sz w:val="26"/>
          <w:szCs w:val="26"/>
          <w:rtl/>
        </w:rPr>
      </w:pPr>
    </w:p>
    <w:p w14:paraId="1DD00338" w14:textId="50184B25" w:rsidR="00F71AE2" w:rsidRDefault="00F71AE2">
      <w:pPr>
        <w:rPr>
          <w:rFonts w:cs="FrankRuehl"/>
          <w:sz w:val="26"/>
          <w:szCs w:val="26"/>
          <w:rtl/>
        </w:rPr>
      </w:pPr>
    </w:p>
    <w:p w14:paraId="4F079A94" w14:textId="71C1F089" w:rsidR="00F71AE2" w:rsidRDefault="00F71AE2">
      <w:pPr>
        <w:rPr>
          <w:rFonts w:cs="FrankRuehl"/>
          <w:sz w:val="26"/>
          <w:szCs w:val="26"/>
          <w:rtl/>
        </w:rPr>
      </w:pPr>
    </w:p>
    <w:p w14:paraId="3835B0A1" w14:textId="7EC5E9E0" w:rsidR="00F71AE2" w:rsidRDefault="00F71AE2">
      <w:pPr>
        <w:rPr>
          <w:rFonts w:cs="FrankRuehl"/>
          <w:sz w:val="26"/>
          <w:szCs w:val="26"/>
          <w:rtl/>
        </w:rPr>
      </w:pPr>
    </w:p>
    <w:p w14:paraId="09AA2AF8" w14:textId="603F117B" w:rsidR="00F71AE2" w:rsidRDefault="00F71AE2">
      <w:pPr>
        <w:rPr>
          <w:rFonts w:cs="FrankRuehl"/>
          <w:sz w:val="26"/>
          <w:szCs w:val="26"/>
          <w:rtl/>
        </w:rPr>
      </w:pPr>
    </w:p>
    <w:p w14:paraId="6E8E8E06" w14:textId="6DEB5D0F" w:rsidR="00F71AE2" w:rsidRDefault="00F71AE2">
      <w:pPr>
        <w:rPr>
          <w:rFonts w:cs="FrankRuehl"/>
          <w:sz w:val="26"/>
          <w:szCs w:val="26"/>
          <w:rtl/>
        </w:rPr>
      </w:pPr>
    </w:p>
    <w:p w14:paraId="795E0367" w14:textId="26B58978" w:rsidR="00F71AE2" w:rsidRDefault="00F71AE2">
      <w:pPr>
        <w:rPr>
          <w:rFonts w:cs="FrankRuehl"/>
          <w:sz w:val="26"/>
          <w:szCs w:val="26"/>
          <w:rtl/>
        </w:rPr>
      </w:pPr>
    </w:p>
    <w:p w14:paraId="1D678E99" w14:textId="28D63A6E" w:rsidR="00F71AE2" w:rsidRDefault="00F71AE2">
      <w:pPr>
        <w:rPr>
          <w:rFonts w:cs="FrankRuehl"/>
          <w:sz w:val="26"/>
          <w:szCs w:val="26"/>
          <w:rtl/>
        </w:rPr>
      </w:pPr>
    </w:p>
    <w:p w14:paraId="3D8C664D" w14:textId="4E3D77BB" w:rsidR="00F71AE2" w:rsidRDefault="00F71AE2">
      <w:pPr>
        <w:rPr>
          <w:rFonts w:cs="FrankRuehl"/>
          <w:sz w:val="26"/>
          <w:szCs w:val="26"/>
          <w:rtl/>
        </w:rPr>
      </w:pPr>
    </w:p>
    <w:p w14:paraId="27272005" w14:textId="2304268D" w:rsidR="00F71AE2" w:rsidRDefault="00F71AE2">
      <w:pPr>
        <w:rPr>
          <w:rFonts w:cs="FrankRuehl"/>
          <w:sz w:val="26"/>
          <w:szCs w:val="26"/>
          <w:rtl/>
        </w:rPr>
      </w:pPr>
    </w:p>
    <w:p w14:paraId="7147B4AE" w14:textId="3083E831" w:rsidR="00F71AE2" w:rsidRPr="00F71AE2" w:rsidRDefault="00F71AE2" w:rsidP="00F71AE2">
      <w:pPr>
        <w:jc w:val="center"/>
        <w:rPr>
          <w:rFonts w:cs="FrankRuehl"/>
          <w:b/>
          <w:bCs/>
          <w:sz w:val="26"/>
          <w:szCs w:val="26"/>
          <w:u w:val="single"/>
          <w:rtl/>
        </w:rPr>
      </w:pPr>
      <w:r w:rsidRPr="00F71AE2">
        <w:rPr>
          <w:rFonts w:cs="FrankRuehl" w:hint="cs"/>
          <w:b/>
          <w:bCs/>
          <w:sz w:val="26"/>
          <w:szCs w:val="26"/>
          <w:u w:val="single"/>
          <w:rtl/>
        </w:rPr>
        <w:lastRenderedPageBreak/>
        <w:t>נספח לדברי ההסבר</w:t>
      </w:r>
    </w:p>
    <w:p w14:paraId="4F6F63C3" w14:textId="7F530002" w:rsidR="00F71AE2" w:rsidRPr="00F71AE2" w:rsidRDefault="00F71AE2" w:rsidP="00F71AE2">
      <w:pPr>
        <w:jc w:val="center"/>
        <w:rPr>
          <w:rFonts w:cs="FrankRuehl"/>
          <w:b/>
          <w:bCs/>
          <w:sz w:val="26"/>
          <w:szCs w:val="26"/>
          <w:u w:val="single"/>
          <w:rtl/>
        </w:rPr>
      </w:pPr>
    </w:p>
    <w:p w14:paraId="2E345A91" w14:textId="0897A384" w:rsidR="00F71AE2" w:rsidRDefault="00F71AE2" w:rsidP="00F71AE2">
      <w:pPr>
        <w:jc w:val="center"/>
        <w:rPr>
          <w:rFonts w:cs="FrankRuehl"/>
          <w:b/>
          <w:bCs/>
          <w:sz w:val="26"/>
          <w:szCs w:val="26"/>
          <w:rtl/>
        </w:rPr>
      </w:pPr>
      <w:r w:rsidRPr="00F71AE2">
        <w:rPr>
          <w:rFonts w:cs="FrankRuehl"/>
          <w:b/>
          <w:bCs/>
          <w:sz w:val="26"/>
          <w:szCs w:val="26"/>
          <w:rtl/>
        </w:rPr>
        <w:t>היסטוריה תקציבית של הפנייה</w:t>
      </w:r>
    </w:p>
    <w:p w14:paraId="3C68A1A5" w14:textId="150E149B" w:rsidR="00F71AE2" w:rsidRDefault="00F71AE2" w:rsidP="00F71AE2">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F71AE2" w:rsidRPr="00F71AE2" w14:paraId="558EA5E3" w14:textId="77777777" w:rsidTr="00F71AE2">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58A4C287" w14:textId="77777777" w:rsidR="00F71AE2" w:rsidRPr="00F71AE2" w:rsidRDefault="00F71AE2" w:rsidP="00F71AE2">
            <w:pPr>
              <w:overflowPunct/>
              <w:autoSpaceDE/>
              <w:autoSpaceDN/>
              <w:adjustRightInd/>
              <w:jc w:val="center"/>
              <w:textAlignment w:val="auto"/>
              <w:rPr>
                <w:rFonts w:ascii="Calibri" w:hAnsi="Calibri" w:cs="Calibri"/>
                <w:b/>
                <w:bCs/>
                <w:color w:val="000000"/>
                <w:sz w:val="16"/>
                <w:szCs w:val="16"/>
                <w:lang w:eastAsia="en-US"/>
              </w:rPr>
            </w:pPr>
            <w:r w:rsidRPr="00F71AE2">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43C787EA" w14:textId="77777777" w:rsidR="00F71AE2" w:rsidRPr="00F71AE2" w:rsidRDefault="00F71AE2" w:rsidP="00F71AE2">
            <w:pPr>
              <w:overflowPunct/>
              <w:autoSpaceDE/>
              <w:autoSpaceDN/>
              <w:adjustRightInd/>
              <w:jc w:val="center"/>
              <w:textAlignment w:val="auto"/>
              <w:rPr>
                <w:rFonts w:ascii="Calibri" w:hAnsi="Calibri" w:cs="Calibri"/>
                <w:b/>
                <w:bCs/>
                <w:color w:val="000000"/>
                <w:sz w:val="16"/>
                <w:szCs w:val="16"/>
                <w:rtl/>
                <w:lang w:eastAsia="en-US"/>
              </w:rPr>
            </w:pPr>
            <w:r w:rsidRPr="00F71AE2">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8B5F1CD" w14:textId="77777777" w:rsidR="00F71AE2" w:rsidRPr="00F71AE2" w:rsidRDefault="00F71AE2" w:rsidP="00F71AE2">
            <w:pPr>
              <w:overflowPunct/>
              <w:autoSpaceDE/>
              <w:autoSpaceDN/>
              <w:adjustRightInd/>
              <w:jc w:val="center"/>
              <w:textAlignment w:val="auto"/>
              <w:rPr>
                <w:rFonts w:ascii="Calibri" w:hAnsi="Calibri" w:cs="Calibri"/>
                <w:b/>
                <w:bCs/>
                <w:color w:val="000000"/>
                <w:sz w:val="16"/>
                <w:szCs w:val="16"/>
                <w:rtl/>
                <w:lang w:eastAsia="en-US"/>
              </w:rPr>
            </w:pPr>
            <w:r w:rsidRPr="00F71AE2">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70A1E7D" w14:textId="77777777" w:rsidR="00F71AE2" w:rsidRPr="00F71AE2" w:rsidRDefault="00F71AE2" w:rsidP="00F71AE2">
            <w:pPr>
              <w:overflowPunct/>
              <w:autoSpaceDE/>
              <w:autoSpaceDN/>
              <w:adjustRightInd/>
              <w:jc w:val="center"/>
              <w:textAlignment w:val="auto"/>
              <w:rPr>
                <w:rFonts w:ascii="Calibri" w:hAnsi="Calibri" w:cs="Calibri"/>
                <w:b/>
                <w:bCs/>
                <w:color w:val="000000"/>
                <w:sz w:val="16"/>
                <w:szCs w:val="16"/>
                <w:rtl/>
                <w:lang w:eastAsia="en-US"/>
              </w:rPr>
            </w:pPr>
            <w:r w:rsidRPr="00F71AE2">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3A407328" w14:textId="77777777" w:rsidR="00F71AE2" w:rsidRPr="00F71AE2" w:rsidRDefault="00F71AE2" w:rsidP="00F71AE2">
            <w:pPr>
              <w:overflowPunct/>
              <w:autoSpaceDE/>
              <w:autoSpaceDN/>
              <w:adjustRightInd/>
              <w:jc w:val="center"/>
              <w:textAlignment w:val="auto"/>
              <w:rPr>
                <w:rFonts w:ascii="Calibri" w:hAnsi="Calibri" w:cs="Calibri"/>
                <w:b/>
                <w:bCs/>
                <w:color w:val="000000"/>
                <w:sz w:val="16"/>
                <w:szCs w:val="16"/>
                <w:rtl/>
                <w:lang w:eastAsia="en-US"/>
              </w:rPr>
            </w:pPr>
            <w:r w:rsidRPr="00F71AE2">
              <w:rPr>
                <w:rFonts w:ascii="Calibri" w:hAnsi="Calibri" w:cs="Calibri"/>
                <w:b/>
                <w:bCs/>
                <w:color w:val="000000"/>
                <w:sz w:val="16"/>
                <w:szCs w:val="16"/>
                <w:rtl/>
                <w:lang w:eastAsia="en-US"/>
              </w:rPr>
              <w:t>סך עודף שהועבר ב-2023</w:t>
            </w:r>
          </w:p>
        </w:tc>
      </w:tr>
      <w:tr w:rsidR="00F71AE2" w:rsidRPr="00F71AE2" w14:paraId="3CA615F6" w14:textId="77777777" w:rsidTr="00F71AE2">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C7EE5EE"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rtl/>
                <w:lang w:eastAsia="en-US"/>
              </w:rPr>
            </w:pPr>
            <w:r w:rsidRPr="00F71AE2">
              <w:rPr>
                <w:rFonts w:ascii="Calibri" w:hAnsi="Calibri" w:cs="Calibri"/>
                <w:color w:val="000000"/>
                <w:sz w:val="16"/>
                <w:szCs w:val="16"/>
                <w:lang w:eastAsia="en-US"/>
              </w:rPr>
              <w:t>541002</w:t>
            </w:r>
          </w:p>
        </w:tc>
        <w:tc>
          <w:tcPr>
            <w:tcW w:w="1111" w:type="pct"/>
            <w:tcBorders>
              <w:top w:val="nil"/>
              <w:left w:val="single" w:sz="4" w:space="0" w:color="979991"/>
              <w:bottom w:val="single" w:sz="4" w:space="0" w:color="979991"/>
              <w:right w:val="nil"/>
            </w:tcBorders>
            <w:shd w:val="clear" w:color="000000" w:fill="FFFFFF"/>
            <w:vAlign w:val="center"/>
            <w:hideMark/>
          </w:tcPr>
          <w:p w14:paraId="0B47CDF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5,305</w:t>
            </w:r>
          </w:p>
        </w:tc>
        <w:tc>
          <w:tcPr>
            <w:tcW w:w="968" w:type="pct"/>
            <w:tcBorders>
              <w:top w:val="nil"/>
              <w:left w:val="single" w:sz="4" w:space="0" w:color="979991"/>
              <w:bottom w:val="single" w:sz="4" w:space="0" w:color="979991"/>
              <w:right w:val="nil"/>
            </w:tcBorders>
            <w:shd w:val="clear" w:color="000000" w:fill="FFFFFF"/>
            <w:vAlign w:val="center"/>
            <w:hideMark/>
          </w:tcPr>
          <w:p w14:paraId="5CB4D218"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5,291</w:t>
            </w:r>
          </w:p>
        </w:tc>
        <w:tc>
          <w:tcPr>
            <w:tcW w:w="968" w:type="pct"/>
            <w:tcBorders>
              <w:top w:val="nil"/>
              <w:left w:val="single" w:sz="4" w:space="0" w:color="979991"/>
              <w:bottom w:val="single" w:sz="4" w:space="0" w:color="979991"/>
              <w:right w:val="nil"/>
            </w:tcBorders>
            <w:shd w:val="clear" w:color="000000" w:fill="FFFFFF"/>
            <w:vAlign w:val="center"/>
            <w:hideMark/>
          </w:tcPr>
          <w:p w14:paraId="1FECD55C"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8,726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BC200D0"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8,379</w:t>
            </w:r>
          </w:p>
        </w:tc>
      </w:tr>
      <w:tr w:rsidR="00F71AE2" w:rsidRPr="00F71AE2" w14:paraId="1FDA2171"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AA55582"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541102</w:t>
            </w:r>
          </w:p>
        </w:tc>
        <w:tc>
          <w:tcPr>
            <w:tcW w:w="1111" w:type="pct"/>
            <w:tcBorders>
              <w:top w:val="nil"/>
              <w:left w:val="single" w:sz="4" w:space="0" w:color="979991"/>
              <w:bottom w:val="single" w:sz="4" w:space="0" w:color="979991"/>
              <w:right w:val="nil"/>
            </w:tcBorders>
            <w:shd w:val="clear" w:color="000000" w:fill="FFFFFF"/>
            <w:vAlign w:val="center"/>
            <w:hideMark/>
          </w:tcPr>
          <w:p w14:paraId="43CE3F9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2,569</w:t>
            </w:r>
          </w:p>
        </w:tc>
        <w:tc>
          <w:tcPr>
            <w:tcW w:w="968" w:type="pct"/>
            <w:tcBorders>
              <w:top w:val="nil"/>
              <w:left w:val="single" w:sz="4" w:space="0" w:color="979991"/>
              <w:bottom w:val="single" w:sz="4" w:space="0" w:color="979991"/>
              <w:right w:val="nil"/>
            </w:tcBorders>
            <w:shd w:val="clear" w:color="000000" w:fill="FFFFFF"/>
            <w:vAlign w:val="center"/>
            <w:hideMark/>
          </w:tcPr>
          <w:p w14:paraId="5A6A0B6C"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3,034</w:t>
            </w:r>
          </w:p>
        </w:tc>
        <w:tc>
          <w:tcPr>
            <w:tcW w:w="968" w:type="pct"/>
            <w:tcBorders>
              <w:top w:val="nil"/>
              <w:left w:val="single" w:sz="4" w:space="0" w:color="979991"/>
              <w:bottom w:val="single" w:sz="4" w:space="0" w:color="979991"/>
              <w:right w:val="nil"/>
            </w:tcBorders>
            <w:shd w:val="clear" w:color="000000" w:fill="FFFFFF"/>
            <w:vAlign w:val="center"/>
            <w:hideMark/>
          </w:tcPr>
          <w:p w14:paraId="31451556"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4,275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2505BAF"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7,239</w:t>
            </w:r>
          </w:p>
        </w:tc>
      </w:tr>
      <w:tr w:rsidR="00F71AE2" w:rsidRPr="00F71AE2" w14:paraId="1D1AC298"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E41AFDD"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541301</w:t>
            </w:r>
          </w:p>
        </w:tc>
        <w:tc>
          <w:tcPr>
            <w:tcW w:w="1111" w:type="pct"/>
            <w:tcBorders>
              <w:top w:val="nil"/>
              <w:left w:val="single" w:sz="4" w:space="0" w:color="979991"/>
              <w:bottom w:val="single" w:sz="4" w:space="0" w:color="979991"/>
              <w:right w:val="nil"/>
            </w:tcBorders>
            <w:shd w:val="clear" w:color="000000" w:fill="FFFFFF"/>
            <w:vAlign w:val="center"/>
            <w:hideMark/>
          </w:tcPr>
          <w:p w14:paraId="09047387"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0AD0A50A"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01581D72"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C6E435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36</w:t>
            </w:r>
          </w:p>
        </w:tc>
      </w:tr>
      <w:tr w:rsidR="00F71AE2" w:rsidRPr="00F71AE2" w14:paraId="07B3C42E"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6A7F99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543001</w:t>
            </w:r>
          </w:p>
        </w:tc>
        <w:tc>
          <w:tcPr>
            <w:tcW w:w="1111" w:type="pct"/>
            <w:tcBorders>
              <w:top w:val="nil"/>
              <w:left w:val="single" w:sz="4" w:space="0" w:color="979991"/>
              <w:bottom w:val="single" w:sz="4" w:space="0" w:color="979991"/>
              <w:right w:val="nil"/>
            </w:tcBorders>
            <w:shd w:val="clear" w:color="000000" w:fill="FFFFFF"/>
            <w:vAlign w:val="center"/>
            <w:hideMark/>
          </w:tcPr>
          <w:p w14:paraId="151F69DE"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7,768</w:t>
            </w:r>
          </w:p>
        </w:tc>
        <w:tc>
          <w:tcPr>
            <w:tcW w:w="968" w:type="pct"/>
            <w:tcBorders>
              <w:top w:val="nil"/>
              <w:left w:val="single" w:sz="4" w:space="0" w:color="979991"/>
              <w:bottom w:val="single" w:sz="4" w:space="0" w:color="979991"/>
              <w:right w:val="nil"/>
            </w:tcBorders>
            <w:shd w:val="clear" w:color="000000" w:fill="FFFFFF"/>
            <w:vAlign w:val="center"/>
            <w:hideMark/>
          </w:tcPr>
          <w:p w14:paraId="712D2E78"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168,887</w:t>
            </w:r>
          </w:p>
        </w:tc>
        <w:tc>
          <w:tcPr>
            <w:tcW w:w="968" w:type="pct"/>
            <w:tcBorders>
              <w:top w:val="nil"/>
              <w:left w:val="single" w:sz="4" w:space="0" w:color="979991"/>
              <w:bottom w:val="single" w:sz="4" w:space="0" w:color="979991"/>
              <w:right w:val="nil"/>
            </w:tcBorders>
            <w:shd w:val="clear" w:color="000000" w:fill="FFFFFF"/>
            <w:vAlign w:val="center"/>
            <w:hideMark/>
          </w:tcPr>
          <w:p w14:paraId="6D5C985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3,724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44DCCBA"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75,322</w:t>
            </w:r>
          </w:p>
        </w:tc>
      </w:tr>
      <w:tr w:rsidR="00F71AE2" w:rsidRPr="00F71AE2" w14:paraId="00B08BFB"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679CC90"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543102</w:t>
            </w:r>
          </w:p>
        </w:tc>
        <w:tc>
          <w:tcPr>
            <w:tcW w:w="1111" w:type="pct"/>
            <w:tcBorders>
              <w:top w:val="nil"/>
              <w:left w:val="single" w:sz="4" w:space="0" w:color="979991"/>
              <w:bottom w:val="single" w:sz="4" w:space="0" w:color="979991"/>
              <w:right w:val="nil"/>
            </w:tcBorders>
            <w:shd w:val="clear" w:color="000000" w:fill="FFFFFF"/>
            <w:vAlign w:val="center"/>
            <w:hideMark/>
          </w:tcPr>
          <w:p w14:paraId="59A97E76"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36,694</w:t>
            </w:r>
          </w:p>
        </w:tc>
        <w:tc>
          <w:tcPr>
            <w:tcW w:w="968" w:type="pct"/>
            <w:tcBorders>
              <w:top w:val="nil"/>
              <w:left w:val="single" w:sz="4" w:space="0" w:color="979991"/>
              <w:bottom w:val="single" w:sz="4" w:space="0" w:color="979991"/>
              <w:right w:val="nil"/>
            </w:tcBorders>
            <w:shd w:val="clear" w:color="000000" w:fill="FFFFFF"/>
            <w:vAlign w:val="center"/>
            <w:hideMark/>
          </w:tcPr>
          <w:p w14:paraId="56656003"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36,018</w:t>
            </w:r>
          </w:p>
        </w:tc>
        <w:tc>
          <w:tcPr>
            <w:tcW w:w="968" w:type="pct"/>
            <w:tcBorders>
              <w:top w:val="nil"/>
              <w:left w:val="single" w:sz="4" w:space="0" w:color="979991"/>
              <w:bottom w:val="single" w:sz="4" w:space="0" w:color="979991"/>
              <w:right w:val="nil"/>
            </w:tcBorders>
            <w:shd w:val="clear" w:color="000000" w:fill="FFFFFF"/>
            <w:vAlign w:val="center"/>
            <w:hideMark/>
          </w:tcPr>
          <w:p w14:paraId="0A21498E"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41,061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A0F86B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43,689</w:t>
            </w:r>
          </w:p>
        </w:tc>
      </w:tr>
      <w:tr w:rsidR="00F71AE2" w:rsidRPr="00F71AE2" w14:paraId="506FD3F6"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FF6B9B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543302</w:t>
            </w:r>
          </w:p>
        </w:tc>
        <w:tc>
          <w:tcPr>
            <w:tcW w:w="1111" w:type="pct"/>
            <w:tcBorders>
              <w:top w:val="nil"/>
              <w:left w:val="single" w:sz="4" w:space="0" w:color="979991"/>
              <w:bottom w:val="single" w:sz="4" w:space="0" w:color="979991"/>
              <w:right w:val="nil"/>
            </w:tcBorders>
            <w:shd w:val="clear" w:color="000000" w:fill="FFFFFF"/>
            <w:vAlign w:val="center"/>
            <w:hideMark/>
          </w:tcPr>
          <w:p w14:paraId="073F1DF7"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34,846</w:t>
            </w:r>
          </w:p>
        </w:tc>
        <w:tc>
          <w:tcPr>
            <w:tcW w:w="968" w:type="pct"/>
            <w:tcBorders>
              <w:top w:val="nil"/>
              <w:left w:val="single" w:sz="4" w:space="0" w:color="979991"/>
              <w:bottom w:val="single" w:sz="4" w:space="0" w:color="979991"/>
              <w:right w:val="nil"/>
            </w:tcBorders>
            <w:shd w:val="clear" w:color="000000" w:fill="FFFFFF"/>
            <w:vAlign w:val="center"/>
            <w:hideMark/>
          </w:tcPr>
          <w:p w14:paraId="1B6D371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22,261</w:t>
            </w:r>
          </w:p>
        </w:tc>
        <w:tc>
          <w:tcPr>
            <w:tcW w:w="968" w:type="pct"/>
            <w:tcBorders>
              <w:top w:val="nil"/>
              <w:left w:val="single" w:sz="4" w:space="0" w:color="979991"/>
              <w:bottom w:val="single" w:sz="4" w:space="0" w:color="979991"/>
              <w:right w:val="nil"/>
            </w:tcBorders>
            <w:shd w:val="clear" w:color="000000" w:fill="FFFFFF"/>
            <w:vAlign w:val="center"/>
            <w:hideMark/>
          </w:tcPr>
          <w:p w14:paraId="47E7C2A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16,659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122D5C6"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72,207</w:t>
            </w:r>
          </w:p>
        </w:tc>
      </w:tr>
      <w:tr w:rsidR="00F71AE2" w:rsidRPr="00F71AE2" w14:paraId="2F4BF76F"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D2365B2"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543402</w:t>
            </w:r>
          </w:p>
        </w:tc>
        <w:tc>
          <w:tcPr>
            <w:tcW w:w="1111" w:type="pct"/>
            <w:tcBorders>
              <w:top w:val="nil"/>
              <w:left w:val="single" w:sz="4" w:space="0" w:color="979991"/>
              <w:bottom w:val="single" w:sz="4" w:space="0" w:color="979991"/>
              <w:right w:val="nil"/>
            </w:tcBorders>
            <w:shd w:val="clear" w:color="000000" w:fill="FFFFFF"/>
            <w:vAlign w:val="center"/>
            <w:hideMark/>
          </w:tcPr>
          <w:p w14:paraId="02015BFF"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8,481</w:t>
            </w:r>
          </w:p>
        </w:tc>
        <w:tc>
          <w:tcPr>
            <w:tcW w:w="968" w:type="pct"/>
            <w:tcBorders>
              <w:top w:val="nil"/>
              <w:left w:val="single" w:sz="4" w:space="0" w:color="979991"/>
              <w:bottom w:val="single" w:sz="4" w:space="0" w:color="979991"/>
              <w:right w:val="nil"/>
            </w:tcBorders>
            <w:shd w:val="clear" w:color="000000" w:fill="FFFFFF"/>
            <w:vAlign w:val="center"/>
            <w:hideMark/>
          </w:tcPr>
          <w:p w14:paraId="093302B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10,169</w:t>
            </w:r>
          </w:p>
        </w:tc>
        <w:tc>
          <w:tcPr>
            <w:tcW w:w="968" w:type="pct"/>
            <w:tcBorders>
              <w:top w:val="nil"/>
              <w:left w:val="single" w:sz="4" w:space="0" w:color="979991"/>
              <w:bottom w:val="single" w:sz="4" w:space="0" w:color="979991"/>
              <w:right w:val="nil"/>
            </w:tcBorders>
            <w:shd w:val="clear" w:color="000000" w:fill="FFFFFF"/>
            <w:vAlign w:val="center"/>
            <w:hideMark/>
          </w:tcPr>
          <w:p w14:paraId="04FB8EA9"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12,505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19C96A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7,786</w:t>
            </w:r>
          </w:p>
        </w:tc>
      </w:tr>
      <w:tr w:rsidR="00F71AE2" w:rsidRPr="00F71AE2" w14:paraId="10479ED5"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06038D1"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543501</w:t>
            </w:r>
          </w:p>
        </w:tc>
        <w:tc>
          <w:tcPr>
            <w:tcW w:w="1111" w:type="pct"/>
            <w:tcBorders>
              <w:top w:val="nil"/>
              <w:left w:val="single" w:sz="4" w:space="0" w:color="979991"/>
              <w:bottom w:val="single" w:sz="4" w:space="0" w:color="979991"/>
              <w:right w:val="nil"/>
            </w:tcBorders>
            <w:shd w:val="clear" w:color="000000" w:fill="FFFFFF"/>
            <w:vAlign w:val="center"/>
            <w:hideMark/>
          </w:tcPr>
          <w:p w14:paraId="5670551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32,390</w:t>
            </w:r>
          </w:p>
        </w:tc>
        <w:tc>
          <w:tcPr>
            <w:tcW w:w="968" w:type="pct"/>
            <w:tcBorders>
              <w:top w:val="nil"/>
              <w:left w:val="single" w:sz="4" w:space="0" w:color="979991"/>
              <w:bottom w:val="single" w:sz="4" w:space="0" w:color="979991"/>
              <w:right w:val="nil"/>
            </w:tcBorders>
            <w:shd w:val="clear" w:color="000000" w:fill="FFFFFF"/>
            <w:vAlign w:val="center"/>
            <w:hideMark/>
          </w:tcPr>
          <w:p w14:paraId="2E7CF872"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10,064</w:t>
            </w:r>
          </w:p>
        </w:tc>
        <w:tc>
          <w:tcPr>
            <w:tcW w:w="968" w:type="pct"/>
            <w:tcBorders>
              <w:top w:val="nil"/>
              <w:left w:val="single" w:sz="4" w:space="0" w:color="979991"/>
              <w:bottom w:val="single" w:sz="4" w:space="0" w:color="979991"/>
              <w:right w:val="nil"/>
            </w:tcBorders>
            <w:shd w:val="clear" w:color="000000" w:fill="FFFFFF"/>
            <w:vAlign w:val="center"/>
            <w:hideMark/>
          </w:tcPr>
          <w:p w14:paraId="0B5403E3"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125C01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11,461</w:t>
            </w:r>
          </w:p>
        </w:tc>
      </w:tr>
      <w:tr w:rsidR="00F71AE2" w:rsidRPr="00F71AE2" w14:paraId="1046C77B"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6A50EBF"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543601</w:t>
            </w:r>
          </w:p>
        </w:tc>
        <w:tc>
          <w:tcPr>
            <w:tcW w:w="1111" w:type="pct"/>
            <w:tcBorders>
              <w:top w:val="nil"/>
              <w:left w:val="single" w:sz="4" w:space="0" w:color="979991"/>
              <w:bottom w:val="single" w:sz="4" w:space="0" w:color="979991"/>
              <w:right w:val="nil"/>
            </w:tcBorders>
            <w:shd w:val="clear" w:color="000000" w:fill="FFFFFF"/>
            <w:vAlign w:val="center"/>
            <w:hideMark/>
          </w:tcPr>
          <w:p w14:paraId="25338629"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36,055</w:t>
            </w:r>
          </w:p>
        </w:tc>
        <w:tc>
          <w:tcPr>
            <w:tcW w:w="968" w:type="pct"/>
            <w:tcBorders>
              <w:top w:val="nil"/>
              <w:left w:val="single" w:sz="4" w:space="0" w:color="979991"/>
              <w:bottom w:val="single" w:sz="4" w:space="0" w:color="979991"/>
              <w:right w:val="nil"/>
            </w:tcBorders>
            <w:shd w:val="clear" w:color="000000" w:fill="FFFFFF"/>
            <w:vAlign w:val="center"/>
            <w:hideMark/>
          </w:tcPr>
          <w:p w14:paraId="44AEA56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29,797</w:t>
            </w:r>
          </w:p>
        </w:tc>
        <w:tc>
          <w:tcPr>
            <w:tcW w:w="968" w:type="pct"/>
            <w:tcBorders>
              <w:top w:val="nil"/>
              <w:left w:val="single" w:sz="4" w:space="0" w:color="979991"/>
              <w:bottom w:val="single" w:sz="4" w:space="0" w:color="979991"/>
              <w:right w:val="nil"/>
            </w:tcBorders>
            <w:shd w:val="clear" w:color="000000" w:fill="FFFFFF"/>
            <w:vAlign w:val="center"/>
            <w:hideMark/>
          </w:tcPr>
          <w:p w14:paraId="7B0BC6A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32,464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DD06F34"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48,175</w:t>
            </w:r>
          </w:p>
        </w:tc>
      </w:tr>
      <w:tr w:rsidR="00F71AE2" w:rsidRPr="00F71AE2" w14:paraId="03FCC60A"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65F65E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544001</w:t>
            </w:r>
          </w:p>
        </w:tc>
        <w:tc>
          <w:tcPr>
            <w:tcW w:w="1111" w:type="pct"/>
            <w:tcBorders>
              <w:top w:val="nil"/>
              <w:left w:val="single" w:sz="4" w:space="0" w:color="979991"/>
              <w:bottom w:val="single" w:sz="4" w:space="0" w:color="979991"/>
              <w:right w:val="nil"/>
            </w:tcBorders>
            <w:shd w:val="clear" w:color="000000" w:fill="FFFFFF"/>
            <w:vAlign w:val="center"/>
            <w:hideMark/>
          </w:tcPr>
          <w:p w14:paraId="14D4BC1D"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17,856</w:t>
            </w:r>
          </w:p>
        </w:tc>
        <w:tc>
          <w:tcPr>
            <w:tcW w:w="968" w:type="pct"/>
            <w:tcBorders>
              <w:top w:val="nil"/>
              <w:left w:val="single" w:sz="4" w:space="0" w:color="979991"/>
              <w:bottom w:val="single" w:sz="4" w:space="0" w:color="979991"/>
              <w:right w:val="nil"/>
            </w:tcBorders>
            <w:shd w:val="clear" w:color="000000" w:fill="FFFFFF"/>
            <w:vAlign w:val="center"/>
            <w:hideMark/>
          </w:tcPr>
          <w:p w14:paraId="404167AC"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5,894</w:t>
            </w:r>
          </w:p>
        </w:tc>
        <w:tc>
          <w:tcPr>
            <w:tcW w:w="968" w:type="pct"/>
            <w:tcBorders>
              <w:top w:val="nil"/>
              <w:left w:val="single" w:sz="4" w:space="0" w:color="979991"/>
              <w:bottom w:val="single" w:sz="4" w:space="0" w:color="979991"/>
              <w:right w:val="nil"/>
            </w:tcBorders>
            <w:shd w:val="clear" w:color="000000" w:fill="FFFFFF"/>
            <w:vAlign w:val="center"/>
            <w:hideMark/>
          </w:tcPr>
          <w:p w14:paraId="283301BC"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7,604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7D65161"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36,555</w:t>
            </w:r>
          </w:p>
        </w:tc>
      </w:tr>
      <w:tr w:rsidR="00F71AE2" w:rsidRPr="00F71AE2" w14:paraId="161B0581"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346324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544002</w:t>
            </w:r>
          </w:p>
        </w:tc>
        <w:tc>
          <w:tcPr>
            <w:tcW w:w="1111" w:type="pct"/>
            <w:tcBorders>
              <w:top w:val="nil"/>
              <w:left w:val="single" w:sz="4" w:space="0" w:color="979991"/>
              <w:bottom w:val="single" w:sz="4" w:space="0" w:color="979991"/>
              <w:right w:val="nil"/>
            </w:tcBorders>
            <w:shd w:val="clear" w:color="000000" w:fill="FFFFFF"/>
            <w:vAlign w:val="center"/>
            <w:hideMark/>
          </w:tcPr>
          <w:p w14:paraId="0703433B"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5,791</w:t>
            </w:r>
          </w:p>
        </w:tc>
        <w:tc>
          <w:tcPr>
            <w:tcW w:w="968" w:type="pct"/>
            <w:tcBorders>
              <w:top w:val="nil"/>
              <w:left w:val="single" w:sz="4" w:space="0" w:color="979991"/>
              <w:bottom w:val="single" w:sz="4" w:space="0" w:color="979991"/>
              <w:right w:val="nil"/>
            </w:tcBorders>
            <w:shd w:val="clear" w:color="000000" w:fill="FFFFFF"/>
            <w:vAlign w:val="center"/>
            <w:hideMark/>
          </w:tcPr>
          <w:p w14:paraId="2336F0D2"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18,473</w:t>
            </w:r>
          </w:p>
        </w:tc>
        <w:tc>
          <w:tcPr>
            <w:tcW w:w="968" w:type="pct"/>
            <w:tcBorders>
              <w:top w:val="nil"/>
              <w:left w:val="single" w:sz="4" w:space="0" w:color="979991"/>
              <w:bottom w:val="single" w:sz="4" w:space="0" w:color="979991"/>
              <w:right w:val="nil"/>
            </w:tcBorders>
            <w:shd w:val="clear" w:color="000000" w:fill="FFFFFF"/>
            <w:vAlign w:val="center"/>
            <w:hideMark/>
          </w:tcPr>
          <w:p w14:paraId="0DC17F9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24,837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348420E"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26,694</w:t>
            </w:r>
          </w:p>
        </w:tc>
      </w:tr>
      <w:tr w:rsidR="00F71AE2" w:rsidRPr="00F71AE2" w14:paraId="5AAECDEC"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5AEE75A"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545001</w:t>
            </w:r>
          </w:p>
        </w:tc>
        <w:tc>
          <w:tcPr>
            <w:tcW w:w="1111" w:type="pct"/>
            <w:tcBorders>
              <w:top w:val="nil"/>
              <w:left w:val="single" w:sz="4" w:space="0" w:color="979991"/>
              <w:bottom w:val="single" w:sz="4" w:space="0" w:color="979991"/>
              <w:right w:val="nil"/>
            </w:tcBorders>
            <w:shd w:val="clear" w:color="000000" w:fill="FFFFFF"/>
            <w:vAlign w:val="center"/>
            <w:hideMark/>
          </w:tcPr>
          <w:p w14:paraId="41EE3818"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255,335</w:t>
            </w:r>
          </w:p>
        </w:tc>
        <w:tc>
          <w:tcPr>
            <w:tcW w:w="968" w:type="pct"/>
            <w:tcBorders>
              <w:top w:val="nil"/>
              <w:left w:val="single" w:sz="4" w:space="0" w:color="979991"/>
              <w:bottom w:val="single" w:sz="4" w:space="0" w:color="979991"/>
              <w:right w:val="nil"/>
            </w:tcBorders>
            <w:shd w:val="clear" w:color="000000" w:fill="FFFFFF"/>
            <w:vAlign w:val="center"/>
            <w:hideMark/>
          </w:tcPr>
          <w:p w14:paraId="6AEAC6BC"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233,180</w:t>
            </w:r>
          </w:p>
        </w:tc>
        <w:tc>
          <w:tcPr>
            <w:tcW w:w="968" w:type="pct"/>
            <w:tcBorders>
              <w:top w:val="nil"/>
              <w:left w:val="single" w:sz="4" w:space="0" w:color="979991"/>
              <w:bottom w:val="single" w:sz="4" w:space="0" w:color="979991"/>
              <w:right w:val="nil"/>
            </w:tcBorders>
            <w:shd w:val="clear" w:color="000000" w:fill="FFFFFF"/>
            <w:vAlign w:val="center"/>
            <w:hideMark/>
          </w:tcPr>
          <w:p w14:paraId="4BD70837"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338,972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36311CE"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r>
      <w:tr w:rsidR="00F71AE2" w:rsidRPr="00F71AE2" w14:paraId="67B3152D" w14:textId="77777777" w:rsidTr="00F71AE2">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F1EB883"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545002</w:t>
            </w:r>
          </w:p>
        </w:tc>
        <w:tc>
          <w:tcPr>
            <w:tcW w:w="1111" w:type="pct"/>
            <w:tcBorders>
              <w:top w:val="nil"/>
              <w:left w:val="single" w:sz="4" w:space="0" w:color="979991"/>
              <w:bottom w:val="single" w:sz="4" w:space="0" w:color="979991"/>
              <w:right w:val="nil"/>
            </w:tcBorders>
            <w:shd w:val="clear" w:color="000000" w:fill="FFFFFF"/>
            <w:vAlign w:val="center"/>
            <w:hideMark/>
          </w:tcPr>
          <w:p w14:paraId="58997B5D"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52,235</w:t>
            </w:r>
          </w:p>
        </w:tc>
        <w:tc>
          <w:tcPr>
            <w:tcW w:w="968" w:type="pct"/>
            <w:tcBorders>
              <w:top w:val="nil"/>
              <w:left w:val="single" w:sz="4" w:space="0" w:color="979991"/>
              <w:bottom w:val="single" w:sz="4" w:space="0" w:color="979991"/>
              <w:right w:val="nil"/>
            </w:tcBorders>
            <w:shd w:val="clear" w:color="000000" w:fill="FFFFFF"/>
            <w:vAlign w:val="center"/>
            <w:hideMark/>
          </w:tcPr>
          <w:p w14:paraId="131E8FB5"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67BBBF8"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3E6C8D3" w14:textId="77777777" w:rsidR="00F71AE2" w:rsidRPr="00F71AE2" w:rsidRDefault="00F71AE2" w:rsidP="00F71AE2">
            <w:pPr>
              <w:overflowPunct/>
              <w:autoSpaceDE/>
              <w:autoSpaceDN/>
              <w:bidi w:val="0"/>
              <w:adjustRightInd/>
              <w:jc w:val="center"/>
              <w:textAlignment w:val="auto"/>
              <w:rPr>
                <w:rFonts w:ascii="Calibri" w:hAnsi="Calibri" w:cs="Calibri"/>
                <w:color w:val="000000"/>
                <w:sz w:val="16"/>
                <w:szCs w:val="16"/>
                <w:lang w:eastAsia="en-US"/>
              </w:rPr>
            </w:pPr>
            <w:r w:rsidRPr="00F71AE2">
              <w:rPr>
                <w:rFonts w:ascii="Calibri" w:hAnsi="Calibri" w:cs="Calibri"/>
                <w:color w:val="000000"/>
                <w:sz w:val="16"/>
                <w:szCs w:val="16"/>
                <w:lang w:eastAsia="en-US"/>
              </w:rPr>
              <w:t>0</w:t>
            </w:r>
          </w:p>
        </w:tc>
      </w:tr>
    </w:tbl>
    <w:p w14:paraId="583933BB" w14:textId="77777777" w:rsidR="00F71AE2" w:rsidRPr="00F71AE2" w:rsidRDefault="00F71AE2" w:rsidP="00F71AE2">
      <w:pPr>
        <w:jc w:val="center"/>
        <w:rPr>
          <w:rFonts w:cs="FrankRuehl"/>
          <w:b/>
          <w:bCs/>
          <w:sz w:val="26"/>
          <w:szCs w:val="26"/>
          <w:rtl/>
        </w:rPr>
      </w:pPr>
    </w:p>
    <w:p w14:paraId="212574F2" w14:textId="35042103" w:rsidR="00F71AE2" w:rsidRDefault="00F71AE2">
      <w:pPr>
        <w:rPr>
          <w:rFonts w:cs="FrankRuehl"/>
          <w:sz w:val="26"/>
          <w:szCs w:val="26"/>
          <w:rtl/>
        </w:rPr>
      </w:pPr>
    </w:p>
    <w:p w14:paraId="7A73334C" w14:textId="77777777" w:rsidR="00F71AE2" w:rsidRDefault="00F71AE2">
      <w:pPr>
        <w:rPr>
          <w:rFonts w:cs="FrankRuehl"/>
          <w:sz w:val="26"/>
          <w:szCs w:val="26"/>
          <w:rtl/>
        </w:rPr>
      </w:pPr>
    </w:p>
    <w:p w14:paraId="6EC1B853" w14:textId="18C93181" w:rsidR="00F71AE2" w:rsidRDefault="00F71AE2">
      <w:pPr>
        <w:rPr>
          <w:rFonts w:cs="FrankRuehl"/>
          <w:sz w:val="26"/>
          <w:szCs w:val="26"/>
          <w:rtl/>
        </w:rPr>
      </w:pPr>
    </w:p>
    <w:p w14:paraId="797CE452" w14:textId="47502269" w:rsidR="00F71AE2" w:rsidRDefault="00F71AE2">
      <w:pPr>
        <w:rPr>
          <w:rFonts w:cs="FrankRuehl"/>
          <w:sz w:val="26"/>
          <w:szCs w:val="26"/>
          <w:rtl/>
        </w:rPr>
      </w:pPr>
    </w:p>
    <w:p w14:paraId="68450376" w14:textId="3AA2C698" w:rsidR="00F71AE2" w:rsidRDefault="00F71AE2">
      <w:pPr>
        <w:rPr>
          <w:rFonts w:cs="FrankRuehl"/>
          <w:sz w:val="26"/>
          <w:szCs w:val="26"/>
          <w:rtl/>
        </w:rPr>
      </w:pPr>
    </w:p>
    <w:p w14:paraId="11A9914F" w14:textId="77777777" w:rsidR="00F71AE2" w:rsidRPr="000A3FA0" w:rsidRDefault="00F71AE2">
      <w:pPr>
        <w:rPr>
          <w:rFonts w:cs="FrankRuehl"/>
          <w:sz w:val="26"/>
          <w:szCs w:val="26"/>
          <w:rtl/>
        </w:rPr>
      </w:pPr>
    </w:p>
    <w:sectPr w:rsidR="00F71AE2"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8E21F" w14:textId="77777777" w:rsidR="00EA446E" w:rsidRDefault="00EA446E" w:rsidP="00A32326">
      <w:r>
        <w:separator/>
      </w:r>
    </w:p>
  </w:endnote>
  <w:endnote w:type="continuationSeparator" w:id="0">
    <w:p w14:paraId="3017E5A3" w14:textId="77777777" w:rsidR="00EA446E" w:rsidRDefault="00EA446E"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8BD5E"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BA9F"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DFA2"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1E6E" w14:textId="77777777" w:rsidR="00EA446E" w:rsidRDefault="00EA446E" w:rsidP="00A32326">
      <w:r>
        <w:separator/>
      </w:r>
    </w:p>
  </w:footnote>
  <w:footnote w:type="continuationSeparator" w:id="0">
    <w:p w14:paraId="39CF2E14" w14:textId="77777777" w:rsidR="00EA446E" w:rsidRDefault="00EA446E"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269A"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2935" w14:textId="77777777" w:rsidR="00A32326" w:rsidRPr="00CB5FFD" w:rsidRDefault="00EA446E" w:rsidP="00A32326">
    <w:pPr>
      <w:pStyle w:val="a4"/>
      <w:jc w:val="right"/>
      <w:rPr>
        <w:color w:val="4F81BD"/>
        <w:rtl/>
        <w:cs/>
      </w:rPr>
    </w:pPr>
    <w:r>
      <w:rPr>
        <w:noProof/>
        <w:rtl/>
      </w:rPr>
      <w:pict w14:anchorId="3EAFA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15FF9BCA" w14:textId="77777777" w:rsidR="00A32326" w:rsidRPr="00CB5FFD" w:rsidRDefault="00A32326" w:rsidP="00A32326">
    <w:pPr>
      <w:pStyle w:val="a4"/>
      <w:jc w:val="right"/>
      <w:rPr>
        <w:color w:val="4F81BD"/>
        <w:rtl/>
        <w:cs/>
      </w:rPr>
    </w:pPr>
  </w:p>
  <w:p w14:paraId="0A085D71" w14:textId="77777777" w:rsidR="00A32326" w:rsidRDefault="00A32326" w:rsidP="00A32326">
    <w:pPr>
      <w:pStyle w:val="a4"/>
    </w:pPr>
  </w:p>
  <w:p w14:paraId="7DF56F58"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57AD"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51F4D"/>
    <w:multiLevelType w:val="multilevel"/>
    <w:tmpl w:val="9BE8C15E"/>
    <w:lvl w:ilvl="0">
      <w:start w:val="1"/>
      <w:numFmt w:val="decimal"/>
      <w:lvlText w:val="%1 ."/>
      <w:lvlJc w:val="left"/>
      <w:pPr>
        <w:tabs>
          <w:tab w:val="num" w:pos="397"/>
        </w:tabs>
        <w:ind w:left="397" w:hanging="397"/>
      </w:pPr>
      <w:rPr>
        <w:lang w:bidi="he-IL"/>
      </w:r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507569"/>
    <w:rsid w:val="0051496B"/>
    <w:rsid w:val="00596B46"/>
    <w:rsid w:val="007332A2"/>
    <w:rsid w:val="00785FC0"/>
    <w:rsid w:val="0096594F"/>
    <w:rsid w:val="009E3253"/>
    <w:rsid w:val="00A14A9C"/>
    <w:rsid w:val="00A32326"/>
    <w:rsid w:val="00A51CFB"/>
    <w:rsid w:val="00A6761F"/>
    <w:rsid w:val="00AB00AA"/>
    <w:rsid w:val="00AC0FB8"/>
    <w:rsid w:val="00BE74E8"/>
    <w:rsid w:val="00C81BEB"/>
    <w:rsid w:val="00CE694F"/>
    <w:rsid w:val="00D00A6A"/>
    <w:rsid w:val="00D02451"/>
    <w:rsid w:val="00D1564D"/>
    <w:rsid w:val="00D15DD5"/>
    <w:rsid w:val="00E15D12"/>
    <w:rsid w:val="00EA446E"/>
    <w:rsid w:val="00F71AE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5234879"/>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paragraph" w:styleId="aa">
    <w:name w:val="List Paragraph"/>
    <w:basedOn w:val="a"/>
    <w:uiPriority w:val="34"/>
    <w:qFormat/>
    <w:rsid w:val="00AB00AA"/>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80963">
      <w:bodyDiv w:val="1"/>
      <w:marLeft w:val="0"/>
      <w:marRight w:val="0"/>
      <w:marTop w:val="0"/>
      <w:marBottom w:val="0"/>
      <w:divBdr>
        <w:top w:val="none" w:sz="0" w:space="0" w:color="auto"/>
        <w:left w:val="none" w:sz="0" w:space="0" w:color="auto"/>
        <w:bottom w:val="none" w:sz="0" w:space="0" w:color="auto"/>
        <w:right w:val="none" w:sz="0" w:space="0" w:color="auto"/>
      </w:divBdr>
    </w:div>
    <w:div w:id="146362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1419</Words>
  <Characters>7096</Characters>
  <Application>Microsoft Office Word</Application>
  <DocSecurity>0</DocSecurity>
  <Lines>59</Lines>
  <Paragraphs>16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2026-04-28T12:12:00Z</dcterms:created>
  <dcterms:modified xsi:type="dcterms:W3CDTF">2026-04-28T13:26:00Z</dcterms:modified>
</cp:coreProperties>
</file>