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6F2E9" w14:textId="77777777" w:rsidR="0051496B" w:rsidRDefault="0051496B">
      <w:pPr>
        <w:pStyle w:val="a7"/>
        <w:rPr>
          <w:rtl/>
        </w:rPr>
      </w:pPr>
      <w:r>
        <w:rPr>
          <w:rtl/>
        </w:rPr>
        <w:t>מדינת ישראל</w:t>
      </w:r>
    </w:p>
    <w:p w14:paraId="0B01C617" w14:textId="77777777" w:rsidR="0051496B" w:rsidRDefault="0051496B">
      <w:pPr>
        <w:pStyle w:val="a7"/>
        <w:rPr>
          <w:rtl/>
        </w:rPr>
      </w:pPr>
      <w:r>
        <w:rPr>
          <w:rtl/>
        </w:rPr>
        <w:t>האוצר - אגף התקציבים</w:t>
      </w:r>
    </w:p>
    <w:p w14:paraId="5E1913FB" w14:textId="77777777" w:rsidR="0051496B" w:rsidRDefault="0051496B">
      <w:pPr>
        <w:rPr>
          <w:rtl/>
        </w:rPr>
      </w:pPr>
    </w:p>
    <w:p w14:paraId="032063CC" w14:textId="77777777" w:rsidR="0051496B" w:rsidRDefault="0051496B">
      <w:pPr>
        <w:rPr>
          <w:rtl/>
        </w:rPr>
      </w:pPr>
    </w:p>
    <w:p w14:paraId="0CA133E6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  <w:bookmarkStart w:id="0" w:name="TAKZIV8"/>
      <w:bookmarkEnd w:id="0"/>
    </w:p>
    <w:p w14:paraId="1F50A72C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ab/>
      </w:r>
    </w:p>
    <w:p w14:paraId="7429F852" w14:textId="77777777" w:rsidR="0051496B" w:rsidRPr="000A3FA0" w:rsidRDefault="0051496B" w:rsidP="007332A2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09285F56" w14:textId="6645D9F3" w:rsidR="0051496B" w:rsidRPr="000A3FA0" w:rsidRDefault="0051496B" w:rsidP="007332A2">
      <w:pPr>
        <w:tabs>
          <w:tab w:val="left" w:pos="6039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423177">
        <w:rPr>
          <w:rFonts w:cs="FrankRuehl"/>
          <w:sz w:val="26"/>
          <w:szCs w:val="26"/>
          <w:rtl/>
        </w:rPr>
        <w:t>201</w:t>
      </w:r>
      <w:bookmarkEnd w:id="2"/>
      <w:r w:rsidRPr="000A3FA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423177">
        <w:rPr>
          <w:rFonts w:cs="FrankRuehl"/>
          <w:sz w:val="26"/>
          <w:szCs w:val="26"/>
          <w:rtl/>
        </w:rPr>
        <w:t>43</w:t>
      </w:r>
      <w:bookmarkEnd w:id="3"/>
    </w:p>
    <w:p w14:paraId="6CDE1392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1EA1C41F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3EEDAB4F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לכבוד,</w:t>
      </w:r>
    </w:p>
    <w:p w14:paraId="3ED1CB91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יו"ר ועדת הכספים</w:t>
      </w:r>
    </w:p>
    <w:p w14:paraId="117B59A9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הכנסת</w:t>
      </w:r>
    </w:p>
    <w:p w14:paraId="442B7605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525B7E8C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א.נ.,</w:t>
      </w:r>
    </w:p>
    <w:p w14:paraId="1B12ADCF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36A295B9" w14:textId="5D57775A" w:rsidR="0051496B" w:rsidRPr="000A3FA0" w:rsidRDefault="0051496B">
      <w:pPr>
        <w:pStyle w:val="a6"/>
        <w:rPr>
          <w:rFonts w:cs="FrankRuehl"/>
          <w:sz w:val="26"/>
          <w:rtl/>
        </w:rPr>
      </w:pPr>
      <w:r w:rsidRPr="000A3FA0">
        <w:rPr>
          <w:rFonts w:cs="FrankRuehl"/>
          <w:bCs w:val="0"/>
          <w:sz w:val="26"/>
          <w:u w:val="none"/>
          <w:rtl/>
        </w:rPr>
        <w:t xml:space="preserve">הנדון: </w:t>
      </w:r>
      <w:r w:rsidRPr="000A3FA0">
        <w:rPr>
          <w:rFonts w:cs="FrankRuehl"/>
          <w:bCs w:val="0"/>
          <w:sz w:val="26"/>
          <w:rtl/>
        </w:rPr>
        <w:t>שימוש בעודפי תקציב לשנת</w:t>
      </w:r>
      <w:r w:rsidRPr="000A3FA0">
        <w:rPr>
          <w:rFonts w:cs="FrankRuehl"/>
          <w:sz w:val="26"/>
          <w:rtl/>
        </w:rPr>
        <w:t xml:space="preserve"> </w:t>
      </w:r>
      <w:bookmarkStart w:id="4" w:name="TAKZIV1_2"/>
      <w:bookmarkStart w:id="5" w:name="TAKZIV1_1"/>
      <w:bookmarkEnd w:id="4"/>
      <w:r w:rsidR="00423177">
        <w:rPr>
          <w:rFonts w:cs="FrankRuehl"/>
          <w:sz w:val="26"/>
          <w:rtl/>
        </w:rPr>
        <w:t>2026</w:t>
      </w:r>
      <w:bookmarkEnd w:id="5"/>
      <w:r w:rsidRPr="000A3FA0">
        <w:rPr>
          <w:rFonts w:cs="FrankRuehl"/>
          <w:sz w:val="26"/>
          <w:rtl/>
        </w:rPr>
        <w:t xml:space="preserve">     </w:t>
      </w:r>
    </w:p>
    <w:p w14:paraId="1656A48A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48D926EE" w14:textId="37CB8852" w:rsidR="0051496B" w:rsidRDefault="0051496B" w:rsidP="00FC136F">
      <w:pPr>
        <w:jc w:val="both"/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שר האוצר מתכבד להודיע לו</w:t>
      </w:r>
      <w:r w:rsidR="00A14A9C" w:rsidRPr="000A3FA0">
        <w:rPr>
          <w:rFonts w:cs="FrankRuehl" w:hint="cs"/>
          <w:sz w:val="26"/>
          <w:szCs w:val="26"/>
          <w:rtl/>
        </w:rPr>
        <w:t>ו</w:t>
      </w:r>
      <w:r w:rsidRPr="000A3FA0">
        <w:rPr>
          <w:rFonts w:cs="FrankRuehl"/>
          <w:sz w:val="26"/>
          <w:szCs w:val="26"/>
          <w:rtl/>
        </w:rPr>
        <w:t xml:space="preserve">עדת הכספים של הכנסת על העברת סכום של </w:t>
      </w:r>
      <w:bookmarkStart w:id="6" w:name="TAKZIV30"/>
      <w:r w:rsidR="00423177">
        <w:rPr>
          <w:rFonts w:cs="FrankRuehl"/>
          <w:sz w:val="26"/>
          <w:szCs w:val="26"/>
          <w:rtl/>
        </w:rPr>
        <w:t>42,049</w:t>
      </w:r>
      <w:bookmarkEnd w:id="6"/>
      <w:r w:rsidRPr="000A3FA0">
        <w:rPr>
          <w:rFonts w:cs="FrankRuehl"/>
          <w:sz w:val="26"/>
          <w:szCs w:val="26"/>
          <w:rtl/>
        </w:rPr>
        <w:t xml:space="preserve"> אלפי שקלים חדשים מסעיף </w:t>
      </w:r>
      <w:bookmarkStart w:id="7" w:name="TAKZIV3_1"/>
      <w:r w:rsidR="00423177">
        <w:rPr>
          <w:rFonts w:cs="FrankRuehl"/>
          <w:sz w:val="26"/>
          <w:szCs w:val="26"/>
          <w:rtl/>
        </w:rPr>
        <w:t>43</w:t>
      </w:r>
      <w:bookmarkEnd w:id="7"/>
      <w:r w:rsidRPr="000A3FA0">
        <w:rPr>
          <w:rFonts w:cs="FrankRuehl"/>
          <w:sz w:val="26"/>
          <w:szCs w:val="26"/>
          <w:rtl/>
        </w:rPr>
        <w:t xml:space="preserve"> - </w:t>
      </w:r>
      <w:bookmarkStart w:id="8" w:name="TAKZIV6_2"/>
      <w:r w:rsidR="00423177">
        <w:rPr>
          <w:rFonts w:cs="FrankRuehl"/>
          <w:sz w:val="26"/>
          <w:szCs w:val="26"/>
          <w:rtl/>
        </w:rPr>
        <w:t>המרכז למיפוי ישראל</w:t>
      </w:r>
      <w:bookmarkEnd w:id="8"/>
      <w:r w:rsidRPr="000A3FA0">
        <w:rPr>
          <w:rFonts w:cs="FrankRuehl"/>
          <w:sz w:val="26"/>
          <w:szCs w:val="26"/>
          <w:rtl/>
        </w:rPr>
        <w:t xml:space="preserve"> משנת הכספים </w:t>
      </w:r>
      <w:bookmarkStart w:id="9" w:name="TAKZIV2_1"/>
      <w:r w:rsidR="00423177">
        <w:rPr>
          <w:rFonts w:cs="FrankRuehl"/>
          <w:sz w:val="26"/>
          <w:szCs w:val="26"/>
          <w:rtl/>
        </w:rPr>
        <w:t>2025</w:t>
      </w:r>
      <w:bookmarkEnd w:id="9"/>
      <w:r w:rsidRPr="000A3FA0">
        <w:rPr>
          <w:rFonts w:cs="FrankRuehl"/>
          <w:sz w:val="26"/>
          <w:szCs w:val="26"/>
          <w:rtl/>
        </w:rPr>
        <w:t xml:space="preserve">, כעודף לשימוש בשנת הכספים </w:t>
      </w:r>
      <w:bookmarkStart w:id="10" w:name="TAKZIV1"/>
      <w:r w:rsidR="00423177">
        <w:rPr>
          <w:rFonts w:cs="FrankRuehl"/>
          <w:sz w:val="26"/>
          <w:szCs w:val="26"/>
          <w:rtl/>
        </w:rPr>
        <w:t>2026</w:t>
      </w:r>
      <w:bookmarkEnd w:id="10"/>
      <w:r w:rsidRPr="000A3FA0">
        <w:rPr>
          <w:rFonts w:cs="FrankRuehl"/>
          <w:sz w:val="26"/>
          <w:szCs w:val="26"/>
          <w:rtl/>
        </w:rPr>
        <w:t xml:space="preserve">, בהתאם לסעיף 13 (א) לחוק יסודות התקציב </w:t>
      </w:r>
      <w:proofErr w:type="spellStart"/>
      <w:r w:rsidRPr="000A3FA0">
        <w:rPr>
          <w:rFonts w:cs="FrankRuehl"/>
          <w:sz w:val="26"/>
          <w:szCs w:val="26"/>
          <w:rtl/>
        </w:rPr>
        <w:t>התשמ"ה</w:t>
      </w:r>
      <w:proofErr w:type="spellEnd"/>
      <w:r w:rsidRPr="000A3FA0">
        <w:rPr>
          <w:rFonts w:cs="FrankRuehl"/>
          <w:sz w:val="26"/>
          <w:szCs w:val="26"/>
          <w:rtl/>
        </w:rPr>
        <w:t xml:space="preserve"> - 1985,</w:t>
      </w:r>
      <w:r w:rsidR="00FC136F">
        <w:rPr>
          <w:rFonts w:cs="FrankRuehl" w:hint="cs"/>
          <w:sz w:val="26"/>
          <w:szCs w:val="26"/>
          <w:rtl/>
        </w:rPr>
        <w:t xml:space="preserve"> </w:t>
      </w:r>
      <w:r w:rsidRPr="000A3FA0">
        <w:rPr>
          <w:rFonts w:cs="FrankRuehl"/>
          <w:sz w:val="26"/>
          <w:szCs w:val="26"/>
          <w:rtl/>
        </w:rPr>
        <w:t>כמפורט בתדפיס המצורף בזה.</w:t>
      </w:r>
    </w:p>
    <w:p w14:paraId="0D220A94" w14:textId="6DFC92AD" w:rsidR="00FC136F" w:rsidRDefault="00FC136F" w:rsidP="00FC136F">
      <w:pPr>
        <w:jc w:val="both"/>
        <w:rPr>
          <w:rFonts w:cs="FrankRuehl"/>
          <w:sz w:val="26"/>
          <w:szCs w:val="26"/>
          <w:rtl/>
        </w:rPr>
      </w:pPr>
    </w:p>
    <w:p w14:paraId="5A4971FF" w14:textId="77777777" w:rsidR="00FC136F" w:rsidRDefault="00FC136F" w:rsidP="00FC136F">
      <w:pPr>
        <w:contextualSpacing/>
        <w:jc w:val="both"/>
        <w:rPr>
          <w:rFonts w:ascii="FrankRuehl" w:hAnsi="FrankRuehl" w:cs="FrankRuehl"/>
          <w:b/>
          <w:bCs/>
          <w:sz w:val="26"/>
          <w:szCs w:val="26"/>
          <w:lang w:eastAsia="en-US"/>
        </w:rPr>
      </w:pPr>
      <w:bookmarkStart w:id="11" w:name="DIVREY_HESBER"/>
      <w:bookmarkEnd w:id="11"/>
      <w:r>
        <w:rPr>
          <w:rFonts w:ascii="FrankRuehl" w:hAnsi="FrankRuehl" w:cs="FrankRuehl"/>
          <w:b/>
          <w:bCs/>
          <w:sz w:val="26"/>
          <w:szCs w:val="26"/>
          <w:rtl/>
        </w:rPr>
        <w:t xml:space="preserve">הבקשה דנה בסעיף תקציבי: </w:t>
      </w:r>
      <w:r w:rsidRPr="00FC136F">
        <w:rPr>
          <w:rFonts w:ascii="FrankRuehl" w:hAnsi="FrankRuehl" w:cs="FrankRuehl"/>
          <w:sz w:val="26"/>
          <w:szCs w:val="26"/>
          <w:rtl/>
        </w:rPr>
        <w:t>43 - המרכז למיפוי ישראל</w:t>
      </w:r>
    </w:p>
    <w:p w14:paraId="4EA7238B" w14:textId="77777777" w:rsidR="00FC136F" w:rsidRDefault="00FC136F" w:rsidP="00FC136F">
      <w:pPr>
        <w:contextualSpacing/>
        <w:jc w:val="both"/>
        <w:rPr>
          <w:rFonts w:ascii="FrankRuehl" w:hAnsi="FrankRuehl" w:cs="FrankRuehl"/>
          <w:sz w:val="26"/>
          <w:szCs w:val="26"/>
        </w:rPr>
      </w:pPr>
    </w:p>
    <w:p w14:paraId="7D0B7883" w14:textId="77777777" w:rsidR="00FC136F" w:rsidRDefault="00FC136F" w:rsidP="00FC136F">
      <w:pPr>
        <w:contextualSpacing/>
        <w:jc w:val="both"/>
        <w:rPr>
          <w:rFonts w:ascii="FrankRuehl" w:hAnsi="FrankRuehl" w:cs="FrankRuehl"/>
          <w:b/>
          <w:bCs/>
          <w:sz w:val="26"/>
          <w:szCs w:val="26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עיקרי הפנייה:</w:t>
      </w:r>
    </w:p>
    <w:p w14:paraId="3C1B44CF" w14:textId="77777777" w:rsidR="00FC136F" w:rsidRDefault="00FC136F" w:rsidP="00FC136F">
      <w:pPr>
        <w:contextualSpacing/>
        <w:jc w:val="both"/>
        <w:rPr>
          <w:rFonts w:ascii="FrankRuehl" w:hAnsi="FrankRuehl" w:cs="FrankRuehl"/>
          <w:sz w:val="26"/>
          <w:szCs w:val="26"/>
        </w:rPr>
      </w:pPr>
      <w:r>
        <w:rPr>
          <w:rFonts w:ascii="FrankRuehl" w:hAnsi="FrankRuehl" w:cs="FrankRuehl"/>
          <w:sz w:val="26"/>
          <w:szCs w:val="26"/>
          <w:rtl/>
        </w:rPr>
        <w:t xml:space="preserve">הפנייה התקציבית נועדה להעברת עודפים בסך של 42,049 אלפי ש"ח משנת התקציב 2025 לשנת התקציב 2026 שנועדו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לתכניות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התקציב הבאות, כמפורט להלן:</w:t>
      </w:r>
    </w:p>
    <w:p w14:paraId="7D2B7F8E" w14:textId="77777777" w:rsidR="00FC136F" w:rsidRDefault="00FC136F" w:rsidP="00FC136F">
      <w:pPr>
        <w:contextualSpacing/>
        <w:jc w:val="both"/>
        <w:rPr>
          <w:rFonts w:ascii="FrankRuehl" w:hAnsi="FrankRuehl" w:cs="FrankRuehl"/>
          <w:sz w:val="26"/>
          <w:szCs w:val="26"/>
          <w:rtl/>
        </w:rPr>
      </w:pPr>
    </w:p>
    <w:p w14:paraId="08C959EF" w14:textId="77777777" w:rsidR="00FC136F" w:rsidRPr="00FC136F" w:rsidRDefault="00FC136F" w:rsidP="00FC136F">
      <w:pPr>
        <w:contextualSpacing/>
        <w:jc w:val="both"/>
        <w:rPr>
          <w:rFonts w:ascii="FrankRuehl" w:hAnsi="FrankRuehl" w:cs="FrankRuehl"/>
          <w:b/>
          <w:bCs/>
          <w:sz w:val="26"/>
          <w:szCs w:val="26"/>
        </w:rPr>
      </w:pPr>
      <w:r w:rsidRPr="00FC136F">
        <w:rPr>
          <w:rFonts w:ascii="FrankRuehl" w:hAnsi="FrankRuehl" w:cs="FrankRuehl"/>
          <w:b/>
          <w:bCs/>
          <w:sz w:val="26"/>
          <w:szCs w:val="26"/>
          <w:rtl/>
        </w:rPr>
        <w:t xml:space="preserve">עיקרי הפניה בחלוקה </w:t>
      </w:r>
      <w:proofErr w:type="spellStart"/>
      <w:r w:rsidRPr="00FC136F">
        <w:rPr>
          <w:rFonts w:ascii="FrankRuehl" w:hAnsi="FrankRuehl" w:cs="FrankRuehl"/>
          <w:b/>
          <w:bCs/>
          <w:sz w:val="26"/>
          <w:szCs w:val="26"/>
          <w:rtl/>
        </w:rPr>
        <w:t>לתכניות</w:t>
      </w:r>
      <w:proofErr w:type="spellEnd"/>
      <w:r w:rsidRPr="00FC136F">
        <w:rPr>
          <w:rFonts w:ascii="FrankRuehl" w:hAnsi="FrankRuehl" w:cs="FrankRuehl"/>
          <w:b/>
          <w:bCs/>
          <w:sz w:val="26"/>
          <w:szCs w:val="26"/>
          <w:rtl/>
        </w:rPr>
        <w:t>:</w:t>
      </w:r>
    </w:p>
    <w:p w14:paraId="2F8BD64E" w14:textId="77777777" w:rsidR="00FC136F" w:rsidRDefault="00FC136F" w:rsidP="00FC136F">
      <w:pPr>
        <w:contextualSpacing/>
        <w:jc w:val="both"/>
        <w:rPr>
          <w:rFonts w:ascii="FrankRuehl" w:hAnsi="FrankRuehl" w:cs="FrankRuehl"/>
          <w:sz w:val="26"/>
          <w:szCs w:val="26"/>
          <w:rtl/>
        </w:rPr>
      </w:pPr>
    </w:p>
    <w:p w14:paraId="22A935D2" w14:textId="77777777" w:rsidR="00FC136F" w:rsidRDefault="00FC136F" w:rsidP="00FC136F">
      <w:pPr>
        <w:contextualSpacing/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430201 - שכר ותפעול – 6,846 אלפי ש"ח</w:t>
      </w:r>
    </w:p>
    <w:p w14:paraId="508277B4" w14:textId="77777777" w:rsidR="00FC136F" w:rsidRDefault="00FC136F" w:rsidP="00FC136F">
      <w:pPr>
        <w:contextualSpacing/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תיאור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b/>
          <w:bCs/>
          <w:sz w:val="26"/>
          <w:szCs w:val="26"/>
          <w:rtl/>
        </w:rPr>
        <w:t>:</w:t>
      </w:r>
      <w:r>
        <w:rPr>
          <w:rFonts w:ascii="FrankRuehl" w:hAnsi="FrankRuehl" w:cs="FrankRuehl"/>
          <w:sz w:val="26"/>
          <w:szCs w:val="26"/>
          <w:rtl/>
        </w:rPr>
        <w:t xml:space="preserve">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כוללת את תקצוב הכמויות ועלויות השכר של כלל עובדי המרכז וכן את הוצאות התפעול</w:t>
      </w:r>
      <w:r>
        <w:rPr>
          <w:rFonts w:ascii="FrankRuehl" w:hAnsi="FrankRuehl" w:cs="FrankRuehl"/>
          <w:sz w:val="26"/>
          <w:szCs w:val="26"/>
        </w:rPr>
        <w:t>.</w:t>
      </w:r>
    </w:p>
    <w:p w14:paraId="383719FF" w14:textId="77777777" w:rsidR="00FC136F" w:rsidRDefault="00FC136F" w:rsidP="00FC136F">
      <w:pPr>
        <w:contextualSpacing/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סיבות מרכזיות בגינן נוצרו עודפים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בתכנית</w:t>
      </w:r>
      <w:proofErr w:type="spellEnd"/>
      <w:r>
        <w:rPr>
          <w:rFonts w:ascii="FrankRuehl" w:hAnsi="FrankRuehl" w:cs="FrankRuehl"/>
          <w:b/>
          <w:bCs/>
          <w:sz w:val="26"/>
          <w:szCs w:val="26"/>
          <w:rtl/>
        </w:rPr>
        <w:t>:</w:t>
      </w:r>
    </w:p>
    <w:p w14:paraId="34ED0ACD" w14:textId="77777777" w:rsidR="00FC136F" w:rsidRDefault="00FC136F" w:rsidP="00FC136F">
      <w:pPr>
        <w:contextualSpacing/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sz w:val="26"/>
          <w:szCs w:val="26"/>
          <w:rtl/>
        </w:rPr>
        <w:t xml:space="preserve">העודפים נוצרו בגין התחייבויות שוטפות אשר אינן תואמות את השנה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הקלנדרית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>.</w:t>
      </w:r>
    </w:p>
    <w:p w14:paraId="04C43909" w14:textId="77777777" w:rsidR="00FC136F" w:rsidRDefault="00FC136F" w:rsidP="00FC136F">
      <w:pPr>
        <w:contextualSpacing/>
        <w:jc w:val="both"/>
        <w:rPr>
          <w:rFonts w:ascii="FrankRuehl" w:hAnsi="FrankRuehl" w:cs="FrankRuehl"/>
          <w:sz w:val="26"/>
          <w:szCs w:val="26"/>
          <w:rtl/>
        </w:rPr>
      </w:pPr>
    </w:p>
    <w:p w14:paraId="76CCCA95" w14:textId="77777777" w:rsidR="00FC136F" w:rsidRDefault="00FC136F" w:rsidP="00FC136F">
      <w:pPr>
        <w:contextualSpacing/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430301 - מערכות ופרויקטים – 35,203 אלפי ש"ח</w:t>
      </w:r>
    </w:p>
    <w:p w14:paraId="2984BECD" w14:textId="77777777" w:rsidR="00FC136F" w:rsidRDefault="00FC136F" w:rsidP="00FC136F">
      <w:pPr>
        <w:contextualSpacing/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תיאור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b/>
          <w:bCs/>
          <w:sz w:val="26"/>
          <w:szCs w:val="26"/>
          <w:rtl/>
        </w:rPr>
        <w:t>:</w:t>
      </w:r>
      <w:r>
        <w:rPr>
          <w:rFonts w:ascii="FrankRuehl" w:hAnsi="FrankRuehl" w:cs="FrankRuehl"/>
          <w:sz w:val="26"/>
          <w:szCs w:val="26"/>
          <w:rtl/>
        </w:rPr>
        <w:t xml:space="preserve">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כוללת את תקצוב הוצאות המרכז לביצוע פעולות מיפוי.</w:t>
      </w:r>
    </w:p>
    <w:p w14:paraId="64987DEF" w14:textId="77777777" w:rsidR="00FC136F" w:rsidRDefault="00FC136F" w:rsidP="00FC136F">
      <w:pPr>
        <w:contextualSpacing/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סיבות מרכזיות בגינן נוצרו עודפים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בתכנית</w:t>
      </w:r>
      <w:proofErr w:type="spellEnd"/>
      <w:r>
        <w:rPr>
          <w:rFonts w:ascii="FrankRuehl" w:hAnsi="FrankRuehl" w:cs="FrankRuehl"/>
          <w:b/>
          <w:bCs/>
          <w:sz w:val="26"/>
          <w:szCs w:val="26"/>
          <w:rtl/>
        </w:rPr>
        <w:t>:</w:t>
      </w:r>
    </w:p>
    <w:p w14:paraId="49243442" w14:textId="77777777" w:rsidR="00FC136F" w:rsidRDefault="00FC136F" w:rsidP="00FC136F">
      <w:pPr>
        <w:contextualSpacing/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sz w:val="26"/>
          <w:szCs w:val="26"/>
          <w:rtl/>
        </w:rPr>
        <w:t xml:space="preserve">העודפים נוצרו בגין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פרויקטי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פיתוח מערכות מיפוי אשר נמשכים מספר שנים ואינם חופפים לשנה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הקלנדרית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>.</w:t>
      </w:r>
    </w:p>
    <w:p w14:paraId="0AFFFB1E" w14:textId="77777777" w:rsidR="007332A2" w:rsidRPr="000A3FA0" w:rsidRDefault="007332A2" w:rsidP="00FC136F">
      <w:pPr>
        <w:contextualSpacing/>
        <w:jc w:val="both"/>
        <w:rPr>
          <w:rFonts w:cs="FrankRuehl"/>
          <w:sz w:val="26"/>
          <w:szCs w:val="26"/>
          <w:rtl/>
        </w:rPr>
      </w:pPr>
    </w:p>
    <w:p w14:paraId="19515A7C" w14:textId="77777777" w:rsidR="0051496B" w:rsidRPr="000A3FA0" w:rsidRDefault="0051496B" w:rsidP="00FC136F">
      <w:pPr>
        <w:contextualSpacing/>
        <w:jc w:val="both"/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האישור ייכנס לתקפו, אם לא יעוכב ע"י ועדת הכספים של הכנסת, לאחר 21 יום מתאריך מכתב זה.</w:t>
      </w:r>
    </w:p>
    <w:p w14:paraId="6108FD71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30EFD34F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7B8A4FD1" w14:textId="77777777" w:rsidR="0051496B" w:rsidRPr="000A3FA0" w:rsidRDefault="0051496B" w:rsidP="00AC0FB8">
      <w:pPr>
        <w:tabs>
          <w:tab w:val="left" w:pos="6416"/>
          <w:tab w:val="center" w:pos="6867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="00AC0FB8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>בכבוד רב,</w:t>
      </w:r>
    </w:p>
    <w:p w14:paraId="04250821" w14:textId="77777777" w:rsidR="0051496B" w:rsidRDefault="0051496B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1BB58F91" w14:textId="77777777" w:rsidR="00AC0FB8" w:rsidRPr="000A3FA0" w:rsidRDefault="00AC0FB8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12" w:name="Sign_Image"/>
      <w:bookmarkEnd w:id="12"/>
    </w:p>
    <w:p w14:paraId="1F515C49" w14:textId="77777777" w:rsidR="0051496B" w:rsidRPr="000A3FA0" w:rsidRDefault="0051496B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0F4E0F40" w14:textId="77777777" w:rsidR="0051496B" w:rsidRPr="000A3FA0" w:rsidRDefault="0051496B">
      <w:pPr>
        <w:tabs>
          <w:tab w:val="center" w:pos="6867"/>
        </w:tabs>
        <w:rPr>
          <w:rFonts w:cs="FrankRuehl"/>
          <w:sz w:val="26"/>
          <w:szCs w:val="26"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40ABBC9A" w14:textId="77777777" w:rsidR="0051496B" w:rsidRPr="000A3FA0" w:rsidRDefault="0051496B" w:rsidP="000062C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176F3C2F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2164A18E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lastRenderedPageBreak/>
        <w:t>העתק:</w:t>
      </w:r>
    </w:p>
    <w:p w14:paraId="2C968D31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החשב הכללי</w:t>
      </w:r>
    </w:p>
    <w:p w14:paraId="26B36B04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מבקר המדינה (2)</w:t>
      </w:r>
    </w:p>
    <w:p w14:paraId="4C1D469A" w14:textId="289C0511" w:rsidR="0051496B" w:rsidRPr="000A3FA0" w:rsidRDefault="00423177">
      <w:pPr>
        <w:rPr>
          <w:rFonts w:cs="FrankRuehl"/>
          <w:sz w:val="26"/>
          <w:szCs w:val="26"/>
          <w:rtl/>
        </w:rPr>
      </w:pPr>
      <w:bookmarkStart w:id="13" w:name="TAKZIV22"/>
      <w:r>
        <w:rPr>
          <w:rFonts w:cs="FrankRuehl"/>
          <w:sz w:val="26"/>
          <w:szCs w:val="26"/>
          <w:rtl/>
        </w:rPr>
        <w:t>חשב המרכז למיפוי ישראל</w:t>
      </w:r>
      <w:bookmarkEnd w:id="13"/>
    </w:p>
    <w:p w14:paraId="1A2A6D18" w14:textId="20C72974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 xml:space="preserve">קצין תקציבים </w:t>
      </w:r>
      <w:bookmarkStart w:id="14" w:name="TAKZIV6"/>
      <w:r w:rsidR="00423177">
        <w:rPr>
          <w:rFonts w:cs="FrankRuehl"/>
          <w:sz w:val="26"/>
          <w:szCs w:val="26"/>
          <w:rtl/>
        </w:rPr>
        <w:t>המרכז למיפוי ישראל</w:t>
      </w:r>
      <w:bookmarkEnd w:id="14"/>
    </w:p>
    <w:p w14:paraId="68A801D1" w14:textId="138E0961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 xml:space="preserve">רפרנט </w:t>
      </w:r>
      <w:bookmarkStart w:id="15" w:name="TAKZIV6_1"/>
      <w:r w:rsidR="00423177">
        <w:rPr>
          <w:rFonts w:cs="FrankRuehl"/>
          <w:sz w:val="26"/>
          <w:szCs w:val="26"/>
          <w:rtl/>
        </w:rPr>
        <w:t>המרכז למיפוי ישראל</w:t>
      </w:r>
      <w:bookmarkEnd w:id="15"/>
    </w:p>
    <w:p w14:paraId="105A8F70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bookmarkStart w:id="16" w:name="TAKZIV23"/>
      <w:bookmarkEnd w:id="16"/>
    </w:p>
    <w:p w14:paraId="7D3D6D5D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38997309" w14:textId="0D344105" w:rsidR="0051496B" w:rsidRDefault="0051496B">
      <w:pPr>
        <w:rPr>
          <w:rFonts w:cs="FrankRuehl"/>
          <w:sz w:val="26"/>
          <w:szCs w:val="26"/>
          <w:rtl/>
        </w:rPr>
      </w:pPr>
      <w:bookmarkStart w:id="17" w:name="TAKZIV25"/>
      <w:bookmarkEnd w:id="17"/>
    </w:p>
    <w:p w14:paraId="28AF1324" w14:textId="5F7E1A01" w:rsidR="005F08A5" w:rsidRDefault="005F08A5">
      <w:pPr>
        <w:rPr>
          <w:rFonts w:cs="FrankRuehl"/>
          <w:sz w:val="26"/>
          <w:szCs w:val="26"/>
          <w:rtl/>
        </w:rPr>
      </w:pPr>
    </w:p>
    <w:p w14:paraId="03B86E9C" w14:textId="55780CC5" w:rsidR="005F08A5" w:rsidRDefault="005F08A5">
      <w:pPr>
        <w:rPr>
          <w:rFonts w:cs="FrankRuehl"/>
          <w:sz w:val="26"/>
          <w:szCs w:val="26"/>
          <w:rtl/>
        </w:rPr>
      </w:pPr>
    </w:p>
    <w:p w14:paraId="798EC0F2" w14:textId="748D0CE1" w:rsidR="005F08A5" w:rsidRDefault="005F08A5">
      <w:pPr>
        <w:rPr>
          <w:rFonts w:cs="FrankRuehl"/>
          <w:sz w:val="26"/>
          <w:szCs w:val="26"/>
          <w:rtl/>
        </w:rPr>
      </w:pPr>
    </w:p>
    <w:p w14:paraId="62341570" w14:textId="032753B7" w:rsidR="005F08A5" w:rsidRDefault="005F08A5">
      <w:pPr>
        <w:rPr>
          <w:rFonts w:cs="FrankRuehl"/>
          <w:sz w:val="26"/>
          <w:szCs w:val="26"/>
          <w:rtl/>
        </w:rPr>
      </w:pPr>
    </w:p>
    <w:p w14:paraId="16C347C9" w14:textId="5CA59541" w:rsidR="005F08A5" w:rsidRDefault="005F08A5">
      <w:pPr>
        <w:rPr>
          <w:rFonts w:cs="FrankRuehl"/>
          <w:sz w:val="26"/>
          <w:szCs w:val="26"/>
          <w:rtl/>
        </w:rPr>
      </w:pPr>
    </w:p>
    <w:p w14:paraId="575BC809" w14:textId="7715F0E9" w:rsidR="005F08A5" w:rsidRDefault="005F08A5">
      <w:pPr>
        <w:rPr>
          <w:rFonts w:cs="FrankRuehl"/>
          <w:sz w:val="26"/>
          <w:szCs w:val="26"/>
          <w:rtl/>
        </w:rPr>
      </w:pPr>
    </w:p>
    <w:p w14:paraId="1FC80D36" w14:textId="58AFA01D" w:rsidR="005F08A5" w:rsidRDefault="005F08A5">
      <w:pPr>
        <w:rPr>
          <w:rFonts w:cs="FrankRuehl"/>
          <w:sz w:val="26"/>
          <w:szCs w:val="26"/>
          <w:rtl/>
        </w:rPr>
      </w:pPr>
    </w:p>
    <w:p w14:paraId="649E6E05" w14:textId="2CEFAED4" w:rsidR="005F08A5" w:rsidRDefault="005F08A5">
      <w:pPr>
        <w:rPr>
          <w:rFonts w:cs="FrankRuehl"/>
          <w:sz w:val="26"/>
          <w:szCs w:val="26"/>
          <w:rtl/>
        </w:rPr>
      </w:pPr>
    </w:p>
    <w:p w14:paraId="0212BBE8" w14:textId="23BF724C" w:rsidR="005F08A5" w:rsidRDefault="005F08A5">
      <w:pPr>
        <w:rPr>
          <w:rFonts w:cs="FrankRuehl"/>
          <w:sz w:val="26"/>
          <w:szCs w:val="26"/>
          <w:rtl/>
        </w:rPr>
      </w:pPr>
    </w:p>
    <w:p w14:paraId="02909E3D" w14:textId="01133F5D" w:rsidR="005F08A5" w:rsidRDefault="005F08A5">
      <w:pPr>
        <w:rPr>
          <w:rFonts w:cs="FrankRuehl"/>
          <w:sz w:val="26"/>
          <w:szCs w:val="26"/>
          <w:rtl/>
        </w:rPr>
      </w:pPr>
    </w:p>
    <w:p w14:paraId="5A7284EA" w14:textId="7661E355" w:rsidR="005F08A5" w:rsidRDefault="005F08A5">
      <w:pPr>
        <w:rPr>
          <w:rFonts w:cs="FrankRuehl"/>
          <w:sz w:val="26"/>
          <w:szCs w:val="26"/>
          <w:rtl/>
        </w:rPr>
      </w:pPr>
    </w:p>
    <w:p w14:paraId="245B3B47" w14:textId="5AFDCEF6" w:rsidR="005F08A5" w:rsidRDefault="005F08A5">
      <w:pPr>
        <w:rPr>
          <w:rFonts w:cs="FrankRuehl"/>
          <w:sz w:val="26"/>
          <w:szCs w:val="26"/>
          <w:rtl/>
        </w:rPr>
      </w:pPr>
    </w:p>
    <w:p w14:paraId="55F987BC" w14:textId="60D9255D" w:rsidR="005F08A5" w:rsidRDefault="005F08A5">
      <w:pPr>
        <w:rPr>
          <w:rFonts w:cs="FrankRuehl"/>
          <w:sz w:val="26"/>
          <w:szCs w:val="26"/>
          <w:rtl/>
        </w:rPr>
      </w:pPr>
    </w:p>
    <w:p w14:paraId="057B5A79" w14:textId="684A86D5" w:rsidR="005F08A5" w:rsidRDefault="005F08A5">
      <w:pPr>
        <w:rPr>
          <w:rFonts w:cs="FrankRuehl"/>
          <w:sz w:val="26"/>
          <w:szCs w:val="26"/>
          <w:rtl/>
        </w:rPr>
      </w:pPr>
    </w:p>
    <w:p w14:paraId="0E238009" w14:textId="02F386E8" w:rsidR="005F08A5" w:rsidRDefault="005F08A5">
      <w:pPr>
        <w:rPr>
          <w:rFonts w:cs="FrankRuehl"/>
          <w:sz w:val="26"/>
          <w:szCs w:val="26"/>
          <w:rtl/>
        </w:rPr>
      </w:pPr>
    </w:p>
    <w:p w14:paraId="538B1725" w14:textId="1A03CE5F" w:rsidR="005F08A5" w:rsidRDefault="005F08A5">
      <w:pPr>
        <w:rPr>
          <w:rFonts w:cs="FrankRuehl"/>
          <w:sz w:val="26"/>
          <w:szCs w:val="26"/>
          <w:rtl/>
        </w:rPr>
      </w:pPr>
    </w:p>
    <w:p w14:paraId="1F10DA85" w14:textId="649BE925" w:rsidR="005F08A5" w:rsidRDefault="005F08A5">
      <w:pPr>
        <w:rPr>
          <w:rFonts w:cs="FrankRuehl"/>
          <w:sz w:val="26"/>
          <w:szCs w:val="26"/>
          <w:rtl/>
        </w:rPr>
      </w:pPr>
    </w:p>
    <w:p w14:paraId="4C4C1F8F" w14:textId="1F63991A" w:rsidR="005F08A5" w:rsidRDefault="005F08A5">
      <w:pPr>
        <w:rPr>
          <w:rFonts w:cs="FrankRuehl"/>
          <w:sz w:val="26"/>
          <w:szCs w:val="26"/>
          <w:rtl/>
        </w:rPr>
      </w:pPr>
    </w:p>
    <w:p w14:paraId="4AF5405A" w14:textId="3DB2A898" w:rsidR="005F08A5" w:rsidRDefault="005F08A5">
      <w:pPr>
        <w:rPr>
          <w:rFonts w:cs="FrankRuehl"/>
          <w:sz w:val="26"/>
          <w:szCs w:val="26"/>
          <w:rtl/>
        </w:rPr>
      </w:pPr>
    </w:p>
    <w:p w14:paraId="09FA9847" w14:textId="6DB09316" w:rsidR="005F08A5" w:rsidRDefault="005F08A5">
      <w:pPr>
        <w:rPr>
          <w:rFonts w:cs="FrankRuehl"/>
          <w:sz w:val="26"/>
          <w:szCs w:val="26"/>
          <w:rtl/>
        </w:rPr>
      </w:pPr>
    </w:p>
    <w:p w14:paraId="2A07B525" w14:textId="04BD138D" w:rsidR="005F08A5" w:rsidRDefault="005F08A5">
      <w:pPr>
        <w:rPr>
          <w:rFonts w:cs="FrankRuehl"/>
          <w:sz w:val="26"/>
          <w:szCs w:val="26"/>
          <w:rtl/>
        </w:rPr>
      </w:pPr>
    </w:p>
    <w:p w14:paraId="64A3CA28" w14:textId="7A8F5ABC" w:rsidR="005F08A5" w:rsidRDefault="005F08A5">
      <w:pPr>
        <w:rPr>
          <w:rFonts w:cs="FrankRuehl"/>
          <w:sz w:val="26"/>
          <w:szCs w:val="26"/>
          <w:rtl/>
        </w:rPr>
      </w:pPr>
    </w:p>
    <w:p w14:paraId="6898E850" w14:textId="4D153561" w:rsidR="005F08A5" w:rsidRDefault="005F08A5">
      <w:pPr>
        <w:rPr>
          <w:rFonts w:cs="FrankRuehl"/>
          <w:sz w:val="26"/>
          <w:szCs w:val="26"/>
          <w:rtl/>
        </w:rPr>
      </w:pPr>
    </w:p>
    <w:p w14:paraId="41ADAECB" w14:textId="3F177272" w:rsidR="005F08A5" w:rsidRDefault="005F08A5">
      <w:pPr>
        <w:rPr>
          <w:rFonts w:cs="FrankRuehl"/>
          <w:sz w:val="26"/>
          <w:szCs w:val="26"/>
          <w:rtl/>
        </w:rPr>
      </w:pPr>
    </w:p>
    <w:p w14:paraId="018E4AF2" w14:textId="4ADDDCFC" w:rsidR="005F08A5" w:rsidRDefault="005F08A5">
      <w:pPr>
        <w:rPr>
          <w:rFonts w:cs="FrankRuehl"/>
          <w:sz w:val="26"/>
          <w:szCs w:val="26"/>
          <w:rtl/>
        </w:rPr>
      </w:pPr>
    </w:p>
    <w:p w14:paraId="3C739CCB" w14:textId="3A52F69B" w:rsidR="005F08A5" w:rsidRDefault="005F08A5">
      <w:pPr>
        <w:rPr>
          <w:rFonts w:cs="FrankRuehl"/>
          <w:sz w:val="26"/>
          <w:szCs w:val="26"/>
          <w:rtl/>
        </w:rPr>
      </w:pPr>
    </w:p>
    <w:p w14:paraId="1BCB7080" w14:textId="66A7B052" w:rsidR="005F08A5" w:rsidRDefault="005F08A5">
      <w:pPr>
        <w:rPr>
          <w:rFonts w:cs="FrankRuehl"/>
          <w:sz w:val="26"/>
          <w:szCs w:val="26"/>
          <w:rtl/>
        </w:rPr>
      </w:pPr>
    </w:p>
    <w:p w14:paraId="4A24211D" w14:textId="671741E1" w:rsidR="005F08A5" w:rsidRDefault="005F08A5">
      <w:pPr>
        <w:rPr>
          <w:rFonts w:cs="FrankRuehl"/>
          <w:sz w:val="26"/>
          <w:szCs w:val="26"/>
          <w:rtl/>
        </w:rPr>
      </w:pPr>
    </w:p>
    <w:p w14:paraId="0247479C" w14:textId="0392CA3F" w:rsidR="005F08A5" w:rsidRDefault="005F08A5">
      <w:pPr>
        <w:rPr>
          <w:rFonts w:cs="FrankRuehl"/>
          <w:sz w:val="26"/>
          <w:szCs w:val="26"/>
          <w:rtl/>
        </w:rPr>
      </w:pPr>
    </w:p>
    <w:p w14:paraId="31658A90" w14:textId="1F817F36" w:rsidR="005F08A5" w:rsidRDefault="005F08A5">
      <w:pPr>
        <w:rPr>
          <w:rFonts w:cs="FrankRuehl"/>
          <w:sz w:val="26"/>
          <w:szCs w:val="26"/>
          <w:rtl/>
        </w:rPr>
      </w:pPr>
    </w:p>
    <w:p w14:paraId="45F9FB18" w14:textId="222299F4" w:rsidR="005F08A5" w:rsidRDefault="005F08A5">
      <w:pPr>
        <w:rPr>
          <w:rFonts w:cs="FrankRuehl"/>
          <w:sz w:val="26"/>
          <w:szCs w:val="26"/>
          <w:rtl/>
        </w:rPr>
      </w:pPr>
    </w:p>
    <w:p w14:paraId="2478F9B6" w14:textId="50108D50" w:rsidR="005F08A5" w:rsidRDefault="005F08A5">
      <w:pPr>
        <w:rPr>
          <w:rFonts w:cs="FrankRuehl"/>
          <w:sz w:val="26"/>
          <w:szCs w:val="26"/>
          <w:rtl/>
        </w:rPr>
      </w:pPr>
    </w:p>
    <w:p w14:paraId="260A19DE" w14:textId="6C8F3163" w:rsidR="005F08A5" w:rsidRDefault="005F08A5">
      <w:pPr>
        <w:rPr>
          <w:rFonts w:cs="FrankRuehl"/>
          <w:sz w:val="26"/>
          <w:szCs w:val="26"/>
          <w:rtl/>
        </w:rPr>
      </w:pPr>
    </w:p>
    <w:p w14:paraId="4C6697B4" w14:textId="16D6AE3C" w:rsidR="005F08A5" w:rsidRDefault="005F08A5">
      <w:pPr>
        <w:rPr>
          <w:rFonts w:cs="FrankRuehl"/>
          <w:sz w:val="26"/>
          <w:szCs w:val="26"/>
          <w:rtl/>
        </w:rPr>
      </w:pPr>
    </w:p>
    <w:p w14:paraId="44E6DF1B" w14:textId="6809E832" w:rsidR="005F08A5" w:rsidRDefault="005F08A5">
      <w:pPr>
        <w:rPr>
          <w:rFonts w:cs="FrankRuehl"/>
          <w:sz w:val="26"/>
          <w:szCs w:val="26"/>
          <w:rtl/>
        </w:rPr>
      </w:pPr>
    </w:p>
    <w:p w14:paraId="5F1DBAC0" w14:textId="129249DE" w:rsidR="005F08A5" w:rsidRDefault="005F08A5">
      <w:pPr>
        <w:rPr>
          <w:rFonts w:cs="FrankRuehl"/>
          <w:sz w:val="26"/>
          <w:szCs w:val="26"/>
          <w:rtl/>
        </w:rPr>
      </w:pPr>
    </w:p>
    <w:p w14:paraId="112895A1" w14:textId="5D00FC01" w:rsidR="005F08A5" w:rsidRDefault="005F08A5">
      <w:pPr>
        <w:rPr>
          <w:rFonts w:cs="FrankRuehl"/>
          <w:sz w:val="26"/>
          <w:szCs w:val="26"/>
          <w:rtl/>
        </w:rPr>
      </w:pPr>
    </w:p>
    <w:p w14:paraId="09D0AD40" w14:textId="25931F88" w:rsidR="005F08A5" w:rsidRDefault="005F08A5">
      <w:pPr>
        <w:rPr>
          <w:rFonts w:cs="FrankRuehl"/>
          <w:sz w:val="26"/>
          <w:szCs w:val="26"/>
          <w:rtl/>
        </w:rPr>
      </w:pPr>
    </w:p>
    <w:p w14:paraId="182D6F7D" w14:textId="221AC20A" w:rsidR="005F08A5" w:rsidRDefault="005F08A5">
      <w:pPr>
        <w:rPr>
          <w:rFonts w:cs="FrankRuehl"/>
          <w:sz w:val="26"/>
          <w:szCs w:val="26"/>
          <w:rtl/>
        </w:rPr>
      </w:pPr>
    </w:p>
    <w:p w14:paraId="7792B2E0" w14:textId="51E532E3" w:rsidR="005F08A5" w:rsidRDefault="005F08A5">
      <w:pPr>
        <w:rPr>
          <w:rFonts w:cs="FrankRuehl"/>
          <w:sz w:val="26"/>
          <w:szCs w:val="26"/>
          <w:rtl/>
        </w:rPr>
      </w:pPr>
    </w:p>
    <w:p w14:paraId="60DDFD83" w14:textId="3F537CA2" w:rsidR="005F08A5" w:rsidRDefault="005F08A5">
      <w:pPr>
        <w:rPr>
          <w:rFonts w:cs="FrankRuehl"/>
          <w:sz w:val="26"/>
          <w:szCs w:val="26"/>
          <w:rtl/>
        </w:rPr>
      </w:pPr>
    </w:p>
    <w:p w14:paraId="00E117DD" w14:textId="565D37ED" w:rsidR="005F08A5" w:rsidRDefault="005F08A5">
      <w:pPr>
        <w:rPr>
          <w:rFonts w:cs="FrankRuehl"/>
          <w:sz w:val="26"/>
          <w:szCs w:val="26"/>
          <w:rtl/>
        </w:rPr>
      </w:pPr>
    </w:p>
    <w:p w14:paraId="5137533E" w14:textId="52815627" w:rsidR="005F08A5" w:rsidRDefault="005F08A5">
      <w:pPr>
        <w:rPr>
          <w:rFonts w:cs="FrankRuehl"/>
          <w:sz w:val="26"/>
          <w:szCs w:val="26"/>
          <w:rtl/>
        </w:rPr>
      </w:pPr>
    </w:p>
    <w:p w14:paraId="295214DA" w14:textId="77777777" w:rsidR="005F08A5" w:rsidRDefault="005F08A5" w:rsidP="005F08A5">
      <w:pPr>
        <w:jc w:val="center"/>
        <w:rPr>
          <w:rFonts w:cs="FrankRuehl"/>
          <w:b/>
          <w:bCs/>
          <w:sz w:val="26"/>
          <w:szCs w:val="26"/>
          <w:u w:val="single"/>
          <w:lang w:eastAsia="en-US"/>
        </w:rPr>
      </w:pPr>
      <w:r>
        <w:rPr>
          <w:rFonts w:cs="FrankRuehl"/>
          <w:b/>
          <w:bCs/>
          <w:sz w:val="26"/>
          <w:szCs w:val="26"/>
          <w:u w:val="single"/>
          <w:rtl/>
        </w:rPr>
        <w:lastRenderedPageBreak/>
        <w:t>נספח לדברי ההסבר</w:t>
      </w:r>
    </w:p>
    <w:p w14:paraId="4CF6AEA9" w14:textId="77777777" w:rsidR="005F08A5" w:rsidRDefault="005F08A5" w:rsidP="005F08A5">
      <w:pPr>
        <w:jc w:val="center"/>
        <w:rPr>
          <w:rFonts w:cs="FrankRuehl"/>
          <w:b/>
          <w:bCs/>
          <w:sz w:val="26"/>
          <w:szCs w:val="26"/>
          <w:u w:val="single"/>
        </w:rPr>
      </w:pPr>
    </w:p>
    <w:p w14:paraId="2E975D77" w14:textId="77777777" w:rsidR="005F08A5" w:rsidRDefault="005F08A5" w:rsidP="005F08A5">
      <w:pPr>
        <w:jc w:val="center"/>
        <w:rPr>
          <w:rFonts w:cs="FrankRuehl"/>
          <w:b/>
          <w:bCs/>
          <w:sz w:val="26"/>
          <w:szCs w:val="26"/>
          <w:rtl/>
        </w:rPr>
      </w:pPr>
      <w:r>
        <w:rPr>
          <w:rFonts w:cs="FrankRuehl"/>
          <w:b/>
          <w:bCs/>
          <w:sz w:val="26"/>
          <w:szCs w:val="26"/>
          <w:rtl/>
        </w:rPr>
        <w:t>היסטוריה תקציבית של הפנייה</w:t>
      </w:r>
    </w:p>
    <w:p w14:paraId="46D2EDD5" w14:textId="01DC25CB" w:rsidR="005F08A5" w:rsidRDefault="005F08A5">
      <w:pPr>
        <w:rPr>
          <w:rFonts w:cs="FrankRuehl"/>
          <w:sz w:val="26"/>
          <w:szCs w:val="26"/>
          <w:rtl/>
        </w:rPr>
      </w:pPr>
    </w:p>
    <w:tbl>
      <w:tblPr>
        <w:tblpPr w:leftFromText="180" w:rightFromText="180" w:vertAnchor="text" w:tblpXSpec="right" w:tblpYSpec="center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8"/>
        <w:gridCol w:w="1894"/>
        <w:gridCol w:w="1650"/>
        <w:gridCol w:w="1650"/>
        <w:gridCol w:w="1681"/>
      </w:tblGrid>
      <w:tr w:rsidR="005F08A5" w14:paraId="4B87AC09" w14:textId="77777777" w:rsidTr="005F08A5">
        <w:trPr>
          <w:trHeight w:val="675"/>
        </w:trPr>
        <w:tc>
          <w:tcPr>
            <w:tcW w:w="967" w:type="pct"/>
            <w:tcBorders>
              <w:top w:val="single" w:sz="8" w:space="0" w:color="979991"/>
              <w:left w:val="single" w:sz="8" w:space="0" w:color="979991"/>
              <w:bottom w:val="nil"/>
              <w:right w:val="nil"/>
            </w:tcBorders>
            <w:shd w:val="clear" w:color="auto" w:fill="F0F4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12CD8" w14:textId="77777777" w:rsidR="005F08A5" w:rsidRDefault="005F08A5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hint="cs"/>
                <w:b/>
                <w:bCs/>
                <w:color w:val="000000"/>
                <w:sz w:val="16"/>
                <w:szCs w:val="16"/>
                <w:rtl/>
              </w:rPr>
              <w:t>קוד תוכנית</w:t>
            </w:r>
          </w:p>
        </w:tc>
        <w:tc>
          <w:tcPr>
            <w:tcW w:w="1111" w:type="pct"/>
            <w:tcBorders>
              <w:top w:val="single" w:sz="8" w:space="0" w:color="979991"/>
              <w:left w:val="single" w:sz="8" w:space="0" w:color="979991"/>
              <w:bottom w:val="single" w:sz="8" w:space="0" w:color="979991"/>
              <w:right w:val="nil"/>
            </w:tcBorders>
            <w:shd w:val="clear" w:color="auto" w:fill="F0F4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23AFA" w14:textId="77777777" w:rsidR="005F08A5" w:rsidRDefault="005F08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cs"/>
                <w:b/>
                <w:bCs/>
                <w:color w:val="000000"/>
                <w:sz w:val="16"/>
                <w:szCs w:val="16"/>
                <w:rtl/>
              </w:rPr>
              <w:t>השינוי התקציבי של העודף המוצע בפניה</w:t>
            </w:r>
          </w:p>
        </w:tc>
        <w:tc>
          <w:tcPr>
            <w:tcW w:w="968" w:type="pct"/>
            <w:tcBorders>
              <w:top w:val="single" w:sz="8" w:space="0" w:color="979991"/>
              <w:left w:val="single" w:sz="8" w:space="0" w:color="979991"/>
              <w:bottom w:val="single" w:sz="8" w:space="0" w:color="979991"/>
              <w:right w:val="nil"/>
            </w:tcBorders>
            <w:shd w:val="clear" w:color="auto" w:fill="F0F4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D60DC" w14:textId="77777777" w:rsidR="005F08A5" w:rsidRDefault="005F08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cs"/>
                <w:b/>
                <w:bCs/>
                <w:color w:val="000000"/>
                <w:sz w:val="16"/>
                <w:szCs w:val="16"/>
                <w:rtl/>
              </w:rPr>
              <w:t>סך עודף שהועבר ב-2025</w:t>
            </w:r>
          </w:p>
        </w:tc>
        <w:tc>
          <w:tcPr>
            <w:tcW w:w="968" w:type="pct"/>
            <w:tcBorders>
              <w:top w:val="single" w:sz="8" w:space="0" w:color="979991"/>
              <w:left w:val="single" w:sz="8" w:space="0" w:color="979991"/>
              <w:bottom w:val="single" w:sz="8" w:space="0" w:color="979991"/>
              <w:right w:val="nil"/>
            </w:tcBorders>
            <w:shd w:val="clear" w:color="auto" w:fill="F0F4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9C22C" w14:textId="77777777" w:rsidR="005F08A5" w:rsidRDefault="005F08A5">
            <w:pPr>
              <w:jc w:val="center"/>
              <w:rPr>
                <w:rFonts w:hint="cs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color w:val="000000"/>
                <w:sz w:val="16"/>
                <w:szCs w:val="16"/>
                <w:rtl/>
              </w:rPr>
              <w:t>סך עודף שהועבר ב-2024</w:t>
            </w:r>
          </w:p>
        </w:tc>
        <w:tc>
          <w:tcPr>
            <w:tcW w:w="986" w:type="pct"/>
            <w:tcBorders>
              <w:top w:val="single" w:sz="8" w:space="0" w:color="979991"/>
              <w:left w:val="single" w:sz="8" w:space="0" w:color="979991"/>
              <w:bottom w:val="single" w:sz="8" w:space="0" w:color="979991"/>
              <w:right w:val="single" w:sz="8" w:space="0" w:color="979991"/>
            </w:tcBorders>
            <w:shd w:val="clear" w:color="auto" w:fill="F0F4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0ADB30" w14:textId="77777777" w:rsidR="005F08A5" w:rsidRDefault="005F08A5">
            <w:pPr>
              <w:jc w:val="center"/>
              <w:rPr>
                <w:rFonts w:hint="cs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color w:val="000000"/>
                <w:sz w:val="16"/>
                <w:szCs w:val="16"/>
                <w:rtl/>
              </w:rPr>
              <w:t>סך עודף שהועבר ב-2023</w:t>
            </w:r>
          </w:p>
        </w:tc>
      </w:tr>
      <w:tr w:rsidR="005F08A5" w14:paraId="6683ADC9" w14:textId="77777777" w:rsidTr="005F08A5">
        <w:trPr>
          <w:trHeight w:val="300"/>
        </w:trPr>
        <w:tc>
          <w:tcPr>
            <w:tcW w:w="967" w:type="pct"/>
            <w:tcBorders>
              <w:top w:val="single" w:sz="8" w:space="0" w:color="979991"/>
              <w:left w:val="single" w:sz="8" w:space="0" w:color="979991"/>
              <w:bottom w:val="single" w:sz="8" w:space="0" w:color="979991"/>
              <w:right w:val="nil"/>
            </w:tcBorders>
            <w:shd w:val="clear" w:color="auto" w:fill="F0F4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DFA8D1" w14:textId="77777777" w:rsidR="005F08A5" w:rsidRDefault="005F08A5">
            <w:pPr>
              <w:bidi w:val="0"/>
              <w:jc w:val="center"/>
              <w:rPr>
                <w:rFonts w:hint="cs"/>
                <w:color w:val="000000"/>
                <w:sz w:val="16"/>
                <w:szCs w:val="16"/>
                <w:rtl/>
              </w:rPr>
            </w:pPr>
            <w:r>
              <w:rPr>
                <w:color w:val="000000"/>
                <w:sz w:val="16"/>
                <w:szCs w:val="16"/>
              </w:rPr>
              <w:t>430201</w:t>
            </w:r>
          </w:p>
        </w:tc>
        <w:tc>
          <w:tcPr>
            <w:tcW w:w="1111" w:type="pct"/>
            <w:tcBorders>
              <w:top w:val="nil"/>
              <w:left w:val="single" w:sz="8" w:space="0" w:color="979991"/>
              <w:bottom w:val="single" w:sz="8" w:space="0" w:color="97999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C21B5" w14:textId="77777777" w:rsidR="005F08A5" w:rsidRDefault="005F08A5">
            <w:pPr>
              <w:bidi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6,846</w:t>
            </w:r>
          </w:p>
        </w:tc>
        <w:tc>
          <w:tcPr>
            <w:tcW w:w="968" w:type="pct"/>
            <w:tcBorders>
              <w:top w:val="nil"/>
              <w:left w:val="single" w:sz="8" w:space="0" w:color="979991"/>
              <w:bottom w:val="single" w:sz="8" w:space="0" w:color="97999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85F70B" w14:textId="77777777" w:rsidR="005F08A5" w:rsidRDefault="005F08A5">
            <w:pPr>
              <w:bidi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3,278</w:t>
            </w:r>
          </w:p>
        </w:tc>
        <w:tc>
          <w:tcPr>
            <w:tcW w:w="968" w:type="pct"/>
            <w:tcBorders>
              <w:top w:val="nil"/>
              <w:left w:val="single" w:sz="8" w:space="0" w:color="979991"/>
              <w:bottom w:val="single" w:sz="8" w:space="0" w:color="97999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3361E" w14:textId="77777777" w:rsidR="005F08A5" w:rsidRDefault="005F08A5">
            <w:pPr>
              <w:bidi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4,110</w:t>
            </w:r>
          </w:p>
        </w:tc>
        <w:tc>
          <w:tcPr>
            <w:tcW w:w="986" w:type="pct"/>
            <w:tcBorders>
              <w:top w:val="nil"/>
              <w:left w:val="single" w:sz="8" w:space="0" w:color="979991"/>
              <w:bottom w:val="single" w:sz="8" w:space="0" w:color="979991"/>
              <w:right w:val="single" w:sz="8" w:space="0" w:color="97999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1FDD90" w14:textId="77777777" w:rsidR="005F08A5" w:rsidRDefault="005F08A5">
            <w:pPr>
              <w:bidi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8,150</w:t>
            </w:r>
          </w:p>
        </w:tc>
      </w:tr>
      <w:tr w:rsidR="005F08A5" w14:paraId="55A0C7BF" w14:textId="77777777" w:rsidTr="005F08A5">
        <w:trPr>
          <w:trHeight w:val="300"/>
        </w:trPr>
        <w:tc>
          <w:tcPr>
            <w:tcW w:w="967" w:type="pct"/>
            <w:tcBorders>
              <w:top w:val="nil"/>
              <w:left w:val="single" w:sz="8" w:space="0" w:color="979991"/>
              <w:bottom w:val="single" w:sz="8" w:space="0" w:color="979991"/>
              <w:right w:val="nil"/>
            </w:tcBorders>
            <w:shd w:val="clear" w:color="auto" w:fill="F0F4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ED501" w14:textId="77777777" w:rsidR="005F08A5" w:rsidRDefault="005F08A5">
            <w:pPr>
              <w:bidi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430301</w:t>
            </w:r>
          </w:p>
        </w:tc>
        <w:tc>
          <w:tcPr>
            <w:tcW w:w="1111" w:type="pct"/>
            <w:tcBorders>
              <w:top w:val="nil"/>
              <w:left w:val="single" w:sz="8" w:space="0" w:color="979991"/>
              <w:bottom w:val="single" w:sz="8" w:space="0" w:color="97999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E712A" w14:textId="77777777" w:rsidR="005F08A5" w:rsidRDefault="005F08A5">
            <w:pPr>
              <w:bidi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35,203</w:t>
            </w:r>
          </w:p>
        </w:tc>
        <w:tc>
          <w:tcPr>
            <w:tcW w:w="968" w:type="pct"/>
            <w:tcBorders>
              <w:top w:val="nil"/>
              <w:left w:val="single" w:sz="8" w:space="0" w:color="979991"/>
              <w:bottom w:val="single" w:sz="8" w:space="0" w:color="97999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81E04" w14:textId="77777777" w:rsidR="005F08A5" w:rsidRDefault="005F08A5">
            <w:pPr>
              <w:bidi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45,806</w:t>
            </w:r>
          </w:p>
        </w:tc>
        <w:tc>
          <w:tcPr>
            <w:tcW w:w="968" w:type="pct"/>
            <w:tcBorders>
              <w:top w:val="nil"/>
              <w:left w:val="single" w:sz="8" w:space="0" w:color="979991"/>
              <w:bottom w:val="single" w:sz="8" w:space="0" w:color="97999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645D6A" w14:textId="77777777" w:rsidR="005F08A5" w:rsidRDefault="005F08A5">
            <w:pPr>
              <w:bidi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45,437</w:t>
            </w:r>
          </w:p>
        </w:tc>
        <w:tc>
          <w:tcPr>
            <w:tcW w:w="986" w:type="pct"/>
            <w:tcBorders>
              <w:top w:val="nil"/>
              <w:left w:val="single" w:sz="8" w:space="0" w:color="979991"/>
              <w:bottom w:val="single" w:sz="8" w:space="0" w:color="979991"/>
              <w:right w:val="single" w:sz="8" w:space="0" w:color="97999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07CCF" w14:textId="77777777" w:rsidR="005F08A5" w:rsidRDefault="005F08A5">
            <w:pPr>
              <w:bidi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45,910</w:t>
            </w:r>
          </w:p>
        </w:tc>
      </w:tr>
    </w:tbl>
    <w:p w14:paraId="75A281FC" w14:textId="77777777" w:rsidR="005F08A5" w:rsidRDefault="005F08A5">
      <w:pPr>
        <w:rPr>
          <w:rFonts w:cs="FrankRuehl"/>
          <w:sz w:val="26"/>
          <w:szCs w:val="26"/>
          <w:rtl/>
        </w:rPr>
      </w:pPr>
    </w:p>
    <w:p w14:paraId="4A28799D" w14:textId="0DCE65C3" w:rsidR="005F08A5" w:rsidRDefault="005F08A5">
      <w:pPr>
        <w:rPr>
          <w:rFonts w:cs="FrankRuehl"/>
          <w:sz w:val="26"/>
          <w:szCs w:val="26"/>
          <w:rtl/>
        </w:rPr>
      </w:pPr>
    </w:p>
    <w:p w14:paraId="4222A8A1" w14:textId="46AC0A92" w:rsidR="005F08A5" w:rsidRDefault="005F08A5">
      <w:pPr>
        <w:rPr>
          <w:rFonts w:cs="FrankRuehl"/>
          <w:sz w:val="26"/>
          <w:szCs w:val="26"/>
          <w:rtl/>
        </w:rPr>
      </w:pPr>
    </w:p>
    <w:p w14:paraId="511E53F6" w14:textId="1387E4CE" w:rsidR="005F08A5" w:rsidRDefault="005F08A5">
      <w:pPr>
        <w:rPr>
          <w:rFonts w:cs="FrankRuehl"/>
          <w:sz w:val="26"/>
          <w:szCs w:val="26"/>
          <w:rtl/>
        </w:rPr>
      </w:pPr>
    </w:p>
    <w:p w14:paraId="5F615D8B" w14:textId="354E8BDE" w:rsidR="005F08A5" w:rsidRDefault="005F08A5">
      <w:pPr>
        <w:rPr>
          <w:rFonts w:cs="FrankRuehl"/>
          <w:sz w:val="26"/>
          <w:szCs w:val="26"/>
          <w:rtl/>
        </w:rPr>
      </w:pPr>
    </w:p>
    <w:p w14:paraId="21588C7B" w14:textId="5D121370" w:rsidR="005F08A5" w:rsidRDefault="005F08A5">
      <w:pPr>
        <w:rPr>
          <w:rFonts w:cs="FrankRuehl"/>
          <w:sz w:val="26"/>
          <w:szCs w:val="26"/>
          <w:rtl/>
        </w:rPr>
      </w:pPr>
    </w:p>
    <w:p w14:paraId="198097D7" w14:textId="754DD903" w:rsidR="005F08A5" w:rsidRDefault="005F08A5">
      <w:pPr>
        <w:rPr>
          <w:rFonts w:cs="FrankRuehl"/>
          <w:sz w:val="26"/>
          <w:szCs w:val="26"/>
          <w:rtl/>
        </w:rPr>
      </w:pPr>
    </w:p>
    <w:p w14:paraId="468B33FD" w14:textId="655639F7" w:rsidR="005F08A5" w:rsidRDefault="005F08A5">
      <w:pPr>
        <w:rPr>
          <w:rFonts w:cs="FrankRuehl"/>
          <w:sz w:val="26"/>
          <w:szCs w:val="26"/>
          <w:rtl/>
        </w:rPr>
      </w:pPr>
    </w:p>
    <w:p w14:paraId="37FA9664" w14:textId="2368561E" w:rsidR="005F08A5" w:rsidRDefault="005F08A5">
      <w:pPr>
        <w:rPr>
          <w:rFonts w:cs="FrankRuehl"/>
          <w:sz w:val="26"/>
          <w:szCs w:val="26"/>
          <w:rtl/>
        </w:rPr>
      </w:pPr>
    </w:p>
    <w:p w14:paraId="74BC83ED" w14:textId="7F1E22CA" w:rsidR="005F08A5" w:rsidRDefault="005F08A5">
      <w:pPr>
        <w:rPr>
          <w:rFonts w:cs="FrankRuehl"/>
          <w:sz w:val="26"/>
          <w:szCs w:val="26"/>
          <w:rtl/>
        </w:rPr>
      </w:pPr>
    </w:p>
    <w:p w14:paraId="42299DC9" w14:textId="77777777" w:rsidR="005F08A5" w:rsidRPr="000A3FA0" w:rsidRDefault="005F08A5">
      <w:pPr>
        <w:rPr>
          <w:rFonts w:cs="FrankRuehl"/>
          <w:sz w:val="26"/>
          <w:szCs w:val="26"/>
          <w:rtl/>
        </w:rPr>
      </w:pPr>
    </w:p>
    <w:sectPr w:rsidR="005F08A5" w:rsidRPr="000A3FA0" w:rsidSect="00A323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0EA59" w14:textId="77777777" w:rsidR="00B73D78" w:rsidRDefault="00B73D78" w:rsidP="00A32326">
      <w:r>
        <w:separator/>
      </w:r>
    </w:p>
  </w:endnote>
  <w:endnote w:type="continuationSeparator" w:id="0">
    <w:p w14:paraId="22D0EEEE" w14:textId="77777777" w:rsidR="00B73D78" w:rsidRDefault="00B73D78" w:rsidP="00A32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A87E7" w14:textId="77777777" w:rsidR="0096594F" w:rsidRDefault="0096594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04499" w14:textId="77777777" w:rsidR="0096594F" w:rsidRDefault="0096594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7D7EA" w14:textId="77777777" w:rsidR="0096594F" w:rsidRDefault="0096594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858FC" w14:textId="77777777" w:rsidR="00B73D78" w:rsidRDefault="00B73D78" w:rsidP="00A32326">
      <w:r>
        <w:separator/>
      </w:r>
    </w:p>
  </w:footnote>
  <w:footnote w:type="continuationSeparator" w:id="0">
    <w:p w14:paraId="1731C27D" w14:textId="77777777" w:rsidR="00B73D78" w:rsidRDefault="00B73D78" w:rsidP="00A32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7FF5D" w14:textId="77777777" w:rsidR="0096594F" w:rsidRDefault="0096594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72C33" w14:textId="77777777" w:rsidR="00A32326" w:rsidRPr="00CB5FFD" w:rsidRDefault="00B73D78" w:rsidP="00A32326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22185F9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90pt;margin-top:-88.05pt;width:594.75pt;height:87.3pt;z-index:1;mso-position-horizontal-relative:margin;mso-position-vertical-relative:margin">
          <v:imagedata r:id="rId1" o:title="Header"/>
          <w10:wrap type="square" anchorx="margin" anchory="margin"/>
        </v:shape>
      </w:pict>
    </w:r>
  </w:p>
  <w:p w14:paraId="3F475AF9" w14:textId="77777777" w:rsidR="00A32326" w:rsidRPr="00CB5FFD" w:rsidRDefault="00A32326" w:rsidP="00A32326">
    <w:pPr>
      <w:pStyle w:val="a4"/>
      <w:jc w:val="right"/>
      <w:rPr>
        <w:color w:val="4F81BD"/>
        <w:rtl/>
        <w:cs/>
      </w:rPr>
    </w:pPr>
  </w:p>
  <w:p w14:paraId="2F79D002" w14:textId="77777777" w:rsidR="00A32326" w:rsidRDefault="00A32326" w:rsidP="00A32326">
    <w:pPr>
      <w:pStyle w:val="a4"/>
    </w:pPr>
  </w:p>
  <w:p w14:paraId="6F2DB67D" w14:textId="77777777" w:rsidR="00A32326" w:rsidRDefault="00A323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3A37E" w14:textId="77777777" w:rsidR="0096594F" w:rsidRDefault="0096594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496B"/>
    <w:rsid w:val="000062C3"/>
    <w:rsid w:val="000A3FA0"/>
    <w:rsid w:val="00411078"/>
    <w:rsid w:val="00423177"/>
    <w:rsid w:val="00507569"/>
    <w:rsid w:val="0051496B"/>
    <w:rsid w:val="00596B46"/>
    <w:rsid w:val="005F08A5"/>
    <w:rsid w:val="007332A2"/>
    <w:rsid w:val="0096594F"/>
    <w:rsid w:val="009E3253"/>
    <w:rsid w:val="00A14A9C"/>
    <w:rsid w:val="00A32326"/>
    <w:rsid w:val="00A51CFB"/>
    <w:rsid w:val="00A6761F"/>
    <w:rsid w:val="00AC0FB8"/>
    <w:rsid w:val="00B73D78"/>
    <w:rsid w:val="00BE74E8"/>
    <w:rsid w:val="00C81BEB"/>
    <w:rsid w:val="00D00A6A"/>
    <w:rsid w:val="00D02451"/>
    <w:rsid w:val="00D1564D"/>
    <w:rsid w:val="00D15DD5"/>
    <w:rsid w:val="00E15D12"/>
    <w:rsid w:val="00F7434C"/>
    <w:rsid w:val="00FC136F"/>
    <w:rsid w:val="00FD4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44571F45"/>
  <w15:chartTrackingRefBased/>
  <w15:docId w15:val="{48F446EA-7D42-4FD9-9957-F309C84E1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A32326"/>
    <w:pPr>
      <w:tabs>
        <w:tab w:val="center" w:pos="4153"/>
        <w:tab w:val="right" w:pos="8306"/>
      </w:tabs>
    </w:pPr>
  </w:style>
  <w:style w:type="paragraph" w:customStyle="1" w:styleId="a6">
    <w:name w:val="כותרת נדון"/>
    <w:basedOn w:val="a"/>
    <w:rPr>
      <w:bCs/>
      <w:szCs w:val="26"/>
      <w:u w:val="single"/>
    </w:rPr>
  </w:style>
  <w:style w:type="paragraph" w:customStyle="1" w:styleId="a7">
    <w:name w:val="מדינת ישראל"/>
    <w:basedOn w:val="a"/>
    <w:pPr>
      <w:jc w:val="center"/>
    </w:pPr>
    <w:rPr>
      <w:b/>
      <w:bCs/>
      <w:szCs w:val="28"/>
    </w:rPr>
  </w:style>
  <w:style w:type="character" w:customStyle="1" w:styleId="a5">
    <w:name w:val="כותרת עליונה תו"/>
    <w:link w:val="a4"/>
    <w:uiPriority w:val="99"/>
    <w:rsid w:val="00A32326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A32326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A32326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8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1369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6</cp:revision>
  <cp:lastPrinted>1899-12-31T22:00:00Z</cp:lastPrinted>
  <dcterms:created xsi:type="dcterms:W3CDTF">2026-04-28T12:02:00Z</dcterms:created>
  <dcterms:modified xsi:type="dcterms:W3CDTF">2026-04-30T03:49:00Z</dcterms:modified>
</cp:coreProperties>
</file>