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1A789" w14:textId="77777777" w:rsidR="0051496B" w:rsidRDefault="0051496B">
      <w:pPr>
        <w:pStyle w:val="a7"/>
        <w:rPr>
          <w:rtl/>
        </w:rPr>
      </w:pPr>
      <w:r>
        <w:rPr>
          <w:rtl/>
        </w:rPr>
        <w:t>מדינת ישראל</w:t>
      </w:r>
    </w:p>
    <w:p w14:paraId="1EB500D9" w14:textId="77777777" w:rsidR="0051496B" w:rsidRDefault="0051496B">
      <w:pPr>
        <w:pStyle w:val="a7"/>
        <w:rPr>
          <w:rtl/>
        </w:rPr>
      </w:pPr>
      <w:r>
        <w:rPr>
          <w:rtl/>
        </w:rPr>
        <w:t>האוצר - אגף התקציבים</w:t>
      </w:r>
    </w:p>
    <w:p w14:paraId="20EE42A6" w14:textId="77777777" w:rsidR="0051496B" w:rsidRDefault="0051496B">
      <w:pPr>
        <w:rPr>
          <w:rtl/>
        </w:rPr>
      </w:pPr>
    </w:p>
    <w:p w14:paraId="6F7FAE86" w14:textId="77777777" w:rsidR="0051496B" w:rsidRDefault="0051496B">
      <w:pPr>
        <w:rPr>
          <w:rtl/>
        </w:rPr>
      </w:pPr>
    </w:p>
    <w:p w14:paraId="10572AD1" w14:textId="77777777" w:rsidR="0051496B" w:rsidRPr="000A3FA0" w:rsidRDefault="0051496B">
      <w:pPr>
        <w:tabs>
          <w:tab w:val="left" w:pos="6300"/>
        </w:tabs>
        <w:rPr>
          <w:rFonts w:cs="FrankRuehl"/>
          <w:sz w:val="26"/>
          <w:szCs w:val="26"/>
          <w:rtl/>
        </w:rPr>
      </w:pPr>
      <w:r>
        <w:rPr>
          <w:rtl/>
        </w:rPr>
        <w:tab/>
      </w:r>
      <w:bookmarkStart w:id="0" w:name="TAKZIV8"/>
      <w:bookmarkEnd w:id="0"/>
    </w:p>
    <w:p w14:paraId="7B124932" w14:textId="77777777" w:rsidR="0051496B" w:rsidRPr="000A3FA0" w:rsidRDefault="0051496B">
      <w:pPr>
        <w:tabs>
          <w:tab w:val="left" w:pos="6300"/>
        </w:tabs>
        <w:rPr>
          <w:rFonts w:cs="FrankRuehl"/>
          <w:sz w:val="26"/>
          <w:szCs w:val="26"/>
          <w:rtl/>
        </w:rPr>
      </w:pPr>
      <w:r w:rsidRPr="000A3FA0">
        <w:rPr>
          <w:rFonts w:cs="FrankRuehl"/>
          <w:sz w:val="26"/>
          <w:szCs w:val="26"/>
          <w:rtl/>
        </w:rPr>
        <w:tab/>
      </w:r>
      <w:r w:rsidRPr="000A3FA0">
        <w:rPr>
          <w:rFonts w:cs="FrankRuehl"/>
          <w:sz w:val="26"/>
          <w:szCs w:val="26"/>
          <w:rtl/>
        </w:rPr>
        <w:tab/>
      </w:r>
    </w:p>
    <w:p w14:paraId="078F08FD" w14:textId="77777777" w:rsidR="0051496B" w:rsidRPr="000A3FA0" w:rsidRDefault="0051496B" w:rsidP="007332A2">
      <w:pPr>
        <w:rPr>
          <w:rFonts w:cs="FrankRuehl"/>
          <w:sz w:val="26"/>
          <w:szCs w:val="26"/>
          <w:rtl/>
        </w:rPr>
      </w:pPr>
      <w:r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Pr="000A3FA0">
        <w:rPr>
          <w:rFonts w:cs="FrankRuehl"/>
          <w:sz w:val="26"/>
          <w:szCs w:val="26"/>
          <w:rtl/>
        </w:rPr>
        <w:t xml:space="preserve">ירושלים, </w:t>
      </w:r>
      <w:bookmarkStart w:id="1" w:name="TAKZIV9"/>
      <w:bookmarkEnd w:id="1"/>
    </w:p>
    <w:p w14:paraId="15589546" w14:textId="215190E4" w:rsidR="0051496B" w:rsidRPr="000A3FA0" w:rsidRDefault="0051496B" w:rsidP="007332A2">
      <w:pPr>
        <w:tabs>
          <w:tab w:val="left" w:pos="6039"/>
        </w:tabs>
        <w:rPr>
          <w:rFonts w:cs="FrankRuehl"/>
          <w:sz w:val="26"/>
          <w:szCs w:val="26"/>
          <w:rtl/>
        </w:rPr>
      </w:pPr>
      <w:r w:rsidRPr="000A3FA0">
        <w:rPr>
          <w:rFonts w:cs="FrankRuehl"/>
          <w:sz w:val="26"/>
          <w:szCs w:val="26"/>
          <w:rtl/>
        </w:rPr>
        <w:tab/>
        <w:t xml:space="preserve">בקשה מספר </w:t>
      </w:r>
      <w:bookmarkStart w:id="2" w:name="TAKZIV4"/>
      <w:r w:rsidR="009D55FC">
        <w:rPr>
          <w:rFonts w:cs="FrankRuehl"/>
          <w:sz w:val="26"/>
          <w:szCs w:val="26"/>
          <w:rtl/>
        </w:rPr>
        <w:t>201</w:t>
      </w:r>
      <w:bookmarkEnd w:id="2"/>
      <w:r w:rsidRPr="000A3FA0">
        <w:rPr>
          <w:rFonts w:cs="FrankRuehl"/>
          <w:sz w:val="26"/>
          <w:szCs w:val="26"/>
          <w:rtl/>
        </w:rPr>
        <w:t xml:space="preserve"> - </w:t>
      </w:r>
      <w:bookmarkStart w:id="3" w:name="TAKZIV3"/>
      <w:r w:rsidR="009D55FC">
        <w:rPr>
          <w:rFonts w:cs="FrankRuehl"/>
          <w:sz w:val="26"/>
          <w:szCs w:val="26"/>
          <w:rtl/>
        </w:rPr>
        <w:t>42</w:t>
      </w:r>
      <w:bookmarkEnd w:id="3"/>
    </w:p>
    <w:p w14:paraId="02635D39"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38FC0F6D"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38E89986" w14:textId="77777777" w:rsidR="0051496B" w:rsidRPr="000A3FA0" w:rsidRDefault="0051496B">
      <w:pPr>
        <w:rPr>
          <w:rFonts w:cs="FrankRuehl"/>
          <w:sz w:val="26"/>
          <w:szCs w:val="26"/>
          <w:rtl/>
        </w:rPr>
      </w:pPr>
      <w:r w:rsidRPr="000A3FA0">
        <w:rPr>
          <w:rFonts w:cs="FrankRuehl"/>
          <w:sz w:val="26"/>
          <w:szCs w:val="26"/>
          <w:rtl/>
        </w:rPr>
        <w:t>לכבוד,</w:t>
      </w:r>
    </w:p>
    <w:p w14:paraId="4E567AC0" w14:textId="77777777" w:rsidR="0051496B" w:rsidRPr="000A3FA0" w:rsidRDefault="0051496B">
      <w:pPr>
        <w:rPr>
          <w:rFonts w:cs="FrankRuehl"/>
          <w:sz w:val="26"/>
          <w:szCs w:val="26"/>
          <w:rtl/>
        </w:rPr>
      </w:pPr>
      <w:r w:rsidRPr="000A3FA0">
        <w:rPr>
          <w:rFonts w:cs="FrankRuehl"/>
          <w:sz w:val="26"/>
          <w:szCs w:val="26"/>
          <w:rtl/>
        </w:rPr>
        <w:t>יו"ר ועדת הכספים</w:t>
      </w:r>
    </w:p>
    <w:p w14:paraId="66B0061E" w14:textId="77777777" w:rsidR="0051496B" w:rsidRPr="000A3FA0" w:rsidRDefault="0051496B">
      <w:pPr>
        <w:rPr>
          <w:rFonts w:cs="FrankRuehl"/>
          <w:sz w:val="26"/>
          <w:szCs w:val="26"/>
          <w:rtl/>
        </w:rPr>
      </w:pPr>
      <w:r w:rsidRPr="000A3FA0">
        <w:rPr>
          <w:rFonts w:cs="FrankRuehl"/>
          <w:sz w:val="26"/>
          <w:szCs w:val="26"/>
          <w:rtl/>
        </w:rPr>
        <w:t>הכנסת</w:t>
      </w:r>
    </w:p>
    <w:p w14:paraId="09E79C18" w14:textId="77777777" w:rsidR="0051496B" w:rsidRPr="000A3FA0" w:rsidRDefault="0051496B">
      <w:pPr>
        <w:rPr>
          <w:rFonts w:cs="FrankRuehl"/>
          <w:sz w:val="26"/>
          <w:szCs w:val="26"/>
          <w:rtl/>
        </w:rPr>
      </w:pPr>
    </w:p>
    <w:p w14:paraId="155C0D7A" w14:textId="77777777" w:rsidR="0051496B" w:rsidRPr="000A3FA0" w:rsidRDefault="0051496B">
      <w:pPr>
        <w:rPr>
          <w:rFonts w:cs="FrankRuehl"/>
          <w:sz w:val="26"/>
          <w:szCs w:val="26"/>
          <w:rtl/>
        </w:rPr>
      </w:pPr>
      <w:r w:rsidRPr="000A3FA0">
        <w:rPr>
          <w:rFonts w:cs="FrankRuehl"/>
          <w:sz w:val="26"/>
          <w:szCs w:val="26"/>
          <w:rtl/>
        </w:rPr>
        <w:t>א.נ.,</w:t>
      </w:r>
    </w:p>
    <w:p w14:paraId="077DC31C" w14:textId="77777777" w:rsidR="0051496B" w:rsidRPr="000A3FA0" w:rsidRDefault="0051496B">
      <w:pPr>
        <w:rPr>
          <w:rFonts w:cs="FrankRuehl"/>
          <w:sz w:val="26"/>
          <w:szCs w:val="26"/>
          <w:rtl/>
        </w:rPr>
      </w:pPr>
    </w:p>
    <w:p w14:paraId="7EB2CF14" w14:textId="77777777" w:rsidR="0051496B" w:rsidRPr="000A3FA0" w:rsidRDefault="0051496B">
      <w:pPr>
        <w:pStyle w:val="a6"/>
        <w:rPr>
          <w:rFonts w:cs="FrankRuehl"/>
          <w:sz w:val="26"/>
          <w:rtl/>
        </w:rPr>
      </w:pPr>
      <w:r w:rsidRPr="000A3FA0">
        <w:rPr>
          <w:rFonts w:cs="FrankRuehl"/>
          <w:bCs w:val="0"/>
          <w:sz w:val="26"/>
          <w:u w:val="none"/>
          <w:rtl/>
        </w:rPr>
        <w:t xml:space="preserve">הנדון: </w:t>
      </w:r>
      <w:r w:rsidRPr="000A3FA0">
        <w:rPr>
          <w:rFonts w:cs="FrankRuehl"/>
          <w:bCs w:val="0"/>
          <w:sz w:val="26"/>
          <w:rtl/>
        </w:rPr>
        <w:t>שימוש בעודפי תקציב לשנת</w:t>
      </w:r>
      <w:r w:rsidRPr="000A3FA0">
        <w:rPr>
          <w:rFonts w:cs="FrankRuehl"/>
          <w:sz w:val="26"/>
          <w:rtl/>
        </w:rPr>
        <w:t xml:space="preserve"> </w:t>
      </w:r>
      <w:bookmarkStart w:id="4" w:name="TAKZIV1_2"/>
      <w:bookmarkStart w:id="5" w:name="TAKZIV1_1"/>
      <w:bookmarkEnd w:id="4"/>
      <w:r w:rsidR="009D55FC">
        <w:rPr>
          <w:rFonts w:cs="FrankRuehl"/>
          <w:sz w:val="26"/>
          <w:rtl/>
        </w:rPr>
        <w:t>2026</w:t>
      </w:r>
      <w:bookmarkEnd w:id="5"/>
      <w:r w:rsidRPr="000A3FA0">
        <w:rPr>
          <w:rFonts w:cs="FrankRuehl"/>
          <w:sz w:val="26"/>
          <w:rtl/>
        </w:rPr>
        <w:t xml:space="preserve">     </w:t>
      </w:r>
    </w:p>
    <w:p w14:paraId="2CBF1E2A" w14:textId="77777777" w:rsidR="0051496B" w:rsidRPr="000A3FA0" w:rsidRDefault="0051496B" w:rsidP="00A6761F">
      <w:pPr>
        <w:jc w:val="both"/>
        <w:rPr>
          <w:rFonts w:cs="FrankRuehl"/>
          <w:sz w:val="26"/>
          <w:szCs w:val="26"/>
          <w:rtl/>
        </w:rPr>
      </w:pPr>
    </w:p>
    <w:p w14:paraId="6333ACB9" w14:textId="36AF417D" w:rsidR="0051496B" w:rsidRPr="000A3FA0" w:rsidRDefault="0051496B" w:rsidP="00E5395D">
      <w:pPr>
        <w:jc w:val="both"/>
        <w:rPr>
          <w:rFonts w:cs="FrankRuehl"/>
          <w:sz w:val="26"/>
          <w:szCs w:val="26"/>
          <w:rtl/>
        </w:rPr>
      </w:pPr>
      <w:r w:rsidRPr="000A3FA0">
        <w:rPr>
          <w:rFonts w:cs="FrankRuehl"/>
          <w:sz w:val="26"/>
          <w:szCs w:val="26"/>
          <w:rtl/>
        </w:rPr>
        <w:t>שר האוצר מתכבד להודיע לו</w:t>
      </w:r>
      <w:r w:rsidR="00A14A9C" w:rsidRPr="000A3FA0">
        <w:rPr>
          <w:rFonts w:cs="FrankRuehl" w:hint="cs"/>
          <w:sz w:val="26"/>
          <w:szCs w:val="26"/>
          <w:rtl/>
        </w:rPr>
        <w:t>ו</w:t>
      </w:r>
      <w:r w:rsidRPr="000A3FA0">
        <w:rPr>
          <w:rFonts w:cs="FrankRuehl"/>
          <w:sz w:val="26"/>
          <w:szCs w:val="26"/>
          <w:rtl/>
        </w:rPr>
        <w:t xml:space="preserve">עדת הכספים של הכנסת על העברת סכום של </w:t>
      </w:r>
      <w:bookmarkStart w:id="6" w:name="TAKZIV30"/>
      <w:r w:rsidR="009D55FC">
        <w:rPr>
          <w:rFonts w:cs="FrankRuehl"/>
          <w:sz w:val="26"/>
          <w:szCs w:val="26"/>
          <w:rtl/>
        </w:rPr>
        <w:t>50,981</w:t>
      </w:r>
      <w:bookmarkEnd w:id="6"/>
      <w:r w:rsidRPr="000A3FA0">
        <w:rPr>
          <w:rFonts w:cs="FrankRuehl"/>
          <w:sz w:val="26"/>
          <w:szCs w:val="26"/>
          <w:rtl/>
        </w:rPr>
        <w:t xml:space="preserve"> אלפי שקלים חדשים מסעיף </w:t>
      </w:r>
      <w:bookmarkStart w:id="7" w:name="TAKZIV3_1"/>
      <w:r w:rsidR="009D55FC">
        <w:rPr>
          <w:rFonts w:cs="FrankRuehl"/>
          <w:sz w:val="26"/>
          <w:szCs w:val="26"/>
          <w:rtl/>
        </w:rPr>
        <w:t>42</w:t>
      </w:r>
      <w:bookmarkEnd w:id="7"/>
      <w:r w:rsidRPr="000A3FA0">
        <w:rPr>
          <w:rFonts w:cs="FrankRuehl"/>
          <w:sz w:val="26"/>
          <w:szCs w:val="26"/>
          <w:rtl/>
        </w:rPr>
        <w:t xml:space="preserve"> - </w:t>
      </w:r>
      <w:bookmarkStart w:id="8" w:name="TAKZIV6_2"/>
      <w:r w:rsidR="009D55FC">
        <w:rPr>
          <w:rFonts w:cs="FrankRuehl"/>
          <w:sz w:val="26"/>
          <w:szCs w:val="26"/>
          <w:rtl/>
        </w:rPr>
        <w:t>מענקי בינוי ושיכון</w:t>
      </w:r>
      <w:bookmarkEnd w:id="8"/>
      <w:r w:rsidRPr="000A3FA0">
        <w:rPr>
          <w:rFonts w:cs="FrankRuehl"/>
          <w:sz w:val="26"/>
          <w:szCs w:val="26"/>
          <w:rtl/>
        </w:rPr>
        <w:t xml:space="preserve"> משנת הכספים </w:t>
      </w:r>
      <w:bookmarkStart w:id="9" w:name="TAKZIV2_1"/>
      <w:r w:rsidR="009D55FC">
        <w:rPr>
          <w:rFonts w:cs="FrankRuehl"/>
          <w:sz w:val="26"/>
          <w:szCs w:val="26"/>
          <w:rtl/>
        </w:rPr>
        <w:t>2025</w:t>
      </w:r>
      <w:bookmarkEnd w:id="9"/>
      <w:r w:rsidRPr="000A3FA0">
        <w:rPr>
          <w:rFonts w:cs="FrankRuehl"/>
          <w:sz w:val="26"/>
          <w:szCs w:val="26"/>
          <w:rtl/>
        </w:rPr>
        <w:t xml:space="preserve">, כעודף לשימוש בשנת הכספים </w:t>
      </w:r>
      <w:bookmarkStart w:id="10" w:name="TAKZIV1"/>
      <w:r w:rsidR="009D55FC">
        <w:rPr>
          <w:rFonts w:cs="FrankRuehl"/>
          <w:sz w:val="26"/>
          <w:szCs w:val="26"/>
          <w:rtl/>
        </w:rPr>
        <w:t>2026</w:t>
      </w:r>
      <w:bookmarkEnd w:id="10"/>
      <w:r w:rsidRPr="000A3FA0">
        <w:rPr>
          <w:rFonts w:cs="FrankRuehl"/>
          <w:sz w:val="26"/>
          <w:szCs w:val="26"/>
          <w:rtl/>
        </w:rPr>
        <w:t xml:space="preserve">, בהתאם לסעיף 13 (א) לחוק יסודות התקציב </w:t>
      </w:r>
      <w:proofErr w:type="spellStart"/>
      <w:r w:rsidRPr="000A3FA0">
        <w:rPr>
          <w:rFonts w:cs="FrankRuehl"/>
          <w:sz w:val="26"/>
          <w:szCs w:val="26"/>
          <w:rtl/>
        </w:rPr>
        <w:t>התשמ"ה</w:t>
      </w:r>
      <w:proofErr w:type="spellEnd"/>
      <w:r w:rsidRPr="000A3FA0">
        <w:rPr>
          <w:rFonts w:cs="FrankRuehl"/>
          <w:sz w:val="26"/>
          <w:szCs w:val="26"/>
          <w:rtl/>
        </w:rPr>
        <w:t xml:space="preserve"> - 1985,</w:t>
      </w:r>
      <w:r w:rsidR="00E5395D">
        <w:rPr>
          <w:rFonts w:cs="FrankRuehl" w:hint="cs"/>
          <w:sz w:val="26"/>
          <w:szCs w:val="26"/>
          <w:rtl/>
        </w:rPr>
        <w:t xml:space="preserve"> </w:t>
      </w:r>
      <w:r w:rsidRPr="000A3FA0">
        <w:rPr>
          <w:rFonts w:cs="FrankRuehl"/>
          <w:sz w:val="26"/>
          <w:szCs w:val="26"/>
          <w:rtl/>
        </w:rPr>
        <w:t>כמפורט בתדפיס המצורף בזה.</w:t>
      </w:r>
    </w:p>
    <w:p w14:paraId="507610FE" w14:textId="52523161" w:rsidR="0051496B" w:rsidRDefault="0051496B" w:rsidP="00E5395D">
      <w:pPr>
        <w:jc w:val="both"/>
        <w:rPr>
          <w:rFonts w:cs="FrankRuehl"/>
          <w:sz w:val="26"/>
          <w:szCs w:val="26"/>
          <w:rtl/>
        </w:rPr>
      </w:pPr>
    </w:p>
    <w:p w14:paraId="0D9A1778" w14:textId="77777777" w:rsidR="00E5395D" w:rsidRDefault="00E5395D" w:rsidP="00E5395D">
      <w:pPr>
        <w:jc w:val="both"/>
        <w:rPr>
          <w:rFonts w:ascii="FrankRuehl" w:hAnsi="FrankRuehl" w:cs="FrankRuehl"/>
          <w:b/>
          <w:bCs/>
          <w:sz w:val="26"/>
          <w:szCs w:val="26"/>
          <w:lang w:eastAsia="en-US"/>
        </w:rPr>
      </w:pPr>
      <w:r>
        <w:rPr>
          <w:rFonts w:ascii="FrankRuehl" w:hAnsi="FrankRuehl" w:cs="FrankRuehl"/>
          <w:b/>
          <w:bCs/>
          <w:sz w:val="26"/>
          <w:szCs w:val="26"/>
          <w:rtl/>
        </w:rPr>
        <w:t xml:space="preserve">הבקשה דנה בסעיף תקציבי: </w:t>
      </w:r>
      <w:r w:rsidRPr="00E5395D">
        <w:rPr>
          <w:rFonts w:ascii="FrankRuehl" w:hAnsi="FrankRuehl" w:cs="FrankRuehl"/>
          <w:sz w:val="26"/>
          <w:szCs w:val="26"/>
          <w:rtl/>
        </w:rPr>
        <w:t>42 - מענקי בינוי ושיכון</w:t>
      </w:r>
    </w:p>
    <w:p w14:paraId="6B8304E6" w14:textId="77777777" w:rsidR="00E5395D" w:rsidRDefault="00E5395D" w:rsidP="00E5395D">
      <w:pPr>
        <w:jc w:val="both"/>
        <w:rPr>
          <w:rFonts w:ascii="FrankRuehl" w:hAnsi="FrankRuehl" w:cs="FrankRuehl"/>
          <w:sz w:val="26"/>
          <w:szCs w:val="26"/>
        </w:rPr>
      </w:pPr>
    </w:p>
    <w:p w14:paraId="1C5FCF23" w14:textId="77777777" w:rsidR="00E5395D" w:rsidRDefault="00E5395D" w:rsidP="00E5395D">
      <w:pPr>
        <w:jc w:val="both"/>
        <w:rPr>
          <w:rFonts w:ascii="FrankRuehl" w:hAnsi="FrankRuehl" w:cs="FrankRuehl"/>
          <w:b/>
          <w:bCs/>
          <w:sz w:val="26"/>
          <w:szCs w:val="26"/>
          <w:lang w:eastAsia="en-US"/>
        </w:rPr>
      </w:pPr>
      <w:r>
        <w:rPr>
          <w:rFonts w:ascii="FrankRuehl" w:hAnsi="FrankRuehl" w:cs="FrankRuehl"/>
          <w:b/>
          <w:bCs/>
          <w:sz w:val="26"/>
          <w:szCs w:val="26"/>
          <w:rtl/>
        </w:rPr>
        <w:t>עיקרי הפניה:</w:t>
      </w:r>
    </w:p>
    <w:p w14:paraId="229A34A1" w14:textId="77777777" w:rsidR="00E5395D" w:rsidRDefault="00E5395D" w:rsidP="00E5395D">
      <w:pPr>
        <w:jc w:val="both"/>
        <w:rPr>
          <w:rFonts w:ascii="FrankRuehl" w:hAnsi="FrankRuehl" w:cs="FrankRuehl"/>
          <w:sz w:val="26"/>
          <w:szCs w:val="26"/>
        </w:rPr>
      </w:pPr>
      <w:r>
        <w:rPr>
          <w:rFonts w:ascii="FrankRuehl" w:hAnsi="FrankRuehl" w:cs="FrankRuehl"/>
          <w:sz w:val="26"/>
          <w:szCs w:val="26"/>
          <w:rtl/>
        </w:rPr>
        <w:t xml:space="preserve">הפנייה התקציבית נועדה להעברת עודפים משנת התקציב 2025 לשנת התקציב 2026 בסך של 50,981 אלפי ש"ח בהוצאה </w:t>
      </w:r>
      <w:proofErr w:type="spellStart"/>
      <w:r>
        <w:rPr>
          <w:rFonts w:ascii="FrankRuehl" w:hAnsi="FrankRuehl" w:cs="FrankRuehl"/>
          <w:sz w:val="26"/>
          <w:szCs w:val="26"/>
          <w:rtl/>
        </w:rPr>
        <w:t>לתכניות</w:t>
      </w:r>
      <w:proofErr w:type="spellEnd"/>
      <w:r>
        <w:rPr>
          <w:rFonts w:ascii="FrankRuehl" w:hAnsi="FrankRuehl" w:cs="FrankRuehl"/>
          <w:sz w:val="26"/>
          <w:szCs w:val="26"/>
          <w:rtl/>
        </w:rPr>
        <w:t xml:space="preserve"> התקציב הבאות, שעיקרן כפי שמפורט להלן:</w:t>
      </w:r>
    </w:p>
    <w:p w14:paraId="10E1BFD6" w14:textId="77777777" w:rsidR="00E5395D" w:rsidRDefault="00E5395D" w:rsidP="00E5395D">
      <w:pPr>
        <w:jc w:val="both"/>
        <w:rPr>
          <w:rFonts w:ascii="FrankRuehl" w:hAnsi="FrankRuehl" w:cs="FrankRuehl"/>
          <w:sz w:val="26"/>
          <w:szCs w:val="26"/>
          <w:rtl/>
        </w:rPr>
      </w:pPr>
    </w:p>
    <w:p w14:paraId="3F8922D3" w14:textId="77777777" w:rsidR="00E5395D" w:rsidRDefault="00E5395D" w:rsidP="00E5395D">
      <w:pPr>
        <w:jc w:val="both"/>
        <w:rPr>
          <w:rFonts w:ascii="FrankRuehl" w:hAnsi="FrankRuehl" w:cs="FrankRuehl"/>
          <w:sz w:val="26"/>
          <w:szCs w:val="26"/>
          <w:rtl/>
        </w:rPr>
      </w:pPr>
      <w:r>
        <w:rPr>
          <w:rFonts w:ascii="FrankRuehl" w:hAnsi="FrankRuehl" w:cs="FrankRuehl"/>
          <w:b/>
          <w:bCs/>
          <w:sz w:val="26"/>
          <w:szCs w:val="26"/>
          <w:rtl/>
        </w:rPr>
        <w:t>תכנית מספר: 420101 מענקים וסבסוד ריבית – 37,457 אלפי ש"ח</w:t>
      </w:r>
    </w:p>
    <w:p w14:paraId="0B09C755" w14:textId="77777777" w:rsidR="00E5395D" w:rsidRDefault="00E5395D" w:rsidP="00E5395D">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w:t>
      </w:r>
      <w:proofErr w:type="spellStart"/>
      <w:r>
        <w:rPr>
          <w:rFonts w:ascii="FrankRuehl" w:hAnsi="FrankRuehl" w:cs="FrankRuehl"/>
          <w:sz w:val="26"/>
          <w:szCs w:val="26"/>
          <w:rtl/>
        </w:rPr>
        <w:t>התכנית</w:t>
      </w:r>
      <w:proofErr w:type="spellEnd"/>
      <w:r>
        <w:rPr>
          <w:rFonts w:ascii="FrankRuehl" w:hAnsi="FrankRuehl" w:cs="FrankRuehl"/>
          <w:sz w:val="26"/>
          <w:szCs w:val="26"/>
          <w:rtl/>
        </w:rPr>
        <w:t xml:space="preserve"> מתקצבת את מתן המענקים במסגרת </w:t>
      </w:r>
      <w:proofErr w:type="spellStart"/>
      <w:r>
        <w:rPr>
          <w:rFonts w:ascii="FrankRuehl" w:hAnsi="FrankRuehl" w:cs="FrankRuehl"/>
          <w:sz w:val="26"/>
          <w:szCs w:val="26"/>
          <w:rtl/>
        </w:rPr>
        <w:t>תכניות</w:t>
      </w:r>
      <w:proofErr w:type="spellEnd"/>
      <w:r>
        <w:rPr>
          <w:rFonts w:ascii="FrankRuehl" w:hAnsi="FrankRuehl" w:cs="FrankRuehl"/>
          <w:sz w:val="26"/>
          <w:szCs w:val="26"/>
          <w:rtl/>
        </w:rPr>
        <w:t xml:space="preserve"> שונות אשר נעשו לאורך השנים כגון מחיר למשתכן וקודמותיה.</w:t>
      </w:r>
    </w:p>
    <w:p w14:paraId="1130B0B8" w14:textId="77777777" w:rsidR="00E5395D" w:rsidRDefault="00E5395D" w:rsidP="00E5395D">
      <w:pPr>
        <w:jc w:val="both"/>
        <w:rPr>
          <w:rFonts w:ascii="FrankRuehl" w:hAnsi="FrankRuehl" w:cs="FrankRuehl"/>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 xml:space="preserve">: </w:t>
      </w:r>
      <w:r>
        <w:rPr>
          <w:rFonts w:ascii="FrankRuehl" w:hAnsi="FrankRuehl" w:cs="FrankRuehl"/>
          <w:sz w:val="26"/>
          <w:szCs w:val="26"/>
          <w:rtl/>
        </w:rPr>
        <w:t>העודפים נוצרו בעקבות הממשקים מול הבנקים אשר מעבירים את הנתונים על אודות מימוש המענקים בצורה שוטפת כך שיש צורך בביצוע הערכות שונות לקראת סוף השנה וכן עבור מענק לרכישת דירות נ"ר לזכאים שניתן בהתאם לאבני דרך.</w:t>
      </w:r>
    </w:p>
    <w:p w14:paraId="13F83619" w14:textId="77777777" w:rsidR="00E5395D" w:rsidRDefault="00E5395D" w:rsidP="00E5395D">
      <w:pPr>
        <w:jc w:val="both"/>
        <w:rPr>
          <w:rFonts w:ascii="FrankRuehl" w:hAnsi="FrankRuehl" w:cs="FrankRuehl"/>
          <w:sz w:val="26"/>
          <w:szCs w:val="26"/>
          <w:rtl/>
        </w:rPr>
      </w:pPr>
    </w:p>
    <w:p w14:paraId="344019DA" w14:textId="77777777" w:rsidR="00E5395D" w:rsidRDefault="00E5395D" w:rsidP="00E5395D">
      <w:pPr>
        <w:jc w:val="both"/>
        <w:rPr>
          <w:rFonts w:ascii="FrankRuehl" w:hAnsi="FrankRuehl" w:cs="FrankRuehl"/>
          <w:sz w:val="26"/>
          <w:szCs w:val="26"/>
          <w:rtl/>
        </w:rPr>
      </w:pPr>
      <w:r>
        <w:rPr>
          <w:rFonts w:ascii="FrankRuehl" w:hAnsi="FrankRuehl" w:cs="FrankRuehl"/>
          <w:b/>
          <w:bCs/>
          <w:sz w:val="26"/>
          <w:szCs w:val="26"/>
          <w:rtl/>
        </w:rPr>
        <w:t>תכנית מספר: 420201 סיוע בשכר דירה – 1,841 אלפי ש"ח</w:t>
      </w:r>
    </w:p>
    <w:p w14:paraId="1A2C7F96" w14:textId="77777777" w:rsidR="00E5395D" w:rsidRDefault="00E5395D" w:rsidP="00E5395D">
      <w:pPr>
        <w:jc w:val="both"/>
        <w:rPr>
          <w:rFonts w:ascii="FrankRuehl" w:hAnsi="FrankRuehl" w:cs="FrankRuehl"/>
          <w:sz w:val="26"/>
          <w:szCs w:val="26"/>
          <w:rtl/>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התוכנית מתקצבת את הסיוע בדיור הניתן לזכאי סיוע בשכר דירה, קשישים הממתינים לבתי גיל זהב וכן ממתינים לדיור הציבורי.</w:t>
      </w:r>
    </w:p>
    <w:p w14:paraId="38276A98" w14:textId="77777777" w:rsidR="00E5395D" w:rsidRDefault="00E5395D" w:rsidP="00E5395D">
      <w:pPr>
        <w:jc w:val="both"/>
        <w:rPr>
          <w:rFonts w:ascii="FrankRuehl" w:hAnsi="FrankRuehl" w:cs="FrankRuehl"/>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 xml:space="preserve">: </w:t>
      </w:r>
      <w:r>
        <w:rPr>
          <w:rFonts w:ascii="FrankRuehl" w:hAnsi="FrankRuehl" w:cs="FrankRuehl"/>
          <w:sz w:val="26"/>
          <w:szCs w:val="26"/>
          <w:rtl/>
        </w:rPr>
        <w:t xml:space="preserve">העודפים נוצרו בגין התחייבויות שנקבעו בהתאם להחלטות וועדת החריגים, וממומשות באופן שאינו תואם את השנה </w:t>
      </w:r>
      <w:proofErr w:type="spellStart"/>
      <w:r>
        <w:rPr>
          <w:rFonts w:ascii="FrankRuehl" w:hAnsi="FrankRuehl" w:cs="FrankRuehl"/>
          <w:sz w:val="26"/>
          <w:szCs w:val="26"/>
          <w:rtl/>
        </w:rPr>
        <w:t>הקלנדרית</w:t>
      </w:r>
      <w:proofErr w:type="spellEnd"/>
      <w:r>
        <w:rPr>
          <w:rFonts w:ascii="FrankRuehl" w:hAnsi="FrankRuehl" w:cs="FrankRuehl"/>
          <w:sz w:val="26"/>
          <w:szCs w:val="26"/>
          <w:rtl/>
        </w:rPr>
        <w:t>.</w:t>
      </w:r>
    </w:p>
    <w:p w14:paraId="5B311F89" w14:textId="77777777" w:rsidR="00E5395D" w:rsidRDefault="00E5395D" w:rsidP="00E5395D">
      <w:pPr>
        <w:jc w:val="both"/>
        <w:rPr>
          <w:rFonts w:ascii="FrankRuehl" w:hAnsi="FrankRuehl" w:cs="FrankRuehl"/>
          <w:sz w:val="26"/>
          <w:szCs w:val="26"/>
          <w:rtl/>
        </w:rPr>
      </w:pPr>
    </w:p>
    <w:p w14:paraId="0693AE34" w14:textId="77777777" w:rsidR="00E5395D" w:rsidRDefault="00E5395D" w:rsidP="00E5395D">
      <w:pPr>
        <w:jc w:val="both"/>
        <w:rPr>
          <w:rFonts w:ascii="FrankRuehl" w:hAnsi="FrankRuehl" w:cs="FrankRuehl"/>
          <w:sz w:val="26"/>
          <w:szCs w:val="26"/>
          <w:rtl/>
        </w:rPr>
      </w:pPr>
      <w:r>
        <w:rPr>
          <w:rFonts w:ascii="FrankRuehl" w:hAnsi="FrankRuehl" w:cs="FrankRuehl"/>
          <w:b/>
          <w:bCs/>
          <w:sz w:val="26"/>
          <w:szCs w:val="26"/>
          <w:rtl/>
        </w:rPr>
        <w:t>תכנית מספר</w:t>
      </w:r>
      <w:r>
        <w:rPr>
          <w:rFonts w:ascii="FrankRuehl" w:hAnsi="FrankRuehl" w:cs="FrankRuehl"/>
          <w:sz w:val="26"/>
          <w:szCs w:val="26"/>
          <w:rtl/>
        </w:rPr>
        <w:t xml:space="preserve">: </w:t>
      </w:r>
      <w:r>
        <w:rPr>
          <w:rFonts w:ascii="FrankRuehl" w:hAnsi="FrankRuehl" w:cs="FrankRuehl"/>
          <w:b/>
          <w:bCs/>
          <w:sz w:val="26"/>
          <w:szCs w:val="26"/>
          <w:rtl/>
        </w:rPr>
        <w:t>420301 עמלות ניהול הסיוע – 11,683 אלפי ש"ח</w:t>
      </w:r>
    </w:p>
    <w:p w14:paraId="6A8EB5CA" w14:textId="77777777" w:rsidR="00E5395D" w:rsidRDefault="00E5395D" w:rsidP="00E5395D">
      <w:pPr>
        <w:jc w:val="both"/>
        <w:rPr>
          <w:rFonts w:ascii="FrankRuehl" w:hAnsi="FrankRuehl" w:cs="FrankRuehl"/>
          <w:sz w:val="26"/>
          <w:szCs w:val="26"/>
        </w:rPr>
      </w:pPr>
      <w:r>
        <w:rPr>
          <w:rFonts w:ascii="FrankRuehl" w:hAnsi="FrankRuehl" w:cs="FrankRuehl"/>
          <w:b/>
          <w:bCs/>
          <w:sz w:val="26"/>
          <w:szCs w:val="26"/>
          <w:rtl/>
        </w:rPr>
        <w:t xml:space="preserve">תיאור </w:t>
      </w:r>
      <w:proofErr w:type="spellStart"/>
      <w:r>
        <w:rPr>
          <w:rFonts w:ascii="FrankRuehl" w:hAnsi="FrankRuehl" w:cs="FrankRuehl"/>
          <w:b/>
          <w:bCs/>
          <w:sz w:val="26"/>
          <w:szCs w:val="26"/>
          <w:rtl/>
        </w:rPr>
        <w:t>התכנית</w:t>
      </w:r>
      <w:proofErr w:type="spellEnd"/>
      <w:r>
        <w:rPr>
          <w:rFonts w:ascii="FrankRuehl" w:hAnsi="FrankRuehl" w:cs="FrankRuehl"/>
          <w:b/>
          <w:bCs/>
          <w:sz w:val="26"/>
          <w:szCs w:val="26"/>
          <w:rtl/>
        </w:rPr>
        <w:t>:</w:t>
      </w:r>
      <w:r>
        <w:rPr>
          <w:rFonts w:ascii="FrankRuehl" w:hAnsi="FrankRuehl" w:cs="FrankRuehl"/>
          <w:sz w:val="26"/>
          <w:szCs w:val="26"/>
          <w:rtl/>
        </w:rPr>
        <w:t xml:space="preserve"> התוכנית מתקצבת את התשלום לבנקים בגין ניהול מערך התשלומים לזכאים. </w:t>
      </w:r>
    </w:p>
    <w:p w14:paraId="7FE0E95C" w14:textId="77777777" w:rsidR="00E5395D" w:rsidRDefault="00E5395D" w:rsidP="00E5395D">
      <w:pPr>
        <w:jc w:val="both"/>
        <w:rPr>
          <w:rFonts w:ascii="FrankRuehl" w:hAnsi="FrankRuehl" w:cs="FrankRuehl"/>
          <w:sz w:val="26"/>
          <w:szCs w:val="26"/>
          <w:rtl/>
        </w:rPr>
      </w:pPr>
      <w:r>
        <w:rPr>
          <w:rFonts w:ascii="FrankRuehl" w:hAnsi="FrankRuehl" w:cs="FrankRuehl"/>
          <w:b/>
          <w:bCs/>
          <w:sz w:val="26"/>
          <w:szCs w:val="26"/>
          <w:rtl/>
        </w:rPr>
        <w:t xml:space="preserve">סיבות מרכזיות בגינן נוצרו עודפים </w:t>
      </w:r>
      <w:proofErr w:type="spellStart"/>
      <w:r>
        <w:rPr>
          <w:rFonts w:ascii="FrankRuehl" w:hAnsi="FrankRuehl" w:cs="FrankRuehl"/>
          <w:b/>
          <w:bCs/>
          <w:sz w:val="26"/>
          <w:szCs w:val="26"/>
          <w:rtl/>
        </w:rPr>
        <w:t>בתכנית</w:t>
      </w:r>
      <w:proofErr w:type="spellEnd"/>
      <w:r>
        <w:rPr>
          <w:rFonts w:ascii="FrankRuehl" w:hAnsi="FrankRuehl" w:cs="FrankRuehl"/>
          <w:b/>
          <w:bCs/>
          <w:sz w:val="26"/>
          <w:szCs w:val="26"/>
          <w:rtl/>
        </w:rPr>
        <w:t>:</w:t>
      </w:r>
      <w:r>
        <w:rPr>
          <w:rFonts w:ascii="FrankRuehl" w:hAnsi="FrankRuehl" w:cs="FrankRuehl"/>
          <w:sz w:val="26"/>
          <w:szCs w:val="26"/>
          <w:rtl/>
        </w:rPr>
        <w:t xml:space="preserve"> העודפים נוצרו בעקבות הממשקים מול הבנקים אשר מעבירים את הנתונים על אודות מימוש המענקים בצורה שוטפת כך שיש צורך בביצוע הערכות שונות לקראת סוף השנה.</w:t>
      </w:r>
    </w:p>
    <w:p w14:paraId="5C76CDAB" w14:textId="77777777" w:rsidR="007332A2" w:rsidRPr="000A3FA0" w:rsidRDefault="007332A2" w:rsidP="00E5395D">
      <w:pPr>
        <w:jc w:val="both"/>
        <w:rPr>
          <w:rFonts w:cs="FrankRuehl"/>
          <w:sz w:val="26"/>
          <w:szCs w:val="26"/>
          <w:rtl/>
        </w:rPr>
      </w:pPr>
    </w:p>
    <w:p w14:paraId="54BCFA74" w14:textId="77777777" w:rsidR="0051496B" w:rsidRPr="000A3FA0" w:rsidRDefault="0051496B" w:rsidP="00E5395D">
      <w:pPr>
        <w:jc w:val="both"/>
        <w:rPr>
          <w:rFonts w:cs="FrankRuehl"/>
          <w:sz w:val="26"/>
          <w:szCs w:val="26"/>
          <w:rtl/>
        </w:rPr>
      </w:pPr>
      <w:r w:rsidRPr="000A3FA0">
        <w:rPr>
          <w:rFonts w:cs="FrankRuehl"/>
          <w:sz w:val="26"/>
          <w:szCs w:val="26"/>
          <w:rtl/>
        </w:rPr>
        <w:t>האישור ייכנס לתקפו, אם לא יעוכב ע"י ועדת הכספים של הכנסת, לאחר 21 יום מתאריך מכתב זה.</w:t>
      </w:r>
    </w:p>
    <w:p w14:paraId="70E10C1B" w14:textId="77777777" w:rsidR="0051496B" w:rsidRPr="000A3FA0" w:rsidRDefault="0051496B" w:rsidP="00A6761F">
      <w:pPr>
        <w:jc w:val="both"/>
        <w:rPr>
          <w:rFonts w:cs="FrankRuehl"/>
          <w:sz w:val="26"/>
          <w:szCs w:val="26"/>
          <w:rtl/>
        </w:rPr>
      </w:pPr>
    </w:p>
    <w:p w14:paraId="049A4B18" w14:textId="77777777" w:rsidR="0051496B" w:rsidRPr="000A3FA0" w:rsidRDefault="0051496B" w:rsidP="00A6761F">
      <w:pPr>
        <w:jc w:val="both"/>
        <w:rPr>
          <w:rFonts w:cs="FrankRuehl"/>
          <w:sz w:val="26"/>
          <w:szCs w:val="26"/>
          <w:rtl/>
        </w:rPr>
      </w:pPr>
    </w:p>
    <w:p w14:paraId="2E3F7EC2" w14:textId="77777777" w:rsidR="0051496B" w:rsidRPr="000A3FA0" w:rsidRDefault="0051496B" w:rsidP="00AC0FB8">
      <w:pPr>
        <w:tabs>
          <w:tab w:val="left" w:pos="6416"/>
          <w:tab w:val="center" w:pos="6867"/>
        </w:tabs>
        <w:rPr>
          <w:rFonts w:cs="FrankRuehl"/>
          <w:sz w:val="26"/>
          <w:szCs w:val="26"/>
          <w:rtl/>
        </w:rPr>
      </w:pPr>
      <w:r w:rsidRPr="000A3FA0">
        <w:rPr>
          <w:rFonts w:cs="FrankRuehl"/>
          <w:sz w:val="26"/>
          <w:szCs w:val="26"/>
          <w:rtl/>
        </w:rPr>
        <w:tab/>
      </w:r>
      <w:r w:rsidR="00AC0FB8">
        <w:rPr>
          <w:rFonts w:cs="FrankRuehl"/>
          <w:sz w:val="26"/>
          <w:szCs w:val="26"/>
          <w:rtl/>
        </w:rPr>
        <w:tab/>
      </w:r>
      <w:r w:rsidRPr="000A3FA0">
        <w:rPr>
          <w:rFonts w:cs="FrankRuehl"/>
          <w:sz w:val="26"/>
          <w:szCs w:val="26"/>
          <w:rtl/>
        </w:rPr>
        <w:t>בכבוד רב,</w:t>
      </w:r>
    </w:p>
    <w:p w14:paraId="54EEA44E" w14:textId="77777777" w:rsidR="0051496B" w:rsidRDefault="0051496B">
      <w:pPr>
        <w:tabs>
          <w:tab w:val="center" w:pos="6867"/>
        </w:tabs>
        <w:rPr>
          <w:rFonts w:cs="FrankRuehl"/>
          <w:sz w:val="26"/>
          <w:szCs w:val="26"/>
          <w:rtl/>
        </w:rPr>
      </w:pPr>
    </w:p>
    <w:p w14:paraId="62221748" w14:textId="77777777" w:rsidR="00AC0FB8" w:rsidRPr="000A3FA0" w:rsidRDefault="00AC0FB8">
      <w:pPr>
        <w:tabs>
          <w:tab w:val="center" w:pos="6867"/>
        </w:tabs>
        <w:rPr>
          <w:rFonts w:cs="FrankRuehl"/>
          <w:sz w:val="26"/>
          <w:szCs w:val="26"/>
        </w:rPr>
      </w:pPr>
      <w:r>
        <w:rPr>
          <w:rFonts w:cs="FrankRuehl"/>
          <w:sz w:val="26"/>
          <w:szCs w:val="26"/>
          <w:rtl/>
        </w:rPr>
        <w:lastRenderedPageBreak/>
        <w:tab/>
      </w:r>
      <w:bookmarkStart w:id="11" w:name="Sign_Image"/>
      <w:bookmarkEnd w:id="11"/>
    </w:p>
    <w:p w14:paraId="50E401EB" w14:textId="77777777" w:rsidR="0051496B" w:rsidRPr="000A3FA0" w:rsidRDefault="0051496B">
      <w:pPr>
        <w:tabs>
          <w:tab w:val="center" w:pos="6867"/>
        </w:tabs>
        <w:rPr>
          <w:rFonts w:cs="FrankRuehl"/>
          <w:sz w:val="26"/>
          <w:szCs w:val="26"/>
          <w:rtl/>
        </w:rPr>
      </w:pPr>
    </w:p>
    <w:p w14:paraId="562A6944" w14:textId="77777777" w:rsidR="0051496B" w:rsidRPr="000A3FA0" w:rsidRDefault="0051496B">
      <w:pPr>
        <w:tabs>
          <w:tab w:val="center" w:pos="6867"/>
        </w:tabs>
        <w:rPr>
          <w:rFonts w:cs="FrankRuehl"/>
          <w:sz w:val="26"/>
          <w:szCs w:val="26"/>
        </w:rPr>
      </w:pPr>
      <w:r w:rsidRPr="000A3FA0">
        <w:rPr>
          <w:rFonts w:cs="FrankRuehl"/>
          <w:sz w:val="26"/>
          <w:szCs w:val="26"/>
          <w:rtl/>
        </w:rPr>
        <w:tab/>
      </w:r>
    </w:p>
    <w:p w14:paraId="341527D3" w14:textId="77777777" w:rsidR="0051496B" w:rsidRPr="000A3FA0" w:rsidRDefault="0051496B" w:rsidP="000062C3">
      <w:pPr>
        <w:tabs>
          <w:tab w:val="center" w:pos="6867"/>
        </w:tabs>
        <w:rPr>
          <w:rFonts w:cs="FrankRuehl"/>
          <w:sz w:val="26"/>
          <w:szCs w:val="26"/>
          <w:rtl/>
        </w:rPr>
      </w:pPr>
      <w:r w:rsidRPr="000A3FA0">
        <w:rPr>
          <w:rFonts w:cs="FrankRuehl"/>
          <w:sz w:val="26"/>
          <w:szCs w:val="26"/>
          <w:rtl/>
        </w:rPr>
        <w:tab/>
      </w:r>
    </w:p>
    <w:p w14:paraId="2AA5A67D" w14:textId="77777777" w:rsidR="0051496B" w:rsidRPr="000A3FA0" w:rsidRDefault="0051496B">
      <w:pPr>
        <w:rPr>
          <w:rFonts w:cs="FrankRuehl"/>
          <w:sz w:val="26"/>
          <w:szCs w:val="26"/>
          <w:rtl/>
        </w:rPr>
      </w:pPr>
    </w:p>
    <w:p w14:paraId="2FF0E546" w14:textId="77777777" w:rsidR="0051496B" w:rsidRPr="000A3FA0" w:rsidRDefault="0051496B">
      <w:pPr>
        <w:rPr>
          <w:rFonts w:cs="FrankRuehl"/>
          <w:sz w:val="26"/>
          <w:szCs w:val="26"/>
          <w:rtl/>
        </w:rPr>
      </w:pPr>
      <w:r w:rsidRPr="000A3FA0">
        <w:rPr>
          <w:rFonts w:cs="FrankRuehl"/>
          <w:sz w:val="26"/>
          <w:szCs w:val="26"/>
          <w:rtl/>
        </w:rPr>
        <w:t>העתק:</w:t>
      </w:r>
    </w:p>
    <w:p w14:paraId="47987C6E" w14:textId="77777777" w:rsidR="0051496B" w:rsidRPr="000A3FA0" w:rsidRDefault="0051496B">
      <w:pPr>
        <w:rPr>
          <w:rFonts w:cs="FrankRuehl"/>
          <w:sz w:val="26"/>
          <w:szCs w:val="26"/>
          <w:rtl/>
        </w:rPr>
      </w:pPr>
      <w:r w:rsidRPr="000A3FA0">
        <w:rPr>
          <w:rFonts w:cs="FrankRuehl"/>
          <w:sz w:val="26"/>
          <w:szCs w:val="26"/>
          <w:rtl/>
        </w:rPr>
        <w:t>החשב הכללי</w:t>
      </w:r>
    </w:p>
    <w:p w14:paraId="3FEA652C" w14:textId="77777777" w:rsidR="0051496B" w:rsidRPr="000A3FA0" w:rsidRDefault="0051496B">
      <w:pPr>
        <w:rPr>
          <w:rFonts w:cs="FrankRuehl"/>
          <w:sz w:val="26"/>
          <w:szCs w:val="26"/>
          <w:rtl/>
        </w:rPr>
      </w:pPr>
      <w:r w:rsidRPr="000A3FA0">
        <w:rPr>
          <w:rFonts w:cs="FrankRuehl"/>
          <w:sz w:val="26"/>
          <w:szCs w:val="26"/>
          <w:rtl/>
        </w:rPr>
        <w:t>מבקר המדינה (2)</w:t>
      </w:r>
    </w:p>
    <w:p w14:paraId="1E382154" w14:textId="08A290A5" w:rsidR="0051496B" w:rsidRPr="000A3FA0" w:rsidRDefault="009D55FC">
      <w:pPr>
        <w:rPr>
          <w:rFonts w:cs="FrankRuehl"/>
          <w:sz w:val="26"/>
          <w:szCs w:val="26"/>
          <w:rtl/>
        </w:rPr>
      </w:pPr>
      <w:bookmarkStart w:id="12" w:name="TAKZIV22"/>
      <w:r>
        <w:rPr>
          <w:rFonts w:cs="FrankRuehl"/>
          <w:sz w:val="26"/>
          <w:szCs w:val="26"/>
          <w:rtl/>
        </w:rPr>
        <w:t>חשב משרד הבינוי והשיכון</w:t>
      </w:r>
      <w:bookmarkEnd w:id="12"/>
      <w:r w:rsidR="0051496B" w:rsidRPr="000A3FA0">
        <w:rPr>
          <w:rFonts w:cs="FrankRuehl"/>
          <w:sz w:val="26"/>
          <w:szCs w:val="26"/>
          <w:rtl/>
        </w:rPr>
        <w:t xml:space="preserve"> </w:t>
      </w:r>
    </w:p>
    <w:p w14:paraId="6A634CE9" w14:textId="51304AC7" w:rsidR="0051496B" w:rsidRPr="000A3FA0" w:rsidRDefault="0051496B">
      <w:pPr>
        <w:rPr>
          <w:rFonts w:cs="FrankRuehl"/>
          <w:sz w:val="26"/>
          <w:szCs w:val="26"/>
          <w:rtl/>
        </w:rPr>
      </w:pPr>
      <w:r w:rsidRPr="000A3FA0">
        <w:rPr>
          <w:rFonts w:cs="FrankRuehl"/>
          <w:sz w:val="26"/>
          <w:szCs w:val="26"/>
          <w:rtl/>
        </w:rPr>
        <w:t xml:space="preserve">קצין תקציבים </w:t>
      </w:r>
      <w:bookmarkStart w:id="13" w:name="TAKZIV6"/>
      <w:r w:rsidR="009D55FC">
        <w:rPr>
          <w:rFonts w:cs="FrankRuehl"/>
          <w:sz w:val="26"/>
          <w:szCs w:val="26"/>
          <w:rtl/>
        </w:rPr>
        <w:t>מענקי בינוי ושיכון</w:t>
      </w:r>
      <w:bookmarkEnd w:id="13"/>
    </w:p>
    <w:p w14:paraId="7E8A65BA" w14:textId="44B186DD" w:rsidR="0051496B" w:rsidRPr="000A3FA0" w:rsidRDefault="0051496B">
      <w:pPr>
        <w:rPr>
          <w:rFonts w:cs="FrankRuehl"/>
          <w:sz w:val="26"/>
          <w:szCs w:val="26"/>
          <w:rtl/>
        </w:rPr>
      </w:pPr>
      <w:r w:rsidRPr="000A3FA0">
        <w:rPr>
          <w:rFonts w:cs="FrankRuehl"/>
          <w:sz w:val="26"/>
          <w:szCs w:val="26"/>
          <w:rtl/>
        </w:rPr>
        <w:t xml:space="preserve">רפרנט </w:t>
      </w:r>
      <w:bookmarkStart w:id="14" w:name="TAKZIV6_1"/>
      <w:r w:rsidR="009D55FC">
        <w:rPr>
          <w:rFonts w:cs="FrankRuehl"/>
          <w:sz w:val="26"/>
          <w:szCs w:val="26"/>
          <w:rtl/>
        </w:rPr>
        <w:t>מענקי בינוי ושיכון</w:t>
      </w:r>
      <w:bookmarkEnd w:id="14"/>
    </w:p>
    <w:p w14:paraId="1E6D7DAB" w14:textId="77777777" w:rsidR="0051496B" w:rsidRPr="000A3FA0" w:rsidRDefault="0051496B">
      <w:pPr>
        <w:rPr>
          <w:rFonts w:cs="FrankRuehl"/>
          <w:sz w:val="26"/>
          <w:szCs w:val="26"/>
          <w:rtl/>
        </w:rPr>
      </w:pPr>
      <w:bookmarkStart w:id="15" w:name="TAKZIV23"/>
      <w:bookmarkEnd w:id="15"/>
    </w:p>
    <w:p w14:paraId="697ACE94" w14:textId="77777777" w:rsidR="0051496B" w:rsidRPr="000A3FA0" w:rsidRDefault="0051496B">
      <w:pPr>
        <w:rPr>
          <w:rFonts w:cs="FrankRuehl"/>
          <w:sz w:val="26"/>
          <w:szCs w:val="26"/>
          <w:rtl/>
        </w:rPr>
      </w:pPr>
    </w:p>
    <w:p w14:paraId="2753EC38" w14:textId="15BF4C72" w:rsidR="0051496B" w:rsidRDefault="0051496B">
      <w:pPr>
        <w:rPr>
          <w:rFonts w:cs="FrankRuehl"/>
          <w:sz w:val="26"/>
          <w:szCs w:val="26"/>
          <w:rtl/>
        </w:rPr>
      </w:pPr>
      <w:bookmarkStart w:id="16" w:name="TAKZIV25"/>
      <w:bookmarkEnd w:id="16"/>
    </w:p>
    <w:p w14:paraId="66E4700D" w14:textId="64AB9D3A" w:rsidR="00C424E0" w:rsidRDefault="00C424E0">
      <w:pPr>
        <w:rPr>
          <w:rFonts w:cs="FrankRuehl"/>
          <w:sz w:val="26"/>
          <w:szCs w:val="26"/>
          <w:rtl/>
        </w:rPr>
      </w:pPr>
    </w:p>
    <w:p w14:paraId="26BBB99A" w14:textId="0ACC0245" w:rsidR="00C424E0" w:rsidRDefault="00C424E0">
      <w:pPr>
        <w:rPr>
          <w:rFonts w:cs="FrankRuehl"/>
          <w:sz w:val="26"/>
          <w:szCs w:val="26"/>
          <w:rtl/>
        </w:rPr>
      </w:pPr>
    </w:p>
    <w:p w14:paraId="4F7FC2D1" w14:textId="7361BD24" w:rsidR="00C424E0" w:rsidRDefault="00C424E0">
      <w:pPr>
        <w:rPr>
          <w:rFonts w:cs="FrankRuehl"/>
          <w:sz w:val="26"/>
          <w:szCs w:val="26"/>
          <w:rtl/>
        </w:rPr>
      </w:pPr>
    </w:p>
    <w:p w14:paraId="07A1F987" w14:textId="6BEE75CD" w:rsidR="00C424E0" w:rsidRDefault="00C424E0">
      <w:pPr>
        <w:rPr>
          <w:rFonts w:cs="FrankRuehl"/>
          <w:sz w:val="26"/>
          <w:szCs w:val="26"/>
          <w:rtl/>
        </w:rPr>
      </w:pPr>
    </w:p>
    <w:p w14:paraId="362A176F" w14:textId="07D1CEC6" w:rsidR="00C424E0" w:rsidRDefault="00C424E0">
      <w:pPr>
        <w:rPr>
          <w:rFonts w:cs="FrankRuehl"/>
          <w:sz w:val="26"/>
          <w:szCs w:val="26"/>
          <w:rtl/>
        </w:rPr>
      </w:pPr>
    </w:p>
    <w:p w14:paraId="16F6466B" w14:textId="00F82B1A" w:rsidR="00C424E0" w:rsidRDefault="00C424E0">
      <w:pPr>
        <w:rPr>
          <w:rFonts w:cs="FrankRuehl"/>
          <w:sz w:val="26"/>
          <w:szCs w:val="26"/>
          <w:rtl/>
        </w:rPr>
      </w:pPr>
    </w:p>
    <w:p w14:paraId="4B9A28B6" w14:textId="7418A4A8" w:rsidR="00C424E0" w:rsidRDefault="00C424E0">
      <w:pPr>
        <w:rPr>
          <w:rFonts w:cs="FrankRuehl"/>
          <w:sz w:val="26"/>
          <w:szCs w:val="26"/>
          <w:rtl/>
        </w:rPr>
      </w:pPr>
    </w:p>
    <w:p w14:paraId="7071C4D4" w14:textId="5798E656" w:rsidR="00C424E0" w:rsidRDefault="00C424E0">
      <w:pPr>
        <w:rPr>
          <w:rFonts w:cs="FrankRuehl"/>
          <w:sz w:val="26"/>
          <w:szCs w:val="26"/>
          <w:rtl/>
        </w:rPr>
      </w:pPr>
    </w:p>
    <w:p w14:paraId="1FC94BAF" w14:textId="08693545" w:rsidR="00C424E0" w:rsidRDefault="00C424E0">
      <w:pPr>
        <w:rPr>
          <w:rFonts w:cs="FrankRuehl"/>
          <w:sz w:val="26"/>
          <w:szCs w:val="26"/>
          <w:rtl/>
        </w:rPr>
      </w:pPr>
    </w:p>
    <w:p w14:paraId="472D507D" w14:textId="30759CA2" w:rsidR="00C424E0" w:rsidRDefault="00C424E0">
      <w:pPr>
        <w:rPr>
          <w:rFonts w:cs="FrankRuehl"/>
          <w:sz w:val="26"/>
          <w:szCs w:val="26"/>
          <w:rtl/>
        </w:rPr>
      </w:pPr>
    </w:p>
    <w:p w14:paraId="2B06C8CC" w14:textId="3E51FAB3" w:rsidR="00C424E0" w:rsidRDefault="00C424E0">
      <w:pPr>
        <w:rPr>
          <w:rFonts w:cs="FrankRuehl"/>
          <w:sz w:val="26"/>
          <w:szCs w:val="26"/>
          <w:rtl/>
        </w:rPr>
      </w:pPr>
    </w:p>
    <w:p w14:paraId="6A0B6E88" w14:textId="539C3883" w:rsidR="00C424E0" w:rsidRDefault="00C424E0">
      <w:pPr>
        <w:rPr>
          <w:rFonts w:cs="FrankRuehl"/>
          <w:sz w:val="26"/>
          <w:szCs w:val="26"/>
          <w:rtl/>
        </w:rPr>
      </w:pPr>
    </w:p>
    <w:p w14:paraId="2B30E304" w14:textId="0D81D9BD" w:rsidR="00C424E0" w:rsidRDefault="00C424E0">
      <w:pPr>
        <w:rPr>
          <w:rFonts w:cs="FrankRuehl"/>
          <w:sz w:val="26"/>
          <w:szCs w:val="26"/>
          <w:rtl/>
        </w:rPr>
      </w:pPr>
    </w:p>
    <w:p w14:paraId="498ACD80" w14:textId="6CFA76EC" w:rsidR="00C424E0" w:rsidRDefault="00C424E0">
      <w:pPr>
        <w:rPr>
          <w:rFonts w:cs="FrankRuehl"/>
          <w:sz w:val="26"/>
          <w:szCs w:val="26"/>
          <w:rtl/>
        </w:rPr>
      </w:pPr>
    </w:p>
    <w:p w14:paraId="5FB12A41" w14:textId="2AAED675" w:rsidR="00C424E0" w:rsidRDefault="00C424E0">
      <w:pPr>
        <w:rPr>
          <w:rFonts w:cs="FrankRuehl"/>
          <w:sz w:val="26"/>
          <w:szCs w:val="26"/>
          <w:rtl/>
        </w:rPr>
      </w:pPr>
    </w:p>
    <w:p w14:paraId="10660DFD" w14:textId="36336154" w:rsidR="00C424E0" w:rsidRDefault="00C424E0">
      <w:pPr>
        <w:rPr>
          <w:rFonts w:cs="FrankRuehl"/>
          <w:sz w:val="26"/>
          <w:szCs w:val="26"/>
          <w:rtl/>
        </w:rPr>
      </w:pPr>
    </w:p>
    <w:p w14:paraId="6C2992C1" w14:textId="11EFDBA5" w:rsidR="00C424E0" w:rsidRDefault="00C424E0">
      <w:pPr>
        <w:rPr>
          <w:rFonts w:cs="FrankRuehl"/>
          <w:sz w:val="26"/>
          <w:szCs w:val="26"/>
          <w:rtl/>
        </w:rPr>
      </w:pPr>
    </w:p>
    <w:p w14:paraId="39CA0137" w14:textId="159D5E45" w:rsidR="00C424E0" w:rsidRDefault="00C424E0">
      <w:pPr>
        <w:rPr>
          <w:rFonts w:cs="FrankRuehl"/>
          <w:sz w:val="26"/>
          <w:szCs w:val="26"/>
          <w:rtl/>
        </w:rPr>
      </w:pPr>
    </w:p>
    <w:p w14:paraId="513634E3" w14:textId="2797CEAB" w:rsidR="00C424E0" w:rsidRDefault="00C424E0">
      <w:pPr>
        <w:rPr>
          <w:rFonts w:cs="FrankRuehl"/>
          <w:sz w:val="26"/>
          <w:szCs w:val="26"/>
          <w:rtl/>
        </w:rPr>
      </w:pPr>
    </w:p>
    <w:p w14:paraId="05E046AC" w14:textId="0803F214" w:rsidR="00C424E0" w:rsidRDefault="00C424E0">
      <w:pPr>
        <w:rPr>
          <w:rFonts w:cs="FrankRuehl"/>
          <w:sz w:val="26"/>
          <w:szCs w:val="26"/>
          <w:rtl/>
        </w:rPr>
      </w:pPr>
    </w:p>
    <w:p w14:paraId="1A6AA895" w14:textId="08D22244" w:rsidR="00C424E0" w:rsidRDefault="00C424E0">
      <w:pPr>
        <w:rPr>
          <w:rFonts w:cs="FrankRuehl"/>
          <w:sz w:val="26"/>
          <w:szCs w:val="26"/>
          <w:rtl/>
        </w:rPr>
      </w:pPr>
    </w:p>
    <w:p w14:paraId="00793EC8" w14:textId="466A3B59" w:rsidR="00C424E0" w:rsidRDefault="00C424E0">
      <w:pPr>
        <w:rPr>
          <w:rFonts w:cs="FrankRuehl"/>
          <w:sz w:val="26"/>
          <w:szCs w:val="26"/>
          <w:rtl/>
        </w:rPr>
      </w:pPr>
    </w:p>
    <w:p w14:paraId="7473A41D" w14:textId="136BEF96" w:rsidR="00C424E0" w:rsidRDefault="00C424E0">
      <w:pPr>
        <w:rPr>
          <w:rFonts w:cs="FrankRuehl"/>
          <w:sz w:val="26"/>
          <w:szCs w:val="26"/>
          <w:rtl/>
        </w:rPr>
      </w:pPr>
    </w:p>
    <w:p w14:paraId="2ED31B7E" w14:textId="73D28DFB" w:rsidR="00C424E0" w:rsidRDefault="00C424E0">
      <w:pPr>
        <w:rPr>
          <w:rFonts w:cs="FrankRuehl"/>
          <w:sz w:val="26"/>
          <w:szCs w:val="26"/>
          <w:rtl/>
        </w:rPr>
      </w:pPr>
    </w:p>
    <w:p w14:paraId="6F9DD4E2" w14:textId="14FCE84D" w:rsidR="00C424E0" w:rsidRDefault="00C424E0">
      <w:pPr>
        <w:rPr>
          <w:rFonts w:cs="FrankRuehl"/>
          <w:sz w:val="26"/>
          <w:szCs w:val="26"/>
          <w:rtl/>
        </w:rPr>
      </w:pPr>
    </w:p>
    <w:p w14:paraId="456891BD" w14:textId="57ABC93D" w:rsidR="00C424E0" w:rsidRDefault="00C424E0">
      <w:pPr>
        <w:rPr>
          <w:rFonts w:cs="FrankRuehl"/>
          <w:sz w:val="26"/>
          <w:szCs w:val="26"/>
          <w:rtl/>
        </w:rPr>
      </w:pPr>
    </w:p>
    <w:p w14:paraId="7454113C" w14:textId="58261019" w:rsidR="00C424E0" w:rsidRDefault="00C424E0">
      <w:pPr>
        <w:rPr>
          <w:rFonts w:cs="FrankRuehl"/>
          <w:sz w:val="26"/>
          <w:szCs w:val="26"/>
          <w:rtl/>
        </w:rPr>
      </w:pPr>
    </w:p>
    <w:p w14:paraId="47447F1A" w14:textId="29CCD121" w:rsidR="00C424E0" w:rsidRDefault="00C424E0">
      <w:pPr>
        <w:rPr>
          <w:rFonts w:cs="FrankRuehl"/>
          <w:sz w:val="26"/>
          <w:szCs w:val="26"/>
          <w:rtl/>
        </w:rPr>
      </w:pPr>
    </w:p>
    <w:p w14:paraId="317F99CF" w14:textId="073C643B" w:rsidR="00C424E0" w:rsidRDefault="00C424E0">
      <w:pPr>
        <w:rPr>
          <w:rFonts w:cs="FrankRuehl"/>
          <w:sz w:val="26"/>
          <w:szCs w:val="26"/>
          <w:rtl/>
        </w:rPr>
      </w:pPr>
    </w:p>
    <w:p w14:paraId="32DDF098" w14:textId="0763C3CD" w:rsidR="00C424E0" w:rsidRDefault="00C424E0">
      <w:pPr>
        <w:rPr>
          <w:rFonts w:cs="FrankRuehl"/>
          <w:sz w:val="26"/>
          <w:szCs w:val="26"/>
          <w:rtl/>
        </w:rPr>
      </w:pPr>
    </w:p>
    <w:p w14:paraId="195B3504" w14:textId="5B0D8E01" w:rsidR="00C424E0" w:rsidRDefault="00C424E0">
      <w:pPr>
        <w:rPr>
          <w:rFonts w:cs="FrankRuehl"/>
          <w:sz w:val="26"/>
          <w:szCs w:val="26"/>
          <w:rtl/>
        </w:rPr>
      </w:pPr>
    </w:p>
    <w:p w14:paraId="320D9501" w14:textId="4E1A1CA2" w:rsidR="00C424E0" w:rsidRDefault="00C424E0">
      <w:pPr>
        <w:rPr>
          <w:rFonts w:cs="FrankRuehl"/>
          <w:sz w:val="26"/>
          <w:szCs w:val="26"/>
          <w:rtl/>
        </w:rPr>
      </w:pPr>
    </w:p>
    <w:p w14:paraId="5AC94173" w14:textId="75E0C75E" w:rsidR="00C424E0" w:rsidRDefault="00C424E0">
      <w:pPr>
        <w:rPr>
          <w:rFonts w:cs="FrankRuehl"/>
          <w:sz w:val="26"/>
          <w:szCs w:val="26"/>
          <w:rtl/>
        </w:rPr>
      </w:pPr>
    </w:p>
    <w:p w14:paraId="4B4D653F" w14:textId="733204B7" w:rsidR="00C424E0" w:rsidRDefault="00C424E0">
      <w:pPr>
        <w:rPr>
          <w:rFonts w:cs="FrankRuehl"/>
          <w:sz w:val="26"/>
          <w:szCs w:val="26"/>
          <w:rtl/>
        </w:rPr>
      </w:pPr>
    </w:p>
    <w:p w14:paraId="60EBD0B9" w14:textId="51B326F1" w:rsidR="00C424E0" w:rsidRDefault="00C424E0">
      <w:pPr>
        <w:rPr>
          <w:rFonts w:cs="FrankRuehl"/>
          <w:sz w:val="26"/>
          <w:szCs w:val="26"/>
          <w:rtl/>
        </w:rPr>
      </w:pPr>
    </w:p>
    <w:p w14:paraId="60E9CE4E" w14:textId="049C6F9D" w:rsidR="00C424E0" w:rsidRDefault="00C424E0">
      <w:pPr>
        <w:rPr>
          <w:rFonts w:cs="FrankRuehl"/>
          <w:sz w:val="26"/>
          <w:szCs w:val="26"/>
          <w:rtl/>
        </w:rPr>
      </w:pPr>
    </w:p>
    <w:p w14:paraId="00729562" w14:textId="46D97EAF" w:rsidR="00C424E0" w:rsidRDefault="00C424E0">
      <w:pPr>
        <w:rPr>
          <w:rFonts w:cs="FrankRuehl"/>
          <w:sz w:val="26"/>
          <w:szCs w:val="26"/>
          <w:rtl/>
        </w:rPr>
      </w:pPr>
    </w:p>
    <w:p w14:paraId="20DDCE41" w14:textId="783E47E9" w:rsidR="00C424E0" w:rsidRDefault="00C424E0">
      <w:pPr>
        <w:rPr>
          <w:rFonts w:cs="FrankRuehl"/>
          <w:sz w:val="26"/>
          <w:szCs w:val="26"/>
          <w:rtl/>
        </w:rPr>
      </w:pPr>
    </w:p>
    <w:p w14:paraId="495B8A8E" w14:textId="77777777" w:rsidR="00C424E0" w:rsidRDefault="00C424E0" w:rsidP="00C424E0">
      <w:pPr>
        <w:jc w:val="center"/>
        <w:rPr>
          <w:rFonts w:cs="FrankRuehl"/>
          <w:b/>
          <w:bCs/>
          <w:sz w:val="26"/>
          <w:szCs w:val="26"/>
          <w:u w:val="single"/>
          <w:lang w:eastAsia="en-US"/>
        </w:rPr>
      </w:pPr>
      <w:r>
        <w:rPr>
          <w:rFonts w:cs="FrankRuehl"/>
          <w:b/>
          <w:bCs/>
          <w:sz w:val="26"/>
          <w:szCs w:val="26"/>
          <w:u w:val="single"/>
          <w:rtl/>
        </w:rPr>
        <w:lastRenderedPageBreak/>
        <w:t>נספח לדברי ההסבר</w:t>
      </w:r>
    </w:p>
    <w:p w14:paraId="57DF3D48" w14:textId="77777777" w:rsidR="00C424E0" w:rsidRDefault="00C424E0" w:rsidP="00C424E0">
      <w:pPr>
        <w:jc w:val="center"/>
        <w:rPr>
          <w:rFonts w:cs="FrankRuehl"/>
          <w:b/>
          <w:bCs/>
          <w:sz w:val="26"/>
          <w:szCs w:val="26"/>
          <w:u w:val="single"/>
        </w:rPr>
      </w:pPr>
    </w:p>
    <w:p w14:paraId="2A3EC8E0" w14:textId="77777777" w:rsidR="00C424E0" w:rsidRDefault="00C424E0" w:rsidP="00C424E0">
      <w:pPr>
        <w:jc w:val="center"/>
        <w:rPr>
          <w:rFonts w:cs="FrankRuehl"/>
          <w:b/>
          <w:bCs/>
          <w:sz w:val="26"/>
          <w:szCs w:val="26"/>
          <w:rtl/>
        </w:rPr>
      </w:pPr>
      <w:r>
        <w:rPr>
          <w:rFonts w:cs="FrankRuehl"/>
          <w:b/>
          <w:bCs/>
          <w:sz w:val="26"/>
          <w:szCs w:val="26"/>
          <w:rtl/>
        </w:rPr>
        <w:t>היסטוריה תקציבית של הפנייה</w:t>
      </w:r>
    </w:p>
    <w:p w14:paraId="0859AD9C" w14:textId="6E56396D" w:rsidR="00C424E0" w:rsidRDefault="00C424E0">
      <w:pPr>
        <w:rPr>
          <w:rFonts w:cs="FrankRuehl"/>
          <w:sz w:val="26"/>
          <w:szCs w:val="26"/>
          <w:rtl/>
        </w:rPr>
      </w:pPr>
    </w:p>
    <w:tbl>
      <w:tblPr>
        <w:tblpPr w:leftFromText="180" w:rightFromText="180" w:vertAnchor="text" w:tblpXSpec="right" w:tblpYSpec="center"/>
        <w:tblW w:w="5000" w:type="pct"/>
        <w:tblCellMar>
          <w:left w:w="0" w:type="dxa"/>
          <w:right w:w="0" w:type="dxa"/>
        </w:tblCellMar>
        <w:tblLook w:val="04A0" w:firstRow="1" w:lastRow="0" w:firstColumn="1" w:lastColumn="0" w:noHBand="0" w:noVBand="1"/>
      </w:tblPr>
      <w:tblGrid>
        <w:gridCol w:w="1648"/>
        <w:gridCol w:w="1894"/>
        <w:gridCol w:w="1650"/>
        <w:gridCol w:w="1650"/>
        <w:gridCol w:w="1681"/>
      </w:tblGrid>
      <w:tr w:rsidR="00C424E0" w14:paraId="0B203DC7" w14:textId="77777777" w:rsidTr="00C424E0">
        <w:trPr>
          <w:trHeight w:val="675"/>
        </w:trPr>
        <w:tc>
          <w:tcPr>
            <w:tcW w:w="967" w:type="pct"/>
            <w:tcBorders>
              <w:top w:val="single" w:sz="8" w:space="0" w:color="979991"/>
              <w:left w:val="single" w:sz="8" w:space="0" w:color="979991"/>
              <w:bottom w:val="nil"/>
              <w:right w:val="nil"/>
            </w:tcBorders>
            <w:shd w:val="clear" w:color="auto" w:fill="F0F4FA"/>
            <w:tcMar>
              <w:top w:w="0" w:type="dxa"/>
              <w:left w:w="108" w:type="dxa"/>
              <w:bottom w:w="0" w:type="dxa"/>
              <w:right w:w="108" w:type="dxa"/>
            </w:tcMar>
            <w:vAlign w:val="center"/>
            <w:hideMark/>
          </w:tcPr>
          <w:p w14:paraId="0252E614" w14:textId="77777777" w:rsidR="00C424E0" w:rsidRDefault="00C424E0">
            <w:pPr>
              <w:jc w:val="center"/>
              <w:rPr>
                <w:rFonts w:cs="Calibri"/>
                <w:b/>
                <w:bCs/>
                <w:color w:val="000000"/>
                <w:sz w:val="16"/>
                <w:szCs w:val="16"/>
                <w:lang w:eastAsia="en-US"/>
              </w:rPr>
            </w:pPr>
            <w:r>
              <w:rPr>
                <w:rFonts w:hint="cs"/>
                <w:b/>
                <w:bCs/>
                <w:color w:val="000000"/>
                <w:sz w:val="16"/>
                <w:szCs w:val="16"/>
                <w:rtl/>
              </w:rPr>
              <w:t>קוד תוכנית</w:t>
            </w:r>
          </w:p>
        </w:tc>
        <w:tc>
          <w:tcPr>
            <w:tcW w:w="1111" w:type="pct"/>
            <w:tcBorders>
              <w:top w:val="single" w:sz="8" w:space="0" w:color="979991"/>
              <w:left w:val="single" w:sz="8" w:space="0" w:color="979991"/>
              <w:bottom w:val="single" w:sz="8" w:space="0" w:color="979991"/>
              <w:right w:val="nil"/>
            </w:tcBorders>
            <w:shd w:val="clear" w:color="auto" w:fill="F0F4FA"/>
            <w:tcMar>
              <w:top w:w="0" w:type="dxa"/>
              <w:left w:w="108" w:type="dxa"/>
              <w:bottom w:w="0" w:type="dxa"/>
              <w:right w:w="108" w:type="dxa"/>
            </w:tcMar>
            <w:vAlign w:val="center"/>
            <w:hideMark/>
          </w:tcPr>
          <w:p w14:paraId="41512C23" w14:textId="77777777" w:rsidR="00C424E0" w:rsidRDefault="00C424E0">
            <w:pPr>
              <w:jc w:val="center"/>
              <w:rPr>
                <w:b/>
                <w:bCs/>
                <w:color w:val="000000"/>
                <w:sz w:val="16"/>
                <w:szCs w:val="16"/>
              </w:rPr>
            </w:pPr>
            <w:r>
              <w:rPr>
                <w:rFonts w:hint="cs"/>
                <w:b/>
                <w:bCs/>
                <w:color w:val="000000"/>
                <w:sz w:val="16"/>
                <w:szCs w:val="16"/>
                <w:rtl/>
              </w:rPr>
              <w:t>השינוי התקציבי של העודף המוצע בפניה</w:t>
            </w:r>
          </w:p>
        </w:tc>
        <w:tc>
          <w:tcPr>
            <w:tcW w:w="968" w:type="pct"/>
            <w:tcBorders>
              <w:top w:val="single" w:sz="8" w:space="0" w:color="979991"/>
              <w:left w:val="single" w:sz="8" w:space="0" w:color="979991"/>
              <w:bottom w:val="single" w:sz="8" w:space="0" w:color="979991"/>
              <w:right w:val="nil"/>
            </w:tcBorders>
            <w:shd w:val="clear" w:color="auto" w:fill="F0F4FA"/>
            <w:tcMar>
              <w:top w:w="0" w:type="dxa"/>
              <w:left w:w="108" w:type="dxa"/>
              <w:bottom w:w="0" w:type="dxa"/>
              <w:right w:w="108" w:type="dxa"/>
            </w:tcMar>
            <w:vAlign w:val="center"/>
            <w:hideMark/>
          </w:tcPr>
          <w:p w14:paraId="62170E43" w14:textId="77777777" w:rsidR="00C424E0" w:rsidRDefault="00C424E0">
            <w:pPr>
              <w:jc w:val="center"/>
              <w:rPr>
                <w:b/>
                <w:bCs/>
                <w:color w:val="000000"/>
                <w:sz w:val="16"/>
                <w:szCs w:val="16"/>
              </w:rPr>
            </w:pPr>
            <w:r>
              <w:rPr>
                <w:rFonts w:hint="cs"/>
                <w:b/>
                <w:bCs/>
                <w:color w:val="000000"/>
                <w:sz w:val="16"/>
                <w:szCs w:val="16"/>
                <w:rtl/>
              </w:rPr>
              <w:t>סך עודף שהועבר ב-2025</w:t>
            </w:r>
          </w:p>
        </w:tc>
        <w:tc>
          <w:tcPr>
            <w:tcW w:w="968" w:type="pct"/>
            <w:tcBorders>
              <w:top w:val="single" w:sz="8" w:space="0" w:color="979991"/>
              <w:left w:val="single" w:sz="8" w:space="0" w:color="979991"/>
              <w:bottom w:val="single" w:sz="8" w:space="0" w:color="979991"/>
              <w:right w:val="nil"/>
            </w:tcBorders>
            <w:shd w:val="clear" w:color="auto" w:fill="F0F4FA"/>
            <w:tcMar>
              <w:top w:w="0" w:type="dxa"/>
              <w:left w:w="108" w:type="dxa"/>
              <w:bottom w:w="0" w:type="dxa"/>
              <w:right w:w="108" w:type="dxa"/>
            </w:tcMar>
            <w:vAlign w:val="center"/>
            <w:hideMark/>
          </w:tcPr>
          <w:p w14:paraId="298AFF20" w14:textId="77777777" w:rsidR="00C424E0" w:rsidRDefault="00C424E0">
            <w:pPr>
              <w:jc w:val="center"/>
              <w:rPr>
                <w:rFonts w:hint="cs"/>
                <w:b/>
                <w:bCs/>
                <w:color w:val="000000"/>
                <w:sz w:val="16"/>
                <w:szCs w:val="16"/>
                <w:rtl/>
              </w:rPr>
            </w:pPr>
            <w:r>
              <w:rPr>
                <w:rFonts w:hint="cs"/>
                <w:b/>
                <w:bCs/>
                <w:color w:val="000000"/>
                <w:sz w:val="16"/>
                <w:szCs w:val="16"/>
                <w:rtl/>
              </w:rPr>
              <w:t>סך עודף שהועבר ב-2024</w:t>
            </w:r>
          </w:p>
        </w:tc>
        <w:tc>
          <w:tcPr>
            <w:tcW w:w="986" w:type="pct"/>
            <w:tcBorders>
              <w:top w:val="single" w:sz="8" w:space="0" w:color="979991"/>
              <w:left w:val="single" w:sz="8" w:space="0" w:color="979991"/>
              <w:bottom w:val="single" w:sz="8" w:space="0" w:color="979991"/>
              <w:right w:val="single" w:sz="8" w:space="0" w:color="979991"/>
            </w:tcBorders>
            <w:shd w:val="clear" w:color="auto" w:fill="F0F4FA"/>
            <w:tcMar>
              <w:top w:w="0" w:type="dxa"/>
              <w:left w:w="108" w:type="dxa"/>
              <w:bottom w:w="0" w:type="dxa"/>
              <w:right w:w="108" w:type="dxa"/>
            </w:tcMar>
            <w:vAlign w:val="center"/>
            <w:hideMark/>
          </w:tcPr>
          <w:p w14:paraId="546A3FD9" w14:textId="77777777" w:rsidR="00C424E0" w:rsidRDefault="00C424E0">
            <w:pPr>
              <w:jc w:val="center"/>
              <w:rPr>
                <w:rFonts w:hint="cs"/>
                <w:b/>
                <w:bCs/>
                <w:color w:val="000000"/>
                <w:sz w:val="16"/>
                <w:szCs w:val="16"/>
                <w:rtl/>
              </w:rPr>
            </w:pPr>
            <w:r>
              <w:rPr>
                <w:rFonts w:hint="cs"/>
                <w:b/>
                <w:bCs/>
                <w:color w:val="000000"/>
                <w:sz w:val="16"/>
                <w:szCs w:val="16"/>
                <w:rtl/>
              </w:rPr>
              <w:t>סך עודף שהועבר ב-2023</w:t>
            </w:r>
          </w:p>
        </w:tc>
      </w:tr>
      <w:tr w:rsidR="00C424E0" w14:paraId="28C67A38" w14:textId="77777777" w:rsidTr="00C424E0">
        <w:trPr>
          <w:trHeight w:val="300"/>
        </w:trPr>
        <w:tc>
          <w:tcPr>
            <w:tcW w:w="967" w:type="pct"/>
            <w:tcBorders>
              <w:top w:val="single" w:sz="8" w:space="0" w:color="979991"/>
              <w:left w:val="single" w:sz="8" w:space="0" w:color="979991"/>
              <w:bottom w:val="single" w:sz="8" w:space="0" w:color="979991"/>
              <w:right w:val="nil"/>
            </w:tcBorders>
            <w:shd w:val="clear" w:color="auto" w:fill="F0F4FA"/>
            <w:tcMar>
              <w:top w:w="0" w:type="dxa"/>
              <w:left w:w="108" w:type="dxa"/>
              <w:bottom w:w="0" w:type="dxa"/>
              <w:right w:w="108" w:type="dxa"/>
            </w:tcMar>
            <w:vAlign w:val="center"/>
            <w:hideMark/>
          </w:tcPr>
          <w:p w14:paraId="6EEEBBE1" w14:textId="77777777" w:rsidR="00C424E0" w:rsidRDefault="00C424E0">
            <w:pPr>
              <w:jc w:val="center"/>
              <w:rPr>
                <w:rFonts w:hint="cs"/>
                <w:color w:val="000000"/>
                <w:sz w:val="16"/>
                <w:szCs w:val="16"/>
                <w:rtl/>
              </w:rPr>
            </w:pPr>
            <w:r>
              <w:rPr>
                <w:color w:val="000000"/>
                <w:sz w:val="16"/>
                <w:szCs w:val="16"/>
              </w:rPr>
              <w:t>420101</w:t>
            </w:r>
          </w:p>
        </w:tc>
        <w:tc>
          <w:tcPr>
            <w:tcW w:w="1111" w:type="pct"/>
            <w:tcBorders>
              <w:top w:val="nil"/>
              <w:left w:val="single" w:sz="8" w:space="0" w:color="979991"/>
              <w:bottom w:val="single" w:sz="8" w:space="0" w:color="979991"/>
              <w:right w:val="nil"/>
            </w:tcBorders>
            <w:shd w:val="clear" w:color="auto" w:fill="FFFFFF"/>
            <w:tcMar>
              <w:top w:w="0" w:type="dxa"/>
              <w:left w:w="108" w:type="dxa"/>
              <w:bottom w:w="0" w:type="dxa"/>
              <w:right w:w="108" w:type="dxa"/>
            </w:tcMar>
            <w:vAlign w:val="center"/>
            <w:hideMark/>
          </w:tcPr>
          <w:p w14:paraId="57AA969B" w14:textId="77777777" w:rsidR="00C424E0" w:rsidRDefault="00C424E0">
            <w:pPr>
              <w:jc w:val="center"/>
              <w:rPr>
                <w:color w:val="000000"/>
                <w:sz w:val="16"/>
                <w:szCs w:val="16"/>
              </w:rPr>
            </w:pPr>
            <w:r>
              <w:rPr>
                <w:color w:val="000000"/>
                <w:sz w:val="16"/>
                <w:szCs w:val="16"/>
              </w:rPr>
              <w:t>37,457</w:t>
            </w:r>
          </w:p>
        </w:tc>
        <w:tc>
          <w:tcPr>
            <w:tcW w:w="968" w:type="pct"/>
            <w:tcBorders>
              <w:top w:val="nil"/>
              <w:left w:val="single" w:sz="8" w:space="0" w:color="979991"/>
              <w:bottom w:val="single" w:sz="8" w:space="0" w:color="979991"/>
              <w:right w:val="nil"/>
            </w:tcBorders>
            <w:shd w:val="clear" w:color="auto" w:fill="FFFFFF"/>
            <w:tcMar>
              <w:top w:w="0" w:type="dxa"/>
              <w:left w:w="108" w:type="dxa"/>
              <w:bottom w:w="0" w:type="dxa"/>
              <w:right w:w="108" w:type="dxa"/>
            </w:tcMar>
            <w:vAlign w:val="center"/>
            <w:hideMark/>
          </w:tcPr>
          <w:p w14:paraId="4660997E" w14:textId="77777777" w:rsidR="00C424E0" w:rsidRDefault="00C424E0">
            <w:pPr>
              <w:jc w:val="center"/>
              <w:rPr>
                <w:color w:val="000000"/>
                <w:sz w:val="16"/>
                <w:szCs w:val="16"/>
              </w:rPr>
            </w:pPr>
            <w:r>
              <w:rPr>
                <w:color w:val="000000"/>
                <w:sz w:val="16"/>
                <w:szCs w:val="16"/>
              </w:rPr>
              <w:t>15,826</w:t>
            </w:r>
          </w:p>
        </w:tc>
        <w:tc>
          <w:tcPr>
            <w:tcW w:w="968" w:type="pct"/>
            <w:tcBorders>
              <w:top w:val="nil"/>
              <w:left w:val="single" w:sz="8" w:space="0" w:color="979991"/>
              <w:bottom w:val="single" w:sz="8" w:space="0" w:color="979991"/>
              <w:right w:val="nil"/>
            </w:tcBorders>
            <w:shd w:val="clear" w:color="auto" w:fill="FFFFFF"/>
            <w:tcMar>
              <w:top w:w="0" w:type="dxa"/>
              <w:left w:w="108" w:type="dxa"/>
              <w:bottom w:w="0" w:type="dxa"/>
              <w:right w:w="108" w:type="dxa"/>
            </w:tcMar>
            <w:vAlign w:val="center"/>
            <w:hideMark/>
          </w:tcPr>
          <w:p w14:paraId="02ED40CF" w14:textId="77777777" w:rsidR="00C424E0" w:rsidRDefault="00C424E0">
            <w:pPr>
              <w:jc w:val="center"/>
              <w:rPr>
                <w:color w:val="000000"/>
                <w:sz w:val="16"/>
                <w:szCs w:val="16"/>
              </w:rPr>
            </w:pPr>
            <w:r>
              <w:rPr>
                <w:color w:val="000000"/>
                <w:sz w:val="16"/>
                <w:szCs w:val="16"/>
              </w:rPr>
              <w:t>15,035</w:t>
            </w:r>
          </w:p>
        </w:tc>
        <w:tc>
          <w:tcPr>
            <w:tcW w:w="986" w:type="pct"/>
            <w:tcBorders>
              <w:top w:val="nil"/>
              <w:left w:val="single" w:sz="8" w:space="0" w:color="979991"/>
              <w:bottom w:val="single" w:sz="8" w:space="0" w:color="979991"/>
              <w:right w:val="single" w:sz="8" w:space="0" w:color="979991"/>
            </w:tcBorders>
            <w:shd w:val="clear" w:color="auto" w:fill="FFFFFF"/>
            <w:tcMar>
              <w:top w:w="0" w:type="dxa"/>
              <w:left w:w="108" w:type="dxa"/>
              <w:bottom w:w="0" w:type="dxa"/>
              <w:right w:w="108" w:type="dxa"/>
            </w:tcMar>
            <w:vAlign w:val="center"/>
            <w:hideMark/>
          </w:tcPr>
          <w:p w14:paraId="62DBE3FE" w14:textId="77777777" w:rsidR="00C424E0" w:rsidRDefault="00C424E0">
            <w:pPr>
              <w:jc w:val="center"/>
              <w:rPr>
                <w:color w:val="000000"/>
                <w:sz w:val="16"/>
                <w:szCs w:val="16"/>
              </w:rPr>
            </w:pPr>
            <w:r>
              <w:rPr>
                <w:color w:val="000000"/>
                <w:sz w:val="16"/>
                <w:szCs w:val="16"/>
              </w:rPr>
              <w:t>14,045</w:t>
            </w:r>
          </w:p>
        </w:tc>
      </w:tr>
      <w:tr w:rsidR="00C424E0" w14:paraId="48F4C419" w14:textId="77777777" w:rsidTr="00C424E0">
        <w:trPr>
          <w:trHeight w:val="300"/>
        </w:trPr>
        <w:tc>
          <w:tcPr>
            <w:tcW w:w="967" w:type="pct"/>
            <w:tcBorders>
              <w:top w:val="nil"/>
              <w:left w:val="single" w:sz="8" w:space="0" w:color="979991"/>
              <w:bottom w:val="single" w:sz="8" w:space="0" w:color="979991"/>
              <w:right w:val="nil"/>
            </w:tcBorders>
            <w:shd w:val="clear" w:color="auto" w:fill="F0F4FA"/>
            <w:tcMar>
              <w:top w:w="0" w:type="dxa"/>
              <w:left w:w="108" w:type="dxa"/>
              <w:bottom w:w="0" w:type="dxa"/>
              <w:right w:w="108" w:type="dxa"/>
            </w:tcMar>
            <w:vAlign w:val="center"/>
            <w:hideMark/>
          </w:tcPr>
          <w:p w14:paraId="614B72E2" w14:textId="77777777" w:rsidR="00C424E0" w:rsidRDefault="00C424E0">
            <w:pPr>
              <w:jc w:val="center"/>
              <w:rPr>
                <w:color w:val="000000"/>
                <w:sz w:val="16"/>
                <w:szCs w:val="16"/>
              </w:rPr>
            </w:pPr>
            <w:r>
              <w:rPr>
                <w:color w:val="000000"/>
                <w:sz w:val="16"/>
                <w:szCs w:val="16"/>
              </w:rPr>
              <w:t>420201</w:t>
            </w:r>
          </w:p>
        </w:tc>
        <w:tc>
          <w:tcPr>
            <w:tcW w:w="1111" w:type="pct"/>
            <w:tcBorders>
              <w:top w:val="nil"/>
              <w:left w:val="single" w:sz="8" w:space="0" w:color="979991"/>
              <w:bottom w:val="single" w:sz="8" w:space="0" w:color="979991"/>
              <w:right w:val="nil"/>
            </w:tcBorders>
            <w:shd w:val="clear" w:color="auto" w:fill="FFFFFF"/>
            <w:tcMar>
              <w:top w:w="0" w:type="dxa"/>
              <w:left w:w="108" w:type="dxa"/>
              <w:bottom w:w="0" w:type="dxa"/>
              <w:right w:w="108" w:type="dxa"/>
            </w:tcMar>
            <w:vAlign w:val="center"/>
            <w:hideMark/>
          </w:tcPr>
          <w:p w14:paraId="26833F50" w14:textId="77777777" w:rsidR="00C424E0" w:rsidRDefault="00C424E0">
            <w:pPr>
              <w:jc w:val="center"/>
              <w:rPr>
                <w:color w:val="000000"/>
                <w:sz w:val="16"/>
                <w:szCs w:val="16"/>
              </w:rPr>
            </w:pPr>
            <w:r>
              <w:rPr>
                <w:color w:val="000000"/>
                <w:sz w:val="16"/>
                <w:szCs w:val="16"/>
              </w:rPr>
              <w:t>1,841</w:t>
            </w:r>
          </w:p>
        </w:tc>
        <w:tc>
          <w:tcPr>
            <w:tcW w:w="968" w:type="pct"/>
            <w:tcBorders>
              <w:top w:val="nil"/>
              <w:left w:val="single" w:sz="8" w:space="0" w:color="979991"/>
              <w:bottom w:val="single" w:sz="8" w:space="0" w:color="979991"/>
              <w:right w:val="nil"/>
            </w:tcBorders>
            <w:shd w:val="clear" w:color="auto" w:fill="FFFFFF"/>
            <w:tcMar>
              <w:top w:w="0" w:type="dxa"/>
              <w:left w:w="108" w:type="dxa"/>
              <w:bottom w:w="0" w:type="dxa"/>
              <w:right w:w="108" w:type="dxa"/>
            </w:tcMar>
            <w:vAlign w:val="center"/>
            <w:hideMark/>
          </w:tcPr>
          <w:p w14:paraId="1420B988" w14:textId="77777777" w:rsidR="00C424E0" w:rsidRDefault="00C424E0">
            <w:pPr>
              <w:jc w:val="center"/>
              <w:rPr>
                <w:color w:val="000000"/>
                <w:sz w:val="16"/>
                <w:szCs w:val="16"/>
              </w:rPr>
            </w:pPr>
            <w:r>
              <w:rPr>
                <w:color w:val="000000"/>
                <w:sz w:val="16"/>
                <w:szCs w:val="16"/>
              </w:rPr>
              <w:t>0</w:t>
            </w:r>
          </w:p>
        </w:tc>
        <w:tc>
          <w:tcPr>
            <w:tcW w:w="968" w:type="pct"/>
            <w:tcBorders>
              <w:top w:val="nil"/>
              <w:left w:val="single" w:sz="8" w:space="0" w:color="979991"/>
              <w:bottom w:val="single" w:sz="8" w:space="0" w:color="979991"/>
              <w:right w:val="nil"/>
            </w:tcBorders>
            <w:shd w:val="clear" w:color="auto" w:fill="FFFFFF"/>
            <w:tcMar>
              <w:top w:w="0" w:type="dxa"/>
              <w:left w:w="108" w:type="dxa"/>
              <w:bottom w:w="0" w:type="dxa"/>
              <w:right w:w="108" w:type="dxa"/>
            </w:tcMar>
            <w:vAlign w:val="center"/>
            <w:hideMark/>
          </w:tcPr>
          <w:p w14:paraId="467A453D" w14:textId="77777777" w:rsidR="00C424E0" w:rsidRDefault="00C424E0">
            <w:pPr>
              <w:jc w:val="center"/>
              <w:rPr>
                <w:color w:val="000000"/>
                <w:sz w:val="16"/>
                <w:szCs w:val="16"/>
              </w:rPr>
            </w:pPr>
            <w:r>
              <w:rPr>
                <w:color w:val="000000"/>
                <w:sz w:val="16"/>
                <w:szCs w:val="16"/>
              </w:rPr>
              <w:t>0</w:t>
            </w:r>
          </w:p>
        </w:tc>
        <w:tc>
          <w:tcPr>
            <w:tcW w:w="986" w:type="pct"/>
            <w:tcBorders>
              <w:top w:val="nil"/>
              <w:left w:val="single" w:sz="8" w:space="0" w:color="979991"/>
              <w:bottom w:val="single" w:sz="8" w:space="0" w:color="979991"/>
              <w:right w:val="single" w:sz="8" w:space="0" w:color="979991"/>
            </w:tcBorders>
            <w:shd w:val="clear" w:color="auto" w:fill="FFFFFF"/>
            <w:tcMar>
              <w:top w:w="0" w:type="dxa"/>
              <w:left w:w="108" w:type="dxa"/>
              <w:bottom w:w="0" w:type="dxa"/>
              <w:right w:w="108" w:type="dxa"/>
            </w:tcMar>
            <w:vAlign w:val="center"/>
            <w:hideMark/>
          </w:tcPr>
          <w:p w14:paraId="5BBEFCCA" w14:textId="77777777" w:rsidR="00C424E0" w:rsidRDefault="00C424E0">
            <w:pPr>
              <w:jc w:val="center"/>
              <w:rPr>
                <w:color w:val="000000"/>
                <w:sz w:val="16"/>
                <w:szCs w:val="16"/>
              </w:rPr>
            </w:pPr>
            <w:r>
              <w:rPr>
                <w:color w:val="000000"/>
                <w:sz w:val="16"/>
                <w:szCs w:val="16"/>
              </w:rPr>
              <w:t>0</w:t>
            </w:r>
          </w:p>
        </w:tc>
      </w:tr>
      <w:tr w:rsidR="00C424E0" w14:paraId="19A8944C" w14:textId="77777777" w:rsidTr="00C424E0">
        <w:trPr>
          <w:trHeight w:val="300"/>
        </w:trPr>
        <w:tc>
          <w:tcPr>
            <w:tcW w:w="967" w:type="pct"/>
            <w:tcBorders>
              <w:top w:val="nil"/>
              <w:left w:val="single" w:sz="8" w:space="0" w:color="979991"/>
              <w:bottom w:val="single" w:sz="8" w:space="0" w:color="979991"/>
              <w:right w:val="nil"/>
            </w:tcBorders>
            <w:shd w:val="clear" w:color="auto" w:fill="F0F4FA"/>
            <w:tcMar>
              <w:top w:w="0" w:type="dxa"/>
              <w:left w:w="108" w:type="dxa"/>
              <w:bottom w:w="0" w:type="dxa"/>
              <w:right w:w="108" w:type="dxa"/>
            </w:tcMar>
            <w:vAlign w:val="center"/>
            <w:hideMark/>
          </w:tcPr>
          <w:p w14:paraId="7113D071" w14:textId="77777777" w:rsidR="00C424E0" w:rsidRDefault="00C424E0">
            <w:pPr>
              <w:jc w:val="center"/>
              <w:rPr>
                <w:color w:val="000000"/>
                <w:sz w:val="16"/>
                <w:szCs w:val="16"/>
              </w:rPr>
            </w:pPr>
            <w:r>
              <w:rPr>
                <w:color w:val="000000"/>
                <w:sz w:val="16"/>
                <w:szCs w:val="16"/>
              </w:rPr>
              <w:t>420301</w:t>
            </w:r>
          </w:p>
        </w:tc>
        <w:tc>
          <w:tcPr>
            <w:tcW w:w="1111" w:type="pct"/>
            <w:tcBorders>
              <w:top w:val="nil"/>
              <w:left w:val="single" w:sz="8" w:space="0" w:color="979991"/>
              <w:bottom w:val="single" w:sz="8" w:space="0" w:color="979991"/>
              <w:right w:val="nil"/>
            </w:tcBorders>
            <w:shd w:val="clear" w:color="auto" w:fill="FFFFFF"/>
            <w:tcMar>
              <w:top w:w="0" w:type="dxa"/>
              <w:left w:w="108" w:type="dxa"/>
              <w:bottom w:w="0" w:type="dxa"/>
              <w:right w:w="108" w:type="dxa"/>
            </w:tcMar>
            <w:vAlign w:val="center"/>
            <w:hideMark/>
          </w:tcPr>
          <w:p w14:paraId="20306555" w14:textId="77777777" w:rsidR="00C424E0" w:rsidRDefault="00C424E0">
            <w:pPr>
              <w:jc w:val="center"/>
              <w:rPr>
                <w:color w:val="000000"/>
                <w:sz w:val="16"/>
                <w:szCs w:val="16"/>
              </w:rPr>
            </w:pPr>
            <w:r>
              <w:rPr>
                <w:color w:val="000000"/>
                <w:sz w:val="16"/>
                <w:szCs w:val="16"/>
              </w:rPr>
              <w:t>11,683</w:t>
            </w:r>
          </w:p>
        </w:tc>
        <w:tc>
          <w:tcPr>
            <w:tcW w:w="968" w:type="pct"/>
            <w:tcBorders>
              <w:top w:val="nil"/>
              <w:left w:val="single" w:sz="8" w:space="0" w:color="979991"/>
              <w:bottom w:val="single" w:sz="8" w:space="0" w:color="979991"/>
              <w:right w:val="nil"/>
            </w:tcBorders>
            <w:shd w:val="clear" w:color="auto" w:fill="FFFFFF"/>
            <w:tcMar>
              <w:top w:w="0" w:type="dxa"/>
              <w:left w:w="108" w:type="dxa"/>
              <w:bottom w:w="0" w:type="dxa"/>
              <w:right w:w="108" w:type="dxa"/>
            </w:tcMar>
            <w:vAlign w:val="center"/>
            <w:hideMark/>
          </w:tcPr>
          <w:p w14:paraId="7BAC1F1A" w14:textId="77777777" w:rsidR="00C424E0" w:rsidRDefault="00C424E0">
            <w:pPr>
              <w:jc w:val="center"/>
              <w:rPr>
                <w:color w:val="000000"/>
                <w:sz w:val="16"/>
                <w:szCs w:val="16"/>
              </w:rPr>
            </w:pPr>
            <w:r>
              <w:rPr>
                <w:color w:val="000000"/>
                <w:sz w:val="16"/>
                <w:szCs w:val="16"/>
              </w:rPr>
              <w:t>3,104</w:t>
            </w:r>
          </w:p>
        </w:tc>
        <w:tc>
          <w:tcPr>
            <w:tcW w:w="968" w:type="pct"/>
            <w:tcBorders>
              <w:top w:val="nil"/>
              <w:left w:val="single" w:sz="8" w:space="0" w:color="979991"/>
              <w:bottom w:val="single" w:sz="8" w:space="0" w:color="979991"/>
              <w:right w:val="nil"/>
            </w:tcBorders>
            <w:shd w:val="clear" w:color="auto" w:fill="FFFFFF"/>
            <w:tcMar>
              <w:top w:w="0" w:type="dxa"/>
              <w:left w:w="108" w:type="dxa"/>
              <w:bottom w:w="0" w:type="dxa"/>
              <w:right w:w="108" w:type="dxa"/>
            </w:tcMar>
            <w:vAlign w:val="center"/>
            <w:hideMark/>
          </w:tcPr>
          <w:p w14:paraId="1532359D" w14:textId="77777777" w:rsidR="00C424E0" w:rsidRDefault="00C424E0">
            <w:pPr>
              <w:jc w:val="center"/>
              <w:rPr>
                <w:color w:val="000000"/>
                <w:sz w:val="16"/>
                <w:szCs w:val="16"/>
              </w:rPr>
            </w:pPr>
            <w:r>
              <w:rPr>
                <w:color w:val="000000"/>
                <w:sz w:val="16"/>
                <w:szCs w:val="16"/>
              </w:rPr>
              <w:t>30,334</w:t>
            </w:r>
          </w:p>
        </w:tc>
        <w:tc>
          <w:tcPr>
            <w:tcW w:w="986" w:type="pct"/>
            <w:tcBorders>
              <w:top w:val="nil"/>
              <w:left w:val="single" w:sz="8" w:space="0" w:color="979991"/>
              <w:bottom w:val="single" w:sz="8" w:space="0" w:color="979991"/>
              <w:right w:val="single" w:sz="8" w:space="0" w:color="979991"/>
            </w:tcBorders>
            <w:shd w:val="clear" w:color="auto" w:fill="FFFFFF"/>
            <w:tcMar>
              <w:top w:w="0" w:type="dxa"/>
              <w:left w:w="108" w:type="dxa"/>
              <w:bottom w:w="0" w:type="dxa"/>
              <w:right w:w="108" w:type="dxa"/>
            </w:tcMar>
            <w:vAlign w:val="center"/>
            <w:hideMark/>
          </w:tcPr>
          <w:p w14:paraId="423F839A" w14:textId="77777777" w:rsidR="00C424E0" w:rsidRDefault="00C424E0">
            <w:pPr>
              <w:jc w:val="center"/>
              <w:rPr>
                <w:color w:val="000000"/>
                <w:sz w:val="16"/>
                <w:szCs w:val="16"/>
              </w:rPr>
            </w:pPr>
            <w:r>
              <w:rPr>
                <w:color w:val="000000"/>
                <w:sz w:val="16"/>
                <w:szCs w:val="16"/>
              </w:rPr>
              <w:t>14,370</w:t>
            </w:r>
          </w:p>
        </w:tc>
      </w:tr>
    </w:tbl>
    <w:p w14:paraId="7CE5FE95" w14:textId="77777777" w:rsidR="00C424E0" w:rsidRDefault="00C424E0">
      <w:pPr>
        <w:rPr>
          <w:rFonts w:cs="FrankRuehl"/>
          <w:sz w:val="26"/>
          <w:szCs w:val="26"/>
          <w:rtl/>
        </w:rPr>
      </w:pPr>
    </w:p>
    <w:p w14:paraId="272DE927" w14:textId="2756446D" w:rsidR="00C424E0" w:rsidRDefault="00C424E0">
      <w:pPr>
        <w:rPr>
          <w:rFonts w:cs="FrankRuehl"/>
          <w:sz w:val="26"/>
          <w:szCs w:val="26"/>
          <w:rtl/>
        </w:rPr>
      </w:pPr>
    </w:p>
    <w:p w14:paraId="338BD979" w14:textId="1722C290" w:rsidR="00C424E0" w:rsidRDefault="00C424E0">
      <w:pPr>
        <w:rPr>
          <w:rFonts w:cs="FrankRuehl"/>
          <w:sz w:val="26"/>
          <w:szCs w:val="26"/>
          <w:rtl/>
        </w:rPr>
      </w:pPr>
    </w:p>
    <w:p w14:paraId="2B8ECC5B" w14:textId="77777777" w:rsidR="00C424E0" w:rsidRPr="000A3FA0" w:rsidRDefault="00C424E0">
      <w:pPr>
        <w:rPr>
          <w:rFonts w:cs="FrankRuehl"/>
          <w:sz w:val="26"/>
          <w:szCs w:val="26"/>
          <w:rtl/>
        </w:rPr>
      </w:pPr>
    </w:p>
    <w:sectPr w:rsidR="00C424E0" w:rsidRPr="000A3FA0" w:rsidSect="00A32326">
      <w:headerReference w:type="even" r:id="rId6"/>
      <w:headerReference w:type="default" r:id="rId7"/>
      <w:footerReference w:type="even" r:id="rId8"/>
      <w:footerReference w:type="default" r:id="rId9"/>
      <w:headerReference w:type="first" r:id="rId10"/>
      <w:footerReference w:type="first" r:id="rId11"/>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88C7F" w14:textId="77777777" w:rsidR="00644F8A" w:rsidRDefault="00644F8A" w:rsidP="00A32326">
      <w:r>
        <w:separator/>
      </w:r>
    </w:p>
  </w:endnote>
  <w:endnote w:type="continuationSeparator" w:id="0">
    <w:p w14:paraId="020D6167" w14:textId="77777777" w:rsidR="00644F8A" w:rsidRDefault="00644F8A" w:rsidP="00A3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90344" w14:textId="77777777" w:rsidR="0096594F" w:rsidRDefault="0096594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388B" w14:textId="77777777" w:rsidR="0096594F" w:rsidRDefault="0096594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6E3B4" w14:textId="77777777" w:rsidR="0096594F" w:rsidRDefault="009659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0C6E1" w14:textId="77777777" w:rsidR="00644F8A" w:rsidRDefault="00644F8A" w:rsidP="00A32326">
      <w:r>
        <w:separator/>
      </w:r>
    </w:p>
  </w:footnote>
  <w:footnote w:type="continuationSeparator" w:id="0">
    <w:p w14:paraId="3F0214EE" w14:textId="77777777" w:rsidR="00644F8A" w:rsidRDefault="00644F8A" w:rsidP="00A3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F96DB" w14:textId="77777777" w:rsidR="0096594F" w:rsidRDefault="009659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AF248" w14:textId="77777777" w:rsidR="00A32326" w:rsidRPr="00CB5FFD" w:rsidRDefault="00644F8A" w:rsidP="00A32326">
    <w:pPr>
      <w:pStyle w:val="a4"/>
      <w:jc w:val="right"/>
      <w:rPr>
        <w:color w:val="4F81BD"/>
        <w:rtl/>
        <w:cs/>
      </w:rPr>
    </w:pPr>
    <w:r>
      <w:rPr>
        <w:noProof/>
        <w:rtl/>
      </w:rPr>
      <w:pict w14:anchorId="40F116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90pt;margin-top:-88.05pt;width:594.75pt;height:87.3pt;z-index:1;mso-position-horizontal-relative:margin;mso-position-vertical-relative:margin">
          <v:imagedata r:id="rId1" o:title="Header"/>
          <w10:wrap type="square" anchorx="margin" anchory="margin"/>
        </v:shape>
      </w:pict>
    </w:r>
  </w:p>
  <w:p w14:paraId="2F0D6097" w14:textId="77777777" w:rsidR="00A32326" w:rsidRPr="00CB5FFD" w:rsidRDefault="00A32326" w:rsidP="00A32326">
    <w:pPr>
      <w:pStyle w:val="a4"/>
      <w:jc w:val="right"/>
      <w:rPr>
        <w:color w:val="4F81BD"/>
        <w:rtl/>
        <w:cs/>
      </w:rPr>
    </w:pPr>
  </w:p>
  <w:p w14:paraId="2F3F4FAE" w14:textId="77777777" w:rsidR="00A32326" w:rsidRDefault="00A32326" w:rsidP="00A32326">
    <w:pPr>
      <w:pStyle w:val="a4"/>
    </w:pPr>
  </w:p>
  <w:p w14:paraId="2AE0A359" w14:textId="77777777" w:rsidR="00A32326" w:rsidRDefault="00A323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F4051" w14:textId="77777777" w:rsidR="0096594F" w:rsidRDefault="0096594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496B"/>
    <w:rsid w:val="000062C3"/>
    <w:rsid w:val="000A3FA0"/>
    <w:rsid w:val="00411078"/>
    <w:rsid w:val="00507569"/>
    <w:rsid w:val="0051496B"/>
    <w:rsid w:val="00596B46"/>
    <w:rsid w:val="00644F8A"/>
    <w:rsid w:val="007332A2"/>
    <w:rsid w:val="0096594F"/>
    <w:rsid w:val="009D55FC"/>
    <w:rsid w:val="009E3253"/>
    <w:rsid w:val="00A14A9C"/>
    <w:rsid w:val="00A32326"/>
    <w:rsid w:val="00A51CFB"/>
    <w:rsid w:val="00A6761F"/>
    <w:rsid w:val="00AC0FB8"/>
    <w:rsid w:val="00BE74E8"/>
    <w:rsid w:val="00C424E0"/>
    <w:rsid w:val="00C46B20"/>
    <w:rsid w:val="00C81BEB"/>
    <w:rsid w:val="00D00A6A"/>
    <w:rsid w:val="00D02451"/>
    <w:rsid w:val="00D1564D"/>
    <w:rsid w:val="00D15DD5"/>
    <w:rsid w:val="00E15D12"/>
    <w:rsid w:val="00E5395D"/>
    <w:rsid w:val="00F7434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40990448"/>
  <w15:chartTrackingRefBased/>
  <w15:docId w15:val="{48F446EA-7D42-4FD9-9957-F309C84E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A32326"/>
    <w:pPr>
      <w:tabs>
        <w:tab w:val="center" w:pos="4153"/>
        <w:tab w:val="right" w:pos="8306"/>
      </w:tabs>
    </w:pPr>
  </w:style>
  <w:style w:type="paragraph" w:customStyle="1" w:styleId="a6">
    <w:name w:val="כותרת נדון"/>
    <w:basedOn w:val="a"/>
    <w:rPr>
      <w:bCs/>
      <w:szCs w:val="26"/>
      <w:u w:val="single"/>
    </w:rPr>
  </w:style>
  <w:style w:type="paragraph" w:customStyle="1" w:styleId="a7">
    <w:name w:val="מדינת ישראל"/>
    <w:basedOn w:val="a"/>
    <w:pPr>
      <w:jc w:val="center"/>
    </w:pPr>
    <w:rPr>
      <w:b/>
      <w:bCs/>
      <w:szCs w:val="28"/>
    </w:rPr>
  </w:style>
  <w:style w:type="character" w:customStyle="1" w:styleId="a5">
    <w:name w:val="כותרת עליונה תו"/>
    <w:link w:val="a4"/>
    <w:uiPriority w:val="99"/>
    <w:rsid w:val="00A32326"/>
    <w:rPr>
      <w:rFonts w:cs="Narkisim"/>
      <w:szCs w:val="24"/>
      <w:lang w:eastAsia="he-IL"/>
    </w:rPr>
  </w:style>
  <w:style w:type="paragraph" w:styleId="a8">
    <w:name w:val="footer"/>
    <w:basedOn w:val="a"/>
    <w:link w:val="a9"/>
    <w:uiPriority w:val="99"/>
    <w:unhideWhenUsed/>
    <w:rsid w:val="00A32326"/>
    <w:pPr>
      <w:tabs>
        <w:tab w:val="center" w:pos="4153"/>
        <w:tab w:val="right" w:pos="8306"/>
      </w:tabs>
    </w:pPr>
  </w:style>
  <w:style w:type="character" w:customStyle="1" w:styleId="a9">
    <w:name w:val="כותרת תחתונה תו"/>
    <w:link w:val="a8"/>
    <w:uiPriority w:val="99"/>
    <w:rsid w:val="00A32326"/>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389700">
      <w:bodyDiv w:val="1"/>
      <w:marLeft w:val="0"/>
      <w:marRight w:val="0"/>
      <w:marTop w:val="0"/>
      <w:marBottom w:val="0"/>
      <w:divBdr>
        <w:top w:val="none" w:sz="0" w:space="0" w:color="auto"/>
        <w:left w:val="none" w:sz="0" w:space="0" w:color="auto"/>
        <w:bottom w:val="none" w:sz="0" w:space="0" w:color="auto"/>
        <w:right w:val="none" w:sz="0" w:space="0" w:color="auto"/>
      </w:divBdr>
    </w:div>
    <w:div w:id="1752390296">
      <w:bodyDiv w:val="1"/>
      <w:marLeft w:val="0"/>
      <w:marRight w:val="0"/>
      <w:marTop w:val="0"/>
      <w:marBottom w:val="0"/>
      <w:divBdr>
        <w:top w:val="none" w:sz="0" w:space="0" w:color="auto"/>
        <w:left w:val="none" w:sz="0" w:space="0" w:color="auto"/>
        <w:bottom w:val="none" w:sz="0" w:space="0" w:color="auto"/>
        <w:right w:val="none" w:sz="0" w:space="0" w:color="auto"/>
      </w:divBdr>
    </w:div>
    <w:div w:id="199039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368</Words>
  <Characters>1840</Characters>
  <Application>Microsoft Office Word</Application>
  <DocSecurity>0</DocSecurity>
  <Lines>15</Lines>
  <Paragraphs>4</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שמרית יצחקי</cp:lastModifiedBy>
  <cp:revision>6</cp:revision>
  <cp:lastPrinted>1899-12-31T22:00:00Z</cp:lastPrinted>
  <dcterms:created xsi:type="dcterms:W3CDTF">2026-04-28T11:59:00Z</dcterms:created>
  <dcterms:modified xsi:type="dcterms:W3CDTF">2026-04-30T03:48:00Z</dcterms:modified>
</cp:coreProperties>
</file>