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99EE" w14:textId="77777777" w:rsidR="0051496B" w:rsidRDefault="0051496B">
      <w:pPr>
        <w:pStyle w:val="a7"/>
        <w:rPr>
          <w:rtl/>
        </w:rPr>
      </w:pPr>
      <w:r>
        <w:rPr>
          <w:rtl/>
        </w:rPr>
        <w:t>מדינת ישראל</w:t>
      </w:r>
    </w:p>
    <w:p w14:paraId="492A206B" w14:textId="77777777" w:rsidR="0051496B" w:rsidRDefault="0051496B">
      <w:pPr>
        <w:pStyle w:val="a7"/>
        <w:rPr>
          <w:rtl/>
        </w:rPr>
      </w:pPr>
      <w:r>
        <w:rPr>
          <w:rtl/>
        </w:rPr>
        <w:t>האוצר - אגף התקציבים</w:t>
      </w:r>
    </w:p>
    <w:p w14:paraId="702A845B" w14:textId="77777777" w:rsidR="0051496B" w:rsidRDefault="0051496B">
      <w:pPr>
        <w:rPr>
          <w:rtl/>
        </w:rPr>
      </w:pPr>
    </w:p>
    <w:p w14:paraId="2A248EF2" w14:textId="77777777" w:rsidR="0051496B" w:rsidRDefault="0051496B">
      <w:pPr>
        <w:rPr>
          <w:rtl/>
        </w:rPr>
      </w:pPr>
    </w:p>
    <w:p w14:paraId="578CA55E" w14:textId="77777777" w:rsidR="0051496B" w:rsidRPr="000A3FA0" w:rsidRDefault="0051496B">
      <w:pPr>
        <w:tabs>
          <w:tab w:val="left" w:pos="6300"/>
        </w:tabs>
        <w:rPr>
          <w:rFonts w:cs="FrankRuehl"/>
          <w:sz w:val="26"/>
          <w:szCs w:val="26"/>
          <w:rtl/>
        </w:rPr>
      </w:pPr>
      <w:r>
        <w:rPr>
          <w:rtl/>
        </w:rPr>
        <w:tab/>
      </w:r>
      <w:bookmarkStart w:id="0" w:name="TAKZIV8"/>
      <w:bookmarkEnd w:id="0"/>
    </w:p>
    <w:p w14:paraId="49B0DD9E"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2132C167"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33325F71" w14:textId="0F3AD318"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E84A39">
        <w:rPr>
          <w:rFonts w:cs="FrankRuehl"/>
          <w:sz w:val="26"/>
          <w:szCs w:val="26"/>
          <w:rtl/>
        </w:rPr>
        <w:t>001</w:t>
      </w:r>
      <w:bookmarkEnd w:id="2"/>
      <w:r w:rsidRPr="000A3FA0">
        <w:rPr>
          <w:rFonts w:cs="FrankRuehl"/>
          <w:sz w:val="26"/>
          <w:szCs w:val="26"/>
          <w:rtl/>
        </w:rPr>
        <w:t xml:space="preserve"> - </w:t>
      </w:r>
      <w:bookmarkStart w:id="3" w:name="TAKZIV3"/>
      <w:r w:rsidR="00E84A39">
        <w:rPr>
          <w:rFonts w:cs="FrankRuehl"/>
          <w:sz w:val="26"/>
          <w:szCs w:val="26"/>
          <w:rtl/>
        </w:rPr>
        <w:t>40</w:t>
      </w:r>
      <w:bookmarkEnd w:id="3"/>
    </w:p>
    <w:p w14:paraId="2E842F6B"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01BECA5"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6A52486F" w14:textId="77777777" w:rsidR="0051496B" w:rsidRPr="000A3FA0" w:rsidRDefault="0051496B">
      <w:pPr>
        <w:rPr>
          <w:rFonts w:cs="FrankRuehl"/>
          <w:sz w:val="26"/>
          <w:szCs w:val="26"/>
          <w:rtl/>
        </w:rPr>
      </w:pPr>
      <w:r w:rsidRPr="000A3FA0">
        <w:rPr>
          <w:rFonts w:cs="FrankRuehl"/>
          <w:sz w:val="26"/>
          <w:szCs w:val="26"/>
          <w:rtl/>
        </w:rPr>
        <w:t>לכבוד,</w:t>
      </w:r>
    </w:p>
    <w:p w14:paraId="71B1CA00" w14:textId="77777777" w:rsidR="0051496B" w:rsidRPr="000A3FA0" w:rsidRDefault="0051496B">
      <w:pPr>
        <w:rPr>
          <w:rFonts w:cs="FrankRuehl"/>
          <w:sz w:val="26"/>
          <w:szCs w:val="26"/>
          <w:rtl/>
        </w:rPr>
      </w:pPr>
      <w:r w:rsidRPr="000A3FA0">
        <w:rPr>
          <w:rFonts w:cs="FrankRuehl"/>
          <w:sz w:val="26"/>
          <w:szCs w:val="26"/>
          <w:rtl/>
        </w:rPr>
        <w:t>יו"ר ועדת הכספים</w:t>
      </w:r>
    </w:p>
    <w:p w14:paraId="4C9F4F9F" w14:textId="77777777" w:rsidR="0051496B" w:rsidRPr="000A3FA0" w:rsidRDefault="0051496B">
      <w:pPr>
        <w:rPr>
          <w:rFonts w:cs="FrankRuehl"/>
          <w:sz w:val="26"/>
          <w:szCs w:val="26"/>
          <w:rtl/>
        </w:rPr>
      </w:pPr>
      <w:r w:rsidRPr="000A3FA0">
        <w:rPr>
          <w:rFonts w:cs="FrankRuehl"/>
          <w:sz w:val="26"/>
          <w:szCs w:val="26"/>
          <w:rtl/>
        </w:rPr>
        <w:t>הכנסת</w:t>
      </w:r>
    </w:p>
    <w:p w14:paraId="16BE56B7" w14:textId="77777777" w:rsidR="0051496B" w:rsidRPr="000A3FA0" w:rsidRDefault="0051496B">
      <w:pPr>
        <w:rPr>
          <w:rFonts w:cs="FrankRuehl"/>
          <w:sz w:val="26"/>
          <w:szCs w:val="26"/>
          <w:rtl/>
        </w:rPr>
      </w:pPr>
    </w:p>
    <w:p w14:paraId="1F1156B1" w14:textId="77777777" w:rsidR="0051496B" w:rsidRPr="000A3FA0" w:rsidRDefault="0051496B">
      <w:pPr>
        <w:rPr>
          <w:rFonts w:cs="FrankRuehl"/>
          <w:sz w:val="26"/>
          <w:szCs w:val="26"/>
          <w:rtl/>
        </w:rPr>
      </w:pPr>
      <w:r w:rsidRPr="000A3FA0">
        <w:rPr>
          <w:rFonts w:cs="FrankRuehl"/>
          <w:sz w:val="26"/>
          <w:szCs w:val="26"/>
          <w:rtl/>
        </w:rPr>
        <w:t>א.נ.,</w:t>
      </w:r>
    </w:p>
    <w:p w14:paraId="77377E38" w14:textId="77777777" w:rsidR="0051496B" w:rsidRPr="000A3FA0" w:rsidRDefault="0051496B">
      <w:pPr>
        <w:rPr>
          <w:rFonts w:cs="FrankRuehl"/>
          <w:sz w:val="26"/>
          <w:szCs w:val="26"/>
          <w:rtl/>
        </w:rPr>
      </w:pPr>
    </w:p>
    <w:p w14:paraId="26F213D8" w14:textId="361BA6C3"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E84A39">
        <w:rPr>
          <w:rFonts w:cs="FrankRuehl"/>
          <w:sz w:val="26"/>
          <w:rtl/>
        </w:rPr>
        <w:t>2026</w:t>
      </w:r>
      <w:bookmarkEnd w:id="5"/>
      <w:r w:rsidRPr="000A3FA0">
        <w:rPr>
          <w:rFonts w:cs="FrankRuehl"/>
          <w:sz w:val="26"/>
          <w:rtl/>
        </w:rPr>
        <w:t xml:space="preserve">     </w:t>
      </w:r>
    </w:p>
    <w:p w14:paraId="2FF015B8" w14:textId="77777777" w:rsidR="0051496B" w:rsidRPr="000A3FA0" w:rsidRDefault="0051496B" w:rsidP="00A6761F">
      <w:pPr>
        <w:jc w:val="both"/>
        <w:rPr>
          <w:rFonts w:cs="FrankRuehl"/>
          <w:sz w:val="26"/>
          <w:szCs w:val="26"/>
          <w:rtl/>
        </w:rPr>
      </w:pPr>
    </w:p>
    <w:p w14:paraId="043682E6" w14:textId="3AD9D5FE" w:rsidR="0051496B" w:rsidRPr="000A3FA0" w:rsidRDefault="0051496B" w:rsidP="004D79B6">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E84A39">
        <w:rPr>
          <w:rFonts w:cs="FrankRuehl"/>
          <w:sz w:val="26"/>
          <w:szCs w:val="26"/>
          <w:rtl/>
        </w:rPr>
        <w:t>188,858</w:t>
      </w:r>
      <w:bookmarkEnd w:id="6"/>
      <w:r w:rsidRPr="000A3FA0">
        <w:rPr>
          <w:rFonts w:cs="FrankRuehl"/>
          <w:sz w:val="26"/>
          <w:szCs w:val="26"/>
          <w:rtl/>
        </w:rPr>
        <w:t xml:space="preserve"> אלפי שקלים חדשים מסעיף </w:t>
      </w:r>
      <w:bookmarkStart w:id="7" w:name="TAKZIV3_1"/>
      <w:r w:rsidR="00E84A39">
        <w:rPr>
          <w:rFonts w:cs="FrankRuehl"/>
          <w:sz w:val="26"/>
          <w:szCs w:val="26"/>
          <w:rtl/>
        </w:rPr>
        <w:t>40</w:t>
      </w:r>
      <w:bookmarkEnd w:id="7"/>
      <w:r w:rsidRPr="000A3FA0">
        <w:rPr>
          <w:rFonts w:cs="FrankRuehl"/>
          <w:sz w:val="26"/>
          <w:szCs w:val="26"/>
          <w:rtl/>
        </w:rPr>
        <w:t xml:space="preserve"> - </w:t>
      </w:r>
      <w:bookmarkStart w:id="8" w:name="TAKZIV6_2"/>
      <w:r w:rsidR="00E84A39">
        <w:rPr>
          <w:rFonts w:cs="FrankRuehl"/>
          <w:sz w:val="26"/>
          <w:szCs w:val="26"/>
          <w:rtl/>
        </w:rPr>
        <w:t>משרד התחבורה</w:t>
      </w:r>
      <w:bookmarkEnd w:id="8"/>
      <w:r w:rsidRPr="000A3FA0">
        <w:rPr>
          <w:rFonts w:cs="FrankRuehl"/>
          <w:sz w:val="26"/>
          <w:szCs w:val="26"/>
          <w:rtl/>
        </w:rPr>
        <w:t xml:space="preserve"> משנת הכספים </w:t>
      </w:r>
      <w:bookmarkStart w:id="9" w:name="TAKZIV2_1"/>
      <w:r w:rsidR="00E84A39">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E84A39">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FB26A8">
        <w:rPr>
          <w:rFonts w:cs="FrankRuehl" w:hint="cs"/>
          <w:sz w:val="26"/>
          <w:szCs w:val="26"/>
          <w:rtl/>
        </w:rPr>
        <w:t xml:space="preserve"> </w:t>
      </w:r>
      <w:r w:rsidRPr="000A3FA0">
        <w:rPr>
          <w:rFonts w:cs="FrankRuehl"/>
          <w:sz w:val="26"/>
          <w:szCs w:val="26"/>
          <w:rtl/>
        </w:rPr>
        <w:t>כמפורט בתדפיס המצורף בזה.</w:t>
      </w:r>
    </w:p>
    <w:p w14:paraId="3A487631" w14:textId="09F3EA98" w:rsidR="0051496B" w:rsidRDefault="0051496B" w:rsidP="004D79B6">
      <w:pPr>
        <w:jc w:val="both"/>
        <w:rPr>
          <w:rFonts w:cs="FrankRuehl"/>
          <w:sz w:val="26"/>
          <w:szCs w:val="26"/>
          <w:rtl/>
        </w:rPr>
      </w:pPr>
    </w:p>
    <w:p w14:paraId="2C7915D1" w14:textId="7DE025D7" w:rsidR="00FB26A8" w:rsidRDefault="00FB26A8" w:rsidP="004D79B6">
      <w:pPr>
        <w:contextualSpacing/>
        <w:jc w:val="both"/>
        <w:rPr>
          <w:rFonts w:ascii="FrankRuehl" w:hAnsi="FrankRuehl" w:cs="FrankRuehl"/>
          <w:b/>
          <w:bCs/>
          <w:sz w:val="26"/>
          <w:szCs w:val="26"/>
          <w:lang w:eastAsia="en-US"/>
        </w:rPr>
      </w:pPr>
      <w:r>
        <w:rPr>
          <w:rFonts w:ascii="FrankRuehl" w:hAnsi="FrankRuehl" w:cs="FrankRuehl"/>
          <w:b/>
          <w:bCs/>
          <w:sz w:val="26"/>
          <w:szCs w:val="26"/>
          <w:rtl/>
        </w:rPr>
        <w:t xml:space="preserve">הבקשה דנה בסעיף תקציבי: </w:t>
      </w:r>
      <w:r>
        <w:rPr>
          <w:rFonts w:ascii="FrankRuehl" w:hAnsi="FrankRuehl" w:cs="FrankRuehl"/>
          <w:sz w:val="26"/>
          <w:szCs w:val="26"/>
          <w:rtl/>
        </w:rPr>
        <w:t xml:space="preserve">40 </w:t>
      </w:r>
      <w:r>
        <w:rPr>
          <w:rFonts w:ascii="FrankRuehl" w:hAnsi="FrankRuehl" w:cs="FrankRuehl" w:hint="cs"/>
          <w:sz w:val="26"/>
          <w:szCs w:val="26"/>
          <w:rtl/>
        </w:rPr>
        <w:t>-</w:t>
      </w:r>
      <w:r>
        <w:rPr>
          <w:rFonts w:ascii="FrankRuehl" w:hAnsi="FrankRuehl" w:cs="FrankRuehl"/>
          <w:sz w:val="26"/>
          <w:szCs w:val="26"/>
          <w:rtl/>
        </w:rPr>
        <w:t xml:space="preserve"> משרד התחבורה</w:t>
      </w:r>
      <w:r>
        <w:rPr>
          <w:rFonts w:ascii="FrankRuehl" w:hAnsi="FrankRuehl" w:cs="FrankRuehl"/>
          <w:b/>
          <w:bCs/>
          <w:sz w:val="26"/>
          <w:szCs w:val="26"/>
          <w:rtl/>
        </w:rPr>
        <w:t xml:space="preserve"> </w:t>
      </w:r>
    </w:p>
    <w:p w14:paraId="3C46BFE1" w14:textId="77777777" w:rsidR="00FB26A8" w:rsidRDefault="00FB26A8" w:rsidP="004D79B6">
      <w:pPr>
        <w:contextualSpacing/>
        <w:jc w:val="both"/>
        <w:rPr>
          <w:rFonts w:ascii="FrankRuehl" w:hAnsi="FrankRuehl" w:cs="FrankRuehl"/>
          <w:b/>
          <w:bCs/>
          <w:sz w:val="26"/>
          <w:szCs w:val="26"/>
        </w:rPr>
      </w:pPr>
    </w:p>
    <w:p w14:paraId="013BE320" w14:textId="77777777" w:rsidR="00FB26A8" w:rsidRDefault="00FB26A8" w:rsidP="004D79B6">
      <w:pPr>
        <w:contextualSpacing/>
        <w:jc w:val="both"/>
        <w:rPr>
          <w:rFonts w:ascii="FrankRuehl" w:hAnsi="FrankRuehl" w:cs="FrankRuehl"/>
          <w:b/>
          <w:bCs/>
          <w:sz w:val="26"/>
          <w:szCs w:val="26"/>
        </w:rPr>
      </w:pPr>
      <w:r>
        <w:rPr>
          <w:rFonts w:ascii="FrankRuehl" w:hAnsi="FrankRuehl" w:cs="FrankRuehl"/>
          <w:b/>
          <w:bCs/>
          <w:sz w:val="26"/>
          <w:szCs w:val="26"/>
          <w:rtl/>
        </w:rPr>
        <w:t>עיקרי הפנייה:</w:t>
      </w:r>
    </w:p>
    <w:p w14:paraId="7184E191" w14:textId="77777777" w:rsidR="00FB26A8" w:rsidRDefault="00FB26A8" w:rsidP="004D79B6">
      <w:pPr>
        <w:contextualSpacing/>
        <w:jc w:val="both"/>
        <w:rPr>
          <w:rFonts w:cs="FrankRuehl"/>
          <w:sz w:val="26"/>
          <w:szCs w:val="26"/>
          <w:rtl/>
        </w:rPr>
      </w:pPr>
      <w:r>
        <w:rPr>
          <w:rFonts w:ascii="FrankRuehl" w:hAnsi="FrankRuehl" w:cs="FrankRuehl"/>
          <w:sz w:val="26"/>
          <w:szCs w:val="26"/>
          <w:rtl/>
        </w:rPr>
        <w:t xml:space="preserve">הפנייה התקציבית נועדה להעברת עודפים משנת התקציב 2025 לשנת התקציב 2026 בסך של 188,858 אלפי ש"ח בהוצאה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התקציב הבאות, וזאת כפי שמפורט להלן:</w:t>
      </w:r>
    </w:p>
    <w:p w14:paraId="11CE788F" w14:textId="77777777" w:rsidR="00FB26A8" w:rsidRDefault="00FB26A8" w:rsidP="004D79B6">
      <w:pPr>
        <w:contextualSpacing/>
        <w:jc w:val="both"/>
        <w:rPr>
          <w:rFonts w:ascii="Narkisim" w:hAnsi="Narkisim" w:cs="FrankRuehl"/>
          <w:sz w:val="24"/>
          <w:rtl/>
        </w:rPr>
      </w:pPr>
    </w:p>
    <w:p w14:paraId="38F3AEC9" w14:textId="77777777" w:rsidR="00FB26A8" w:rsidRDefault="00FB26A8" w:rsidP="004D79B6">
      <w:pPr>
        <w:tabs>
          <w:tab w:val="left" w:pos="397"/>
        </w:tabs>
        <w:contextualSpacing/>
        <w:jc w:val="both"/>
        <w:rPr>
          <w:rFonts w:ascii="Calibri" w:hAnsi="Calibri" w:cs="FrankRuehl"/>
          <w:b/>
          <w:bCs/>
          <w:sz w:val="26"/>
          <w:szCs w:val="26"/>
          <w:rtl/>
        </w:rPr>
      </w:pPr>
      <w:r>
        <w:rPr>
          <w:rFonts w:ascii="FrankRuehl" w:hAnsi="FrankRuehl" w:cs="FrankRuehl"/>
          <w:b/>
          <w:bCs/>
          <w:sz w:val="26"/>
          <w:szCs w:val="26"/>
          <w:rtl/>
        </w:rPr>
        <w:t xml:space="preserve">תכנית 40-50-01: משרד התחבורה ראשי </w:t>
      </w:r>
      <w:r>
        <w:rPr>
          <w:rFonts w:ascii="Calibri" w:hAnsi="Calibri" w:cs="FrankRuehl"/>
          <w:b/>
          <w:bCs/>
          <w:sz w:val="26"/>
          <w:szCs w:val="26"/>
        </w:rPr>
        <w:t xml:space="preserve"> </w:t>
      </w:r>
      <w:r>
        <w:rPr>
          <w:rFonts w:ascii="FrankRuehl" w:hAnsi="FrankRuehl" w:cs="FrankRuehl"/>
          <w:b/>
          <w:bCs/>
          <w:sz w:val="26"/>
          <w:szCs w:val="26"/>
        </w:rPr>
        <w:t>–</w:t>
      </w:r>
      <w:r>
        <w:rPr>
          <w:rFonts w:ascii="FrankRuehl" w:hAnsi="FrankRuehl" w:cs="FrankRuehl"/>
          <w:b/>
          <w:bCs/>
          <w:sz w:val="26"/>
          <w:szCs w:val="26"/>
          <w:rtl/>
        </w:rPr>
        <w:t>103,726 אלפי ש"ח בהוצאה</w:t>
      </w:r>
    </w:p>
    <w:p w14:paraId="77852EA1" w14:textId="77777777" w:rsidR="00FB26A8" w:rsidRDefault="00FB26A8" w:rsidP="004D79B6">
      <w:pPr>
        <w:tabs>
          <w:tab w:val="left" w:pos="794"/>
        </w:tabs>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בתוכנית זו מתוקצבת פעילות הלשכה המרכזית של המשרד הכוללת את אגפי</w:t>
      </w:r>
    </w:p>
    <w:p w14:paraId="4B5ADFFB"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sz w:val="26"/>
          <w:szCs w:val="26"/>
          <w:rtl/>
        </w:rPr>
        <w:t>המטה (אגף כספים, מנהל, לשכה משפטית, לשכות שר ומנכ"ל, מערכות מידע, דוברות וכו'),</w:t>
      </w:r>
    </w:p>
    <w:p w14:paraId="784F8602" w14:textId="77777777" w:rsidR="00FB26A8" w:rsidRDefault="00FB26A8" w:rsidP="004D79B6">
      <w:pPr>
        <w:tabs>
          <w:tab w:val="left" w:pos="794"/>
        </w:tabs>
        <w:contextualSpacing/>
        <w:jc w:val="both"/>
        <w:rPr>
          <w:rFonts w:ascii="FrankRuehl" w:hAnsi="FrankRuehl" w:cs="FrankRuehl"/>
          <w:sz w:val="26"/>
          <w:szCs w:val="26"/>
        </w:rPr>
      </w:pPr>
      <w:proofErr w:type="spellStart"/>
      <w:r>
        <w:rPr>
          <w:rFonts w:ascii="FrankRuehl" w:hAnsi="FrankRuehl" w:cs="FrankRuehl"/>
          <w:sz w:val="26"/>
          <w:szCs w:val="26"/>
          <w:rtl/>
        </w:rPr>
        <w:t>מינהל</w:t>
      </w:r>
      <w:proofErr w:type="spellEnd"/>
      <w:r>
        <w:rPr>
          <w:rFonts w:ascii="FrankRuehl" w:hAnsi="FrankRuehl" w:cs="FrankRuehl"/>
          <w:sz w:val="26"/>
          <w:szCs w:val="26"/>
          <w:rtl/>
        </w:rPr>
        <w:t xml:space="preserve"> תשתיות ותיאום </w:t>
      </w:r>
      <w:proofErr w:type="spellStart"/>
      <w:r>
        <w:rPr>
          <w:rFonts w:ascii="FrankRuehl" w:hAnsi="FrankRuehl" w:cs="FrankRuehl"/>
          <w:sz w:val="26"/>
          <w:szCs w:val="26"/>
          <w:rtl/>
        </w:rPr>
        <w:t>ומינהל</w:t>
      </w:r>
      <w:proofErr w:type="spellEnd"/>
      <w:r>
        <w:rPr>
          <w:rFonts w:ascii="FrankRuehl" w:hAnsi="FrankRuehl" w:cs="FrankRuehl"/>
          <w:sz w:val="26"/>
          <w:szCs w:val="26"/>
          <w:rtl/>
        </w:rPr>
        <w:t xml:space="preserve"> התנועה כולל בוחני תנועה. כ-50% מהתקציב מיועדים לתשלומי</w:t>
      </w:r>
    </w:p>
    <w:p w14:paraId="1DD4F529"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sz w:val="26"/>
          <w:szCs w:val="26"/>
          <w:rtl/>
        </w:rPr>
        <w:t>שכר לכ-550 עובדי המשרד והיתרה מיועדת ברובה להוצאות תפעול שונות ובהן: שכר דירה,</w:t>
      </w:r>
    </w:p>
    <w:p w14:paraId="0DCDF83E"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sz w:val="26"/>
          <w:szCs w:val="26"/>
          <w:rtl/>
        </w:rPr>
        <w:t>ארנונה וחשמל.</w:t>
      </w:r>
    </w:p>
    <w:p w14:paraId="31B92DE7" w14:textId="77777777" w:rsidR="00FB26A8" w:rsidRDefault="00FB26A8" w:rsidP="004D79B6">
      <w:pPr>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822C66B" w14:textId="77777777" w:rsidR="00FB26A8" w:rsidRDefault="00FB26A8" w:rsidP="004D79B6">
      <w:pPr>
        <w:tabs>
          <w:tab w:val="left" w:pos="1247"/>
        </w:tabs>
        <w:contextualSpacing/>
        <w:jc w:val="both"/>
        <w:rPr>
          <w:rFonts w:ascii="FrankRuehl" w:hAnsi="FrankRuehl" w:cs="FrankRuehl"/>
          <w:sz w:val="26"/>
          <w:szCs w:val="26"/>
          <w:rtl/>
        </w:rPr>
      </w:pPr>
      <w:r>
        <w:rPr>
          <w:rFonts w:ascii="FrankRuehl" w:hAnsi="FrankRuehl" w:cs="FrankRuehl"/>
          <w:sz w:val="26"/>
          <w:szCs w:val="26"/>
          <w:rtl/>
        </w:rPr>
        <w:t xml:space="preserve">חוזה אבטחה שמתחדש בכל חודש נובמבר ומירב התשלומים בגינו מבוצעים בשנה העוקבת. </w:t>
      </w:r>
    </w:p>
    <w:p w14:paraId="5922C5FF" w14:textId="77777777" w:rsidR="00FB26A8" w:rsidRDefault="00FB26A8" w:rsidP="004D79B6">
      <w:pPr>
        <w:tabs>
          <w:tab w:val="left" w:pos="1247"/>
        </w:tabs>
        <w:contextualSpacing/>
        <w:jc w:val="both"/>
        <w:rPr>
          <w:rFonts w:ascii="FrankRuehl" w:hAnsi="FrankRuehl" w:cs="FrankRuehl"/>
          <w:sz w:val="26"/>
          <w:szCs w:val="26"/>
        </w:rPr>
      </w:pPr>
      <w:r>
        <w:rPr>
          <w:rFonts w:ascii="FrankRuehl" w:hAnsi="FrankRuehl" w:cs="FrankRuehl"/>
          <w:sz w:val="26"/>
          <w:szCs w:val="26"/>
          <w:rtl/>
        </w:rPr>
        <w:t>יתרות הזמנות לספקים בגין התחייבויות משנת 2025: ארנונה,  חוזה ניקיון,  הוצאות חניה, משלוחי רישיונות רכב והנפקת רישיונות רכב ונהיגה, הוצאות חשמל, יועצים שונים, דמי ניהול ומענה קולי.</w:t>
      </w:r>
    </w:p>
    <w:p w14:paraId="26129A49" w14:textId="77777777" w:rsidR="00FB26A8" w:rsidRDefault="00FB26A8" w:rsidP="004D79B6">
      <w:pPr>
        <w:tabs>
          <w:tab w:val="left" w:pos="1247"/>
        </w:tabs>
        <w:contextualSpacing/>
        <w:jc w:val="both"/>
        <w:rPr>
          <w:rFonts w:ascii="FrankRuehl" w:hAnsi="FrankRuehl" w:cs="FrankRuehl"/>
          <w:sz w:val="26"/>
          <w:szCs w:val="26"/>
        </w:rPr>
      </w:pPr>
      <w:r>
        <w:rPr>
          <w:rFonts w:ascii="FrankRuehl" w:hAnsi="FrankRuehl" w:cs="FrankRuehl"/>
          <w:sz w:val="26"/>
          <w:szCs w:val="26"/>
          <w:rtl/>
        </w:rPr>
        <w:t>הוצאות מחשוב שכוללים הוצאות תחזוקת לתוכנות שונות והוצאות עבור נותני שירותי מחשוב.</w:t>
      </w:r>
    </w:p>
    <w:p w14:paraId="32B5A369" w14:textId="77777777" w:rsidR="00FB26A8" w:rsidRDefault="00FB26A8" w:rsidP="004D79B6">
      <w:pPr>
        <w:tabs>
          <w:tab w:val="left" w:pos="1247"/>
        </w:tabs>
        <w:contextualSpacing/>
        <w:jc w:val="both"/>
        <w:rPr>
          <w:rFonts w:ascii="FrankRuehl" w:hAnsi="FrankRuehl" w:cs="FrankRuehl"/>
          <w:sz w:val="26"/>
          <w:szCs w:val="26"/>
        </w:rPr>
      </w:pPr>
      <w:r>
        <w:rPr>
          <w:rFonts w:ascii="FrankRuehl" w:hAnsi="FrankRuehl" w:cs="FrankRuehl"/>
          <w:sz w:val="26"/>
          <w:szCs w:val="26"/>
          <w:rtl/>
        </w:rPr>
        <w:t xml:space="preserve">מעבר משרד התחבורה לענן במסגרת </w:t>
      </w:r>
      <w:proofErr w:type="spellStart"/>
      <w:r>
        <w:rPr>
          <w:rFonts w:ascii="FrankRuehl" w:hAnsi="FrankRuehl" w:cs="FrankRuehl"/>
          <w:sz w:val="26"/>
          <w:szCs w:val="26"/>
          <w:rtl/>
        </w:rPr>
        <w:t>פרוייקט</w:t>
      </w:r>
      <w:proofErr w:type="spellEnd"/>
      <w:r>
        <w:rPr>
          <w:rFonts w:ascii="FrankRuehl" w:hAnsi="FrankRuehl" w:cs="FrankRuehl"/>
          <w:sz w:val="26"/>
          <w:szCs w:val="26"/>
          <w:rtl/>
        </w:rPr>
        <w:t xml:space="preserve"> הנימבוס והתקנת מערכת ערבה במכוני הרישוי. </w:t>
      </w:r>
    </w:p>
    <w:p w14:paraId="7D4AB228" w14:textId="77777777" w:rsidR="00FB26A8" w:rsidRDefault="00FB26A8" w:rsidP="004D79B6">
      <w:pPr>
        <w:tabs>
          <w:tab w:val="left" w:pos="794"/>
        </w:tabs>
        <w:contextualSpacing/>
        <w:jc w:val="both"/>
        <w:rPr>
          <w:rFonts w:ascii="FrankRuehl" w:hAnsi="FrankRuehl" w:cs="FrankRuehl"/>
          <w:sz w:val="26"/>
          <w:szCs w:val="26"/>
        </w:rPr>
      </w:pPr>
    </w:p>
    <w:p w14:paraId="35A19F85" w14:textId="77777777" w:rsidR="00FB26A8" w:rsidRDefault="00FB26A8" w:rsidP="004D79B6">
      <w:pPr>
        <w:tabs>
          <w:tab w:val="left" w:pos="397"/>
        </w:tabs>
        <w:ind w:left="397" w:hanging="397"/>
        <w:contextualSpacing/>
        <w:jc w:val="both"/>
        <w:rPr>
          <w:rFonts w:ascii="FrankRuehl" w:hAnsi="FrankRuehl" w:cs="FrankRuehl"/>
          <w:b/>
          <w:bCs/>
          <w:sz w:val="26"/>
          <w:szCs w:val="26"/>
        </w:rPr>
      </w:pPr>
      <w:r>
        <w:rPr>
          <w:rFonts w:ascii="FrankRuehl" w:hAnsi="FrankRuehl" w:cs="FrankRuehl"/>
          <w:b/>
          <w:bCs/>
          <w:sz w:val="26"/>
          <w:szCs w:val="26"/>
          <w:rtl/>
        </w:rPr>
        <w:t>40-50-02: השירות המטאורולוגי – 11,468 אלפי ש"ח בהוצאה</w:t>
      </w:r>
    </w:p>
    <w:p w14:paraId="147175E1"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השירות המטאורולוגי מספק מגוון שירותים מטאורולוגיים ושירותים נלווים ברמה הגבוהה ביותר באמצעות ניטור, הכרה, הבנה, ניתוח, וחיזוי מזג האוויר והאקלים באזורנו. השירות המטאורולוגי מקיים קשרי שיתוף פעולה לאומיים ובינלאומיים ועומד בתקנים לאומיים ובינלאומיים. </w:t>
      </w:r>
    </w:p>
    <w:p w14:paraId="5FC3F3EE" w14:textId="77777777" w:rsidR="00FB26A8" w:rsidRDefault="00FB26A8" w:rsidP="004D79B6">
      <w:pPr>
        <w:contextualSpacing/>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7B71DE54" w14:textId="77777777" w:rsidR="00FB26A8" w:rsidRDefault="00FB26A8" w:rsidP="004D79B6">
      <w:pPr>
        <w:tabs>
          <w:tab w:val="left" w:pos="794"/>
        </w:tabs>
        <w:contextualSpacing/>
        <w:jc w:val="both"/>
        <w:rPr>
          <w:rFonts w:ascii="FrankRuehl" w:hAnsi="FrankRuehl" w:cs="FrankRuehl"/>
          <w:sz w:val="26"/>
          <w:szCs w:val="26"/>
        </w:rPr>
      </w:pPr>
      <w:r>
        <w:rPr>
          <w:rFonts w:ascii="FrankRuehl" w:hAnsi="FrankRuehl" w:cs="FrankRuehl"/>
          <w:sz w:val="26"/>
          <w:szCs w:val="26"/>
          <w:rtl/>
        </w:rPr>
        <w:t>שירותי תחזוקה למחשב המרכזי, הגדלת שטחי אחסון מידע בשל נפחי מידע הולכים וגדלים.</w:t>
      </w:r>
    </w:p>
    <w:p w14:paraId="5A6B39CB" w14:textId="77777777" w:rsidR="00FB26A8" w:rsidRDefault="00FB26A8" w:rsidP="004D79B6">
      <w:pPr>
        <w:tabs>
          <w:tab w:val="left" w:pos="794"/>
        </w:tabs>
        <w:contextualSpacing/>
        <w:jc w:val="both"/>
        <w:rPr>
          <w:rFonts w:ascii="FrankRuehl" w:hAnsi="FrankRuehl" w:cs="FrankRuehl"/>
          <w:sz w:val="26"/>
          <w:szCs w:val="26"/>
        </w:rPr>
      </w:pPr>
      <w:r>
        <w:rPr>
          <w:rFonts w:ascii="FrankRuehl" w:hAnsi="FrankRuehl" w:cs="FrankRuehl"/>
          <w:sz w:val="26"/>
          <w:szCs w:val="26"/>
          <w:rtl/>
        </w:rPr>
        <w:t xml:space="preserve">תחזוקת תחנות מטאורולוגיות, הפעלת </w:t>
      </w:r>
      <w:proofErr w:type="spellStart"/>
      <w:r>
        <w:rPr>
          <w:rFonts w:ascii="FrankRuehl" w:hAnsi="FrankRuehl" w:cs="FrankRuehl"/>
          <w:sz w:val="26"/>
          <w:szCs w:val="26"/>
          <w:rtl/>
        </w:rPr>
        <w:t>מכ"מ</w:t>
      </w:r>
      <w:proofErr w:type="spellEnd"/>
      <w:r>
        <w:rPr>
          <w:rFonts w:ascii="FrankRuehl" w:hAnsi="FrankRuehl" w:cs="FrankRuehl"/>
          <w:sz w:val="26"/>
          <w:szCs w:val="26"/>
          <w:rtl/>
        </w:rPr>
        <w:t>.</w:t>
      </w:r>
    </w:p>
    <w:p w14:paraId="5E95158F" w14:textId="77777777" w:rsidR="00FB26A8" w:rsidRDefault="00FB26A8" w:rsidP="004D79B6">
      <w:pPr>
        <w:tabs>
          <w:tab w:val="left" w:pos="794"/>
        </w:tabs>
        <w:contextualSpacing/>
        <w:jc w:val="both"/>
        <w:rPr>
          <w:rFonts w:ascii="FrankRuehl" w:hAnsi="FrankRuehl" w:cs="FrankRuehl"/>
          <w:sz w:val="26"/>
          <w:szCs w:val="26"/>
        </w:rPr>
      </w:pPr>
      <w:r>
        <w:rPr>
          <w:rFonts w:ascii="FrankRuehl" w:hAnsi="FrankRuehl" w:cs="FrankRuehl"/>
          <w:sz w:val="26"/>
          <w:szCs w:val="26"/>
          <w:rtl/>
        </w:rPr>
        <w:t xml:space="preserve">תחזוקת תוכנת בסיס הנתונים המרכזי של השירות המטאורולוגי וכן לתחנות </w:t>
      </w:r>
      <w:proofErr w:type="spellStart"/>
      <w:r>
        <w:rPr>
          <w:rFonts w:ascii="FrankRuehl" w:hAnsi="FrankRuehl" w:cs="FrankRuehl"/>
          <w:sz w:val="26"/>
          <w:szCs w:val="26"/>
          <w:rtl/>
        </w:rPr>
        <w:t>המטאורלוגיות</w:t>
      </w:r>
      <w:proofErr w:type="spellEnd"/>
      <w:r>
        <w:rPr>
          <w:rFonts w:ascii="FrankRuehl" w:hAnsi="FrankRuehl" w:cs="FrankRuehl"/>
          <w:sz w:val="26"/>
          <w:szCs w:val="26"/>
          <w:rtl/>
        </w:rPr>
        <w:t xml:space="preserve">. </w:t>
      </w:r>
    </w:p>
    <w:p w14:paraId="1868EF9C" w14:textId="7F15C24B" w:rsidR="00FB26A8" w:rsidRDefault="00FB26A8" w:rsidP="004D79B6">
      <w:pPr>
        <w:tabs>
          <w:tab w:val="left" w:pos="794"/>
        </w:tabs>
        <w:contextualSpacing/>
        <w:jc w:val="both"/>
        <w:rPr>
          <w:rFonts w:ascii="FrankRuehl" w:hAnsi="FrankRuehl" w:cs="FrankRuehl"/>
          <w:sz w:val="26"/>
          <w:szCs w:val="26"/>
          <w:rtl/>
        </w:rPr>
      </w:pPr>
    </w:p>
    <w:p w14:paraId="00CBB129" w14:textId="21581364" w:rsidR="00FB26A8" w:rsidRDefault="00FB26A8" w:rsidP="004D79B6">
      <w:pPr>
        <w:tabs>
          <w:tab w:val="left" w:pos="794"/>
        </w:tabs>
        <w:contextualSpacing/>
        <w:jc w:val="both"/>
        <w:rPr>
          <w:rFonts w:ascii="FrankRuehl" w:hAnsi="FrankRuehl" w:cs="FrankRuehl"/>
          <w:sz w:val="26"/>
          <w:szCs w:val="26"/>
          <w:rtl/>
        </w:rPr>
      </w:pPr>
    </w:p>
    <w:p w14:paraId="4AEC9E39" w14:textId="77777777" w:rsidR="00FB26A8" w:rsidRDefault="00FB26A8" w:rsidP="004D79B6">
      <w:pPr>
        <w:tabs>
          <w:tab w:val="left" w:pos="794"/>
        </w:tabs>
        <w:contextualSpacing/>
        <w:jc w:val="both"/>
        <w:rPr>
          <w:rFonts w:ascii="FrankRuehl" w:hAnsi="FrankRuehl" w:cs="FrankRuehl"/>
          <w:sz w:val="26"/>
          <w:szCs w:val="26"/>
        </w:rPr>
      </w:pPr>
    </w:p>
    <w:p w14:paraId="0CBCF34A" w14:textId="77777777" w:rsidR="00FB26A8" w:rsidRDefault="00FB26A8" w:rsidP="004D79B6">
      <w:pPr>
        <w:tabs>
          <w:tab w:val="left" w:pos="397"/>
        </w:tabs>
        <w:contextualSpacing/>
        <w:jc w:val="both"/>
        <w:rPr>
          <w:rFonts w:ascii="FrankRuehl" w:hAnsi="FrankRuehl" w:cs="FrankRuehl"/>
          <w:b/>
          <w:bCs/>
          <w:sz w:val="26"/>
          <w:szCs w:val="26"/>
        </w:rPr>
      </w:pPr>
      <w:r>
        <w:rPr>
          <w:rFonts w:ascii="FrankRuehl" w:hAnsi="FrankRuehl" w:cs="FrankRuehl"/>
          <w:b/>
          <w:bCs/>
          <w:sz w:val="26"/>
          <w:szCs w:val="26"/>
          <w:rtl/>
        </w:rPr>
        <w:lastRenderedPageBreak/>
        <w:t xml:space="preserve">תכנית 40-51-01: רשות הספנות והנמלים </w:t>
      </w:r>
      <w:r>
        <w:rPr>
          <w:rFonts w:ascii="FrankRuehl" w:hAnsi="FrankRuehl" w:cs="FrankRuehl"/>
          <w:b/>
          <w:bCs/>
          <w:sz w:val="26"/>
          <w:szCs w:val="26"/>
        </w:rPr>
        <w:t>–</w:t>
      </w:r>
      <w:r>
        <w:rPr>
          <w:rFonts w:ascii="FrankRuehl" w:hAnsi="FrankRuehl" w:cs="FrankRuehl"/>
          <w:b/>
          <w:bCs/>
          <w:sz w:val="26"/>
          <w:szCs w:val="26"/>
          <w:rtl/>
        </w:rPr>
        <w:t xml:space="preserve"> 11,697 אלפי ש"ח בהוצאה </w:t>
      </w:r>
    </w:p>
    <w:p w14:paraId="47CE1987"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רשות הספנות והנמלים אחראית ומוסמכת לתעבורה ימית, מעגנות ונמלים, לכלי השייט ומפעיליהם ובאחריותה אישור רישוי ורישום כלי שייט והסמכה של ימאים ומשיטים. הרשות פועלת על מנת להבטיח קיומה של תשתית ספנות ישראלית בעלת יכולת לשמש כמוביל משמעותי בזמן שלום ובזמן חירום, תוך מתן דגש על קיום צי </w:t>
      </w:r>
      <w:proofErr w:type="spellStart"/>
      <w:r>
        <w:rPr>
          <w:rFonts w:ascii="FrankRuehl" w:hAnsi="FrankRuehl" w:cs="FrankRuehl"/>
          <w:sz w:val="26"/>
          <w:szCs w:val="26"/>
          <w:rtl/>
        </w:rPr>
        <w:t>אניות</w:t>
      </w:r>
      <w:proofErr w:type="spellEnd"/>
      <w:r>
        <w:rPr>
          <w:rFonts w:ascii="FrankRuehl" w:hAnsi="FrankRuehl" w:cs="FrankRuehl"/>
          <w:sz w:val="26"/>
          <w:szCs w:val="26"/>
          <w:rtl/>
        </w:rPr>
        <w:t xml:space="preserve"> ישראליות וכ"א ימי ישראלי. ברשות הספנות והנמלים קיימים האגפים הבאים: כוח אדם ימי, </w:t>
      </w:r>
      <w:proofErr w:type="spellStart"/>
      <w:r>
        <w:rPr>
          <w:rFonts w:ascii="FrankRuehl" w:hAnsi="FrankRuehl" w:cs="FrankRuehl"/>
          <w:sz w:val="26"/>
          <w:szCs w:val="26"/>
          <w:rtl/>
        </w:rPr>
        <w:t>מינהל</w:t>
      </w:r>
      <w:proofErr w:type="spellEnd"/>
      <w:r>
        <w:rPr>
          <w:rFonts w:ascii="FrankRuehl" w:hAnsi="FrankRuehl" w:cs="FrankRuehl"/>
          <w:sz w:val="26"/>
          <w:szCs w:val="26"/>
          <w:rtl/>
        </w:rPr>
        <w:t xml:space="preserve"> וארגון, אגף בכיר כלכלה, תכנון וקשרי חוץ, פיקוח ובקרה ספנות ונמלים, הנדסה ותפעול נמלים, מחלקת כלי שייט קטנים ומשיטים ומחלקת יעוץ משפטי ספנות ונמלים.</w:t>
      </w:r>
    </w:p>
    <w:p w14:paraId="48B619FF" w14:textId="77777777" w:rsidR="00FB26A8" w:rsidRDefault="00FB26A8" w:rsidP="004D79B6">
      <w:pPr>
        <w:tabs>
          <w:tab w:val="left" w:pos="794"/>
        </w:tabs>
        <w:contextualSpacing/>
        <w:jc w:val="both"/>
        <w:rPr>
          <w:rFonts w:ascii="FrankRuehl" w:hAnsi="FrankRuehl" w:cs="FrankRuehl"/>
          <w:b/>
          <w:bCs/>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D103032" w14:textId="77777777" w:rsidR="00FB26A8" w:rsidRDefault="00FB26A8" w:rsidP="004D79B6">
      <w:pPr>
        <w:tabs>
          <w:tab w:val="left" w:pos="1247"/>
        </w:tabs>
        <w:contextualSpacing/>
        <w:jc w:val="both"/>
        <w:rPr>
          <w:rFonts w:ascii="FrankRuehl" w:hAnsi="FrankRuehl" w:cs="FrankRuehl"/>
          <w:sz w:val="26"/>
          <w:szCs w:val="26"/>
        </w:rPr>
      </w:pPr>
      <w:r>
        <w:rPr>
          <w:rFonts w:ascii="FrankRuehl" w:hAnsi="FrankRuehl" w:cs="FrankRuehl"/>
          <w:sz w:val="26"/>
          <w:szCs w:val="26"/>
          <w:rtl/>
        </w:rPr>
        <w:t xml:space="preserve">הפעלת חדר מצב </w:t>
      </w:r>
      <w:r>
        <w:rPr>
          <w:rFonts w:ascii="FrankRuehl" w:hAnsi="FrankRuehl" w:cs="FrankRuehl"/>
          <w:sz w:val="26"/>
          <w:szCs w:val="26"/>
        </w:rPr>
        <w:t>RCC</w:t>
      </w:r>
      <w:r>
        <w:rPr>
          <w:rFonts w:ascii="FrankRuehl" w:hAnsi="FrankRuehl" w:cs="FrankRuehl"/>
          <w:sz w:val="26"/>
          <w:szCs w:val="26"/>
          <w:rtl/>
        </w:rPr>
        <w:t xml:space="preserve"> עבור חוזה המתחדש כל שנה בחודש דצמבר.</w:t>
      </w:r>
    </w:p>
    <w:p w14:paraId="41159880" w14:textId="77777777" w:rsidR="00FB26A8" w:rsidRDefault="00FB26A8" w:rsidP="004D79B6">
      <w:pPr>
        <w:tabs>
          <w:tab w:val="left" w:pos="1247"/>
        </w:tabs>
        <w:contextualSpacing/>
        <w:jc w:val="both"/>
        <w:rPr>
          <w:rFonts w:ascii="FrankRuehl" w:hAnsi="FrankRuehl" w:cs="FrankRuehl"/>
          <w:sz w:val="26"/>
          <w:szCs w:val="26"/>
          <w:rtl/>
        </w:rPr>
      </w:pPr>
      <w:r>
        <w:rPr>
          <w:rFonts w:ascii="FrankRuehl" w:hAnsi="FrankRuehl" w:cs="FrankRuehl"/>
          <w:sz w:val="26"/>
          <w:szCs w:val="26"/>
          <w:rtl/>
        </w:rPr>
        <w:t>יתרות הזמנות בגין שירותי ייעוץ כגון ודמי חבר לארגונים בינלאומיים.</w:t>
      </w:r>
    </w:p>
    <w:p w14:paraId="74883206" w14:textId="77777777" w:rsidR="00FB26A8" w:rsidRDefault="00FB26A8" w:rsidP="004D79B6">
      <w:pPr>
        <w:tabs>
          <w:tab w:val="left" w:pos="794"/>
        </w:tabs>
        <w:contextualSpacing/>
        <w:jc w:val="both"/>
        <w:rPr>
          <w:rFonts w:ascii="FrankRuehl" w:hAnsi="FrankRuehl" w:cs="FrankRuehl"/>
          <w:sz w:val="26"/>
          <w:szCs w:val="26"/>
          <w:rtl/>
        </w:rPr>
      </w:pPr>
    </w:p>
    <w:p w14:paraId="27F413FB" w14:textId="77777777" w:rsidR="00FB26A8" w:rsidRDefault="00FB26A8" w:rsidP="004D79B6">
      <w:pPr>
        <w:tabs>
          <w:tab w:val="left" w:pos="397"/>
        </w:tabs>
        <w:contextualSpacing/>
        <w:jc w:val="both"/>
        <w:rPr>
          <w:rFonts w:ascii="FrankRuehl" w:hAnsi="FrankRuehl" w:cs="FrankRuehl"/>
          <w:b/>
          <w:bCs/>
          <w:sz w:val="26"/>
          <w:szCs w:val="26"/>
        </w:rPr>
      </w:pPr>
      <w:r>
        <w:rPr>
          <w:rFonts w:ascii="FrankRuehl" w:hAnsi="FrankRuehl" w:cs="FrankRuehl"/>
          <w:b/>
          <w:bCs/>
          <w:sz w:val="26"/>
          <w:szCs w:val="26"/>
          <w:rtl/>
        </w:rPr>
        <w:t>תכנית 40-52-01: רשות התעופה האזרחית – 20,596 אלפי ש"ח בהוצאה</w:t>
      </w:r>
    </w:p>
    <w:p w14:paraId="59AF4B24" w14:textId="77777777" w:rsidR="00FB26A8" w:rsidRDefault="00FB26A8" w:rsidP="004D79B6">
      <w:pPr>
        <w:tabs>
          <w:tab w:val="left" w:pos="794"/>
        </w:tabs>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הרשות לתעופה האזרחית האחראית על פיקוח ורגולציה בתחום התעופה. כחלק</w:t>
      </w:r>
    </w:p>
    <w:p w14:paraId="34E27E71"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sz w:val="26"/>
          <w:szCs w:val="26"/>
          <w:rtl/>
        </w:rPr>
        <w:t xml:space="preserve">מתפקידה רשות התעופה האזרחית מופקדת על הסדרת התעופה האזרחית במדינה ועל הקשר עם הארגון הבינלאומי לתעופה אזרחית, כמו גם תשלומים שנתיים קבועים במסגרת חברות מדינת ישראל ב"אמנת שיקגו" וחברות בארגון. </w:t>
      </w:r>
    </w:p>
    <w:p w14:paraId="70199123" w14:textId="77777777" w:rsidR="00FB26A8" w:rsidRDefault="00FB26A8" w:rsidP="004D79B6">
      <w:pPr>
        <w:contextualSpacing/>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1FE1CE9F" w14:textId="77777777" w:rsidR="00FB26A8" w:rsidRDefault="00FB26A8" w:rsidP="004D79B6">
      <w:pPr>
        <w:tabs>
          <w:tab w:val="left" w:pos="1247"/>
        </w:tabs>
        <w:contextualSpacing/>
        <w:jc w:val="both"/>
        <w:rPr>
          <w:rFonts w:ascii="FrankRuehl" w:hAnsi="FrankRuehl" w:cs="FrankRuehl"/>
          <w:sz w:val="26"/>
          <w:szCs w:val="26"/>
          <w:rtl/>
        </w:rPr>
      </w:pPr>
      <w:r>
        <w:rPr>
          <w:rFonts w:ascii="FrankRuehl" w:hAnsi="FrankRuehl" w:cs="FrankRuehl"/>
          <w:sz w:val="26"/>
          <w:szCs w:val="26"/>
          <w:rtl/>
        </w:rPr>
        <w:t xml:space="preserve">יתרות הזמנות לספקים עבור ניקיון, אבטחה, חשמל, ארנונה, תחזוקת מערכות מחשוב </w:t>
      </w:r>
      <w:proofErr w:type="spellStart"/>
      <w:r>
        <w:rPr>
          <w:rFonts w:ascii="FrankRuehl" w:hAnsi="FrankRuehl" w:cs="FrankRuehl"/>
          <w:sz w:val="26"/>
          <w:szCs w:val="26"/>
          <w:rtl/>
        </w:rPr>
        <w:t>רת"א</w:t>
      </w:r>
      <w:proofErr w:type="spellEnd"/>
      <w:r>
        <w:rPr>
          <w:rFonts w:ascii="FrankRuehl" w:hAnsi="FrankRuehl" w:cs="FrankRuehl"/>
          <w:sz w:val="26"/>
          <w:szCs w:val="26"/>
          <w:rtl/>
        </w:rPr>
        <w:t xml:space="preserve">, יועצי </w:t>
      </w:r>
      <w:proofErr w:type="spellStart"/>
      <w:r>
        <w:rPr>
          <w:rFonts w:ascii="FrankRuehl" w:hAnsi="FrankRuehl" w:cs="FrankRuehl"/>
          <w:sz w:val="26"/>
          <w:szCs w:val="26"/>
          <w:rtl/>
        </w:rPr>
        <w:t>רת"א</w:t>
      </w:r>
      <w:proofErr w:type="spellEnd"/>
      <w:r>
        <w:rPr>
          <w:rFonts w:ascii="FrankRuehl" w:hAnsi="FrankRuehl" w:cs="FrankRuehl"/>
          <w:sz w:val="26"/>
          <w:szCs w:val="26"/>
          <w:rtl/>
        </w:rPr>
        <w:t xml:space="preserve"> וחשבוניות נובמבר ודצמבר 2025.</w:t>
      </w:r>
    </w:p>
    <w:p w14:paraId="34C07A9C" w14:textId="77777777" w:rsidR="00FB26A8" w:rsidRDefault="00FB26A8" w:rsidP="004D79B6">
      <w:pPr>
        <w:tabs>
          <w:tab w:val="left" w:pos="794"/>
        </w:tabs>
        <w:contextualSpacing/>
        <w:jc w:val="both"/>
        <w:rPr>
          <w:rFonts w:ascii="FrankRuehl" w:hAnsi="FrankRuehl" w:cs="FrankRuehl"/>
          <w:sz w:val="26"/>
          <w:szCs w:val="26"/>
        </w:rPr>
      </w:pPr>
    </w:p>
    <w:p w14:paraId="572C8C23" w14:textId="77777777" w:rsidR="00FB26A8" w:rsidRDefault="00FB26A8" w:rsidP="004D79B6">
      <w:pPr>
        <w:tabs>
          <w:tab w:val="left" w:pos="397"/>
        </w:tabs>
        <w:contextualSpacing/>
        <w:jc w:val="both"/>
        <w:rPr>
          <w:rFonts w:ascii="FrankRuehl" w:hAnsi="FrankRuehl" w:cs="FrankRuehl"/>
          <w:b/>
          <w:bCs/>
          <w:sz w:val="26"/>
          <w:szCs w:val="26"/>
        </w:rPr>
      </w:pPr>
      <w:r>
        <w:rPr>
          <w:rFonts w:ascii="FrankRuehl" w:hAnsi="FrankRuehl" w:cs="FrankRuehl"/>
          <w:b/>
          <w:bCs/>
          <w:sz w:val="26"/>
          <w:szCs w:val="26"/>
          <w:rtl/>
        </w:rPr>
        <w:t>תכנית 40-53-01: רשות הלאומית לבטיחות בדרכים – 39,978 אלפי ש"ח בהוצאה</w:t>
      </w:r>
    </w:p>
    <w:p w14:paraId="6308EFE8" w14:textId="77777777" w:rsidR="00FB26A8" w:rsidRDefault="00FB26A8" w:rsidP="004D79B6">
      <w:pPr>
        <w:contextualSpacing/>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תקציב הרשות לבטיחות בדרכים משמש לפרויקטים לשיפור הבטיחות בדרכים,</w:t>
      </w:r>
    </w:p>
    <w:p w14:paraId="68E88546" w14:textId="77777777" w:rsidR="00FB26A8" w:rsidRDefault="00FB26A8" w:rsidP="004D79B6">
      <w:pPr>
        <w:contextualSpacing/>
        <w:jc w:val="both"/>
        <w:rPr>
          <w:rFonts w:ascii="FrankRuehl" w:hAnsi="FrankRuehl" w:cs="FrankRuehl"/>
          <w:sz w:val="26"/>
          <w:szCs w:val="26"/>
          <w:rtl/>
        </w:rPr>
      </w:pPr>
      <w:r>
        <w:rPr>
          <w:rFonts w:ascii="FrankRuehl" w:hAnsi="FrankRuehl" w:cs="FrankRuehl"/>
          <w:sz w:val="26"/>
          <w:szCs w:val="26"/>
          <w:rtl/>
        </w:rPr>
        <w:t>בכללם השקעה בהסברה, פעילות במוסדות חינוך ופעילויות חילוץ והצלה. הפעילויות מבוצעות</w:t>
      </w:r>
    </w:p>
    <w:p w14:paraId="3B4DC125" w14:textId="77777777" w:rsidR="00FB26A8" w:rsidRDefault="00FB26A8" w:rsidP="004D79B6">
      <w:pPr>
        <w:contextualSpacing/>
        <w:jc w:val="both"/>
        <w:rPr>
          <w:rFonts w:ascii="FrankRuehl" w:hAnsi="FrankRuehl" w:cs="FrankRuehl"/>
          <w:sz w:val="26"/>
          <w:szCs w:val="26"/>
          <w:rtl/>
        </w:rPr>
      </w:pPr>
      <w:r>
        <w:rPr>
          <w:rFonts w:ascii="FrankRuehl" w:hAnsi="FrankRuehl" w:cs="FrankRuehl"/>
          <w:sz w:val="26"/>
          <w:szCs w:val="26"/>
          <w:rtl/>
        </w:rPr>
        <w:t>בשיתוף השלטון המקומי, תוך התמקדות באוכלוסיות בעלי רמת פגיעות גבוהה. כמו כן כולל</w:t>
      </w:r>
    </w:p>
    <w:p w14:paraId="30F785CE" w14:textId="77777777" w:rsidR="00FB26A8" w:rsidRDefault="00FB26A8" w:rsidP="004D79B6">
      <w:pPr>
        <w:contextualSpacing/>
        <w:jc w:val="both"/>
        <w:rPr>
          <w:rFonts w:ascii="FrankRuehl" w:hAnsi="FrankRuehl" w:cs="FrankRuehl"/>
          <w:b/>
          <w:bCs/>
          <w:sz w:val="26"/>
          <w:szCs w:val="26"/>
          <w:rtl/>
        </w:rPr>
      </w:pPr>
      <w:r>
        <w:rPr>
          <w:rFonts w:ascii="FrankRuehl" w:hAnsi="FrankRuehl" w:cs="FrankRuehl"/>
          <w:sz w:val="26"/>
          <w:szCs w:val="26"/>
          <w:rtl/>
        </w:rPr>
        <w:t>התקציב את שכרם של כ-70 עובדי הרשות, ופעילויות נוספות.</w:t>
      </w:r>
    </w:p>
    <w:p w14:paraId="22D4EFC0"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5DFE7044" w14:textId="77777777" w:rsidR="00FB26A8" w:rsidRDefault="00FB26A8" w:rsidP="004D79B6">
      <w:pPr>
        <w:tabs>
          <w:tab w:val="left" w:pos="397"/>
          <w:tab w:val="left" w:pos="794"/>
        </w:tabs>
        <w:contextualSpacing/>
        <w:jc w:val="both"/>
        <w:rPr>
          <w:rFonts w:ascii="FrankRuehl" w:hAnsi="FrankRuehl" w:cs="FrankRuehl"/>
          <w:sz w:val="26"/>
          <w:szCs w:val="26"/>
          <w:rtl/>
        </w:rPr>
      </w:pPr>
      <w:r>
        <w:rPr>
          <w:rFonts w:ascii="FrankRuehl" w:hAnsi="FrankRuehl" w:cs="FrankRuehl"/>
          <w:sz w:val="26"/>
          <w:szCs w:val="26"/>
          <w:rtl/>
        </w:rPr>
        <w:t xml:space="preserve">פעילות בטיחות בדרכים בכלל הרשויות המקומיות בישראל שהחלה בשנת 2025. בשל תנאי ההתקשרות של הרשויות המקומיות מול הספקים, פעילות שבוצעה בחודשים האחרונים של שנת 2025 מועברת לספקים בתחילת שנת 2026. כמו כן תשלומים בגין הפעלת מגרשי הדרכה ברשויות המקומיות, שלגביהן ההתקשרות נעשית על בסיס שנת לימודים שאינה חופפת לשנה </w:t>
      </w:r>
      <w:proofErr w:type="spellStart"/>
      <w:r>
        <w:rPr>
          <w:rFonts w:ascii="FrankRuehl" w:hAnsi="FrankRuehl" w:cs="FrankRuehl"/>
          <w:sz w:val="26"/>
          <w:szCs w:val="26"/>
          <w:rtl/>
        </w:rPr>
        <w:t>הקלנדרית</w:t>
      </w:r>
      <w:proofErr w:type="spellEnd"/>
      <w:r>
        <w:rPr>
          <w:rFonts w:ascii="FrankRuehl" w:hAnsi="FrankRuehl" w:cs="FrankRuehl"/>
          <w:sz w:val="26"/>
          <w:szCs w:val="26"/>
          <w:rtl/>
        </w:rPr>
        <w:t>.</w:t>
      </w:r>
    </w:p>
    <w:p w14:paraId="0525C08A" w14:textId="77777777" w:rsidR="00FB26A8" w:rsidRDefault="00FB26A8" w:rsidP="004D79B6">
      <w:pPr>
        <w:contextualSpacing/>
        <w:jc w:val="both"/>
        <w:rPr>
          <w:rFonts w:ascii="FrankRuehl" w:hAnsi="FrankRuehl" w:cs="FrankRuehl"/>
          <w:sz w:val="26"/>
          <w:szCs w:val="26"/>
          <w:rtl/>
        </w:rPr>
      </w:pPr>
      <w:r>
        <w:rPr>
          <w:rFonts w:ascii="FrankRuehl" w:hAnsi="FrankRuehl" w:cs="FrankRuehl"/>
          <w:sz w:val="26"/>
          <w:szCs w:val="26"/>
          <w:rtl/>
        </w:rPr>
        <w:t xml:space="preserve">תשלום עבור פרסום באמצעות לשכת הפרסום הממשלתית במסגרת מסעות פרסום שהחלו בשלהי שנת 2025 והתשלומים בגינם מועברים בשנת 2026. </w:t>
      </w:r>
    </w:p>
    <w:p w14:paraId="14582DD3" w14:textId="77777777" w:rsidR="00FB26A8" w:rsidRDefault="00FB26A8" w:rsidP="004D79B6">
      <w:pPr>
        <w:contextualSpacing/>
        <w:jc w:val="both"/>
        <w:rPr>
          <w:rFonts w:cs="FrankRuehl"/>
          <w:sz w:val="26"/>
          <w:szCs w:val="26"/>
        </w:rPr>
      </w:pPr>
    </w:p>
    <w:p w14:paraId="15E2BA44" w14:textId="77777777" w:rsidR="00FB26A8" w:rsidRDefault="00FB26A8" w:rsidP="004D79B6">
      <w:pPr>
        <w:tabs>
          <w:tab w:val="left" w:pos="397"/>
        </w:tabs>
        <w:ind w:left="397" w:hanging="397"/>
        <w:contextualSpacing/>
        <w:jc w:val="both"/>
        <w:rPr>
          <w:rFonts w:ascii="FrankRuehl" w:hAnsi="FrankRuehl" w:cs="FrankRuehl"/>
          <w:b/>
          <w:bCs/>
          <w:sz w:val="26"/>
          <w:szCs w:val="26"/>
        </w:rPr>
      </w:pPr>
      <w:r>
        <w:rPr>
          <w:rFonts w:ascii="FrankRuehl" w:hAnsi="FrankRuehl" w:cs="FrankRuehl"/>
          <w:b/>
          <w:bCs/>
          <w:sz w:val="26"/>
          <w:szCs w:val="26"/>
          <w:rtl/>
        </w:rPr>
        <w:t>40-55-01: רשות המטרו – 35 אלפי ש"ח בהוצאה</w:t>
      </w:r>
    </w:p>
    <w:p w14:paraId="3610888A" w14:textId="77777777" w:rsidR="00FB26A8" w:rsidRDefault="00FB26A8" w:rsidP="004D79B6">
      <w:pPr>
        <w:tabs>
          <w:tab w:val="left" w:pos="794"/>
        </w:tabs>
        <w:contextualSpacing/>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רשות המטרו אחראית לקידום וניהול מטעם הממשלה של מיזם המטרו בגוש דן.  הרשות אמונה על קידום פרויקט המטרו ובכלל כך ליווי התכנון, שלבי הביצוע, יציאה למכרזים, תקציב הפרויקט, עמידה </w:t>
      </w:r>
      <w:proofErr w:type="spellStart"/>
      <w:r>
        <w:rPr>
          <w:rFonts w:ascii="FrankRuehl" w:hAnsi="FrankRuehl" w:cs="FrankRuehl"/>
          <w:sz w:val="26"/>
          <w:szCs w:val="26"/>
          <w:rtl/>
        </w:rPr>
        <w:t>בתכניות</w:t>
      </w:r>
      <w:proofErr w:type="spellEnd"/>
      <w:r>
        <w:rPr>
          <w:rFonts w:ascii="FrankRuehl" w:hAnsi="FrankRuehl" w:cs="FrankRuehl"/>
          <w:sz w:val="26"/>
          <w:szCs w:val="26"/>
          <w:rtl/>
        </w:rPr>
        <w:t xml:space="preserve"> העבודה של החברות המבצעות, ועבודה מול כלל הגורמים הרלוונטיים לביצוע פרויקט המטרו (משרדי הממשלה, החברות הממשלתיות, רשויות סטטוטוריות, תאגידים סטטוטוריים, תאגידים פרטיים).</w:t>
      </w:r>
    </w:p>
    <w:p w14:paraId="3352D4B3"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0BB6A435" w14:textId="77777777" w:rsidR="00FB26A8" w:rsidRDefault="00FB26A8" w:rsidP="004D79B6">
      <w:pPr>
        <w:tabs>
          <w:tab w:val="left" w:pos="397"/>
          <w:tab w:val="left" w:pos="794"/>
        </w:tabs>
        <w:contextualSpacing/>
        <w:jc w:val="both"/>
        <w:rPr>
          <w:rFonts w:ascii="FrankRuehl" w:hAnsi="FrankRuehl" w:cs="FrankRuehl"/>
          <w:sz w:val="26"/>
          <w:szCs w:val="26"/>
          <w:rtl/>
        </w:rPr>
      </w:pPr>
      <w:r>
        <w:rPr>
          <w:rFonts w:ascii="FrankRuehl" w:hAnsi="FrankRuehl" w:cs="FrankRuehl"/>
          <w:sz w:val="26"/>
          <w:szCs w:val="26"/>
          <w:rtl/>
        </w:rPr>
        <w:t xml:space="preserve">חוזים עם נותני שירותים אשר נחתמו במהלך שנת 2025, לתקופה הנמשכת לתוך שנת הכספים 2026. </w:t>
      </w:r>
    </w:p>
    <w:p w14:paraId="78C63C2C" w14:textId="77777777" w:rsidR="00FB26A8" w:rsidRDefault="00FB26A8" w:rsidP="004D79B6">
      <w:pPr>
        <w:jc w:val="both"/>
        <w:rPr>
          <w:rFonts w:cs="FrankRuehl"/>
          <w:sz w:val="26"/>
          <w:szCs w:val="26"/>
          <w:rtl/>
        </w:rPr>
      </w:pPr>
    </w:p>
    <w:p w14:paraId="67FF69A8" w14:textId="77777777" w:rsidR="00FB26A8" w:rsidRDefault="00FB26A8" w:rsidP="004D79B6">
      <w:pPr>
        <w:tabs>
          <w:tab w:val="left" w:pos="397"/>
        </w:tabs>
        <w:ind w:left="397" w:hanging="397"/>
        <w:contextualSpacing/>
        <w:jc w:val="both"/>
        <w:rPr>
          <w:rFonts w:ascii="FrankRuehl" w:hAnsi="FrankRuehl" w:cs="FrankRuehl"/>
          <w:b/>
          <w:bCs/>
          <w:sz w:val="26"/>
          <w:szCs w:val="26"/>
          <w:rtl/>
        </w:rPr>
      </w:pPr>
      <w:r>
        <w:rPr>
          <w:rFonts w:ascii="FrankRuehl" w:hAnsi="FrankRuehl" w:cs="FrankRuehl"/>
          <w:b/>
          <w:bCs/>
          <w:sz w:val="26"/>
          <w:szCs w:val="26"/>
          <w:rtl/>
        </w:rPr>
        <w:t>40-56-01: הרשות לחקירה בטיחותית – 1,357 אלפי ש"ח בהוצאה</w:t>
      </w:r>
    </w:p>
    <w:p w14:paraId="4C852DAB" w14:textId="77777777" w:rsidR="00FB26A8" w:rsidRDefault="00FB26A8" w:rsidP="004D79B6">
      <w:pPr>
        <w:tabs>
          <w:tab w:val="left" w:pos="794"/>
        </w:tabs>
        <w:contextualSpacing/>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בעקבות בחוק "הרשות לחקירה בטיחותית בתעופה, </w:t>
      </w:r>
      <w:proofErr w:type="spellStart"/>
      <w:r>
        <w:rPr>
          <w:rFonts w:ascii="FrankRuehl" w:hAnsi="FrankRuehl" w:cs="FrankRuehl"/>
          <w:sz w:val="26"/>
          <w:szCs w:val="26"/>
          <w:rtl/>
        </w:rPr>
        <w:t>התשפ"ד</w:t>
      </w:r>
      <w:proofErr w:type="spellEnd"/>
      <w:r>
        <w:rPr>
          <w:rFonts w:ascii="FrankRuehl" w:hAnsi="FrankRuehl" w:cs="FrankRuehl"/>
          <w:sz w:val="26"/>
          <w:szCs w:val="26"/>
          <w:rtl/>
        </w:rPr>
        <w:t xml:space="preserve"> - 2024</w:t>
      </w:r>
      <w:r>
        <w:rPr>
          <w:rFonts w:ascii="FrankRuehl" w:hAnsi="FrankRuehl" w:cs="FrankRuehl"/>
          <w:sz w:val="26"/>
          <w:szCs w:val="26"/>
        </w:rPr>
        <w:t xml:space="preserve">", </w:t>
      </w:r>
      <w:r>
        <w:rPr>
          <w:rFonts w:ascii="FrankRuehl" w:hAnsi="FrankRuehl" w:cs="FrankRuehl"/>
          <w:sz w:val="26"/>
          <w:szCs w:val="26"/>
          <w:rtl/>
        </w:rPr>
        <w:t>מוקמת רשות עצמאית לחקירה של אירועים בטיחותיים בתעופה האזרחית במשרד התחבורה. לפי סעיף 9 בחוק, תקציב הרשות ייקבע בתחום פעולה נפרד במסגרת סעיף תקציב משרד התחבורה</w:t>
      </w:r>
      <w:r>
        <w:rPr>
          <w:rFonts w:ascii="FrankRuehl" w:hAnsi="FrankRuehl" w:cs="FrankRuehl"/>
          <w:sz w:val="26"/>
          <w:szCs w:val="26"/>
        </w:rPr>
        <w:t>.</w:t>
      </w:r>
    </w:p>
    <w:p w14:paraId="2C35D895" w14:textId="77777777" w:rsidR="00FB26A8" w:rsidRDefault="00FB26A8" w:rsidP="004D79B6">
      <w:pPr>
        <w:tabs>
          <w:tab w:val="left" w:pos="794"/>
        </w:tabs>
        <w:contextualSpacing/>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p>
    <w:p w14:paraId="28C28F57" w14:textId="77777777" w:rsidR="00FB26A8" w:rsidRDefault="00FB26A8" w:rsidP="004D79B6">
      <w:pPr>
        <w:tabs>
          <w:tab w:val="left" w:pos="397"/>
          <w:tab w:val="left" w:pos="794"/>
        </w:tabs>
        <w:contextualSpacing/>
        <w:jc w:val="both"/>
        <w:rPr>
          <w:rFonts w:ascii="FrankRuehl" w:hAnsi="FrankRuehl" w:cs="FrankRuehl"/>
          <w:sz w:val="26"/>
          <w:szCs w:val="26"/>
          <w:rtl/>
        </w:rPr>
      </w:pPr>
      <w:r>
        <w:rPr>
          <w:rFonts w:ascii="FrankRuehl" w:hAnsi="FrankRuehl" w:cs="FrankRuehl"/>
          <w:sz w:val="26"/>
          <w:szCs w:val="26"/>
          <w:rtl/>
        </w:rPr>
        <w:t xml:space="preserve">חוזים עם נותני שירותים אשר נחתמו במהלך שנת 2025, לתקופה הנמשכת לתוך שנת הכספים 2026. </w:t>
      </w:r>
    </w:p>
    <w:p w14:paraId="4B01D3D2" w14:textId="77777777" w:rsidR="00FB26A8" w:rsidRDefault="00FB26A8" w:rsidP="004D79B6">
      <w:pPr>
        <w:jc w:val="both"/>
        <w:rPr>
          <w:rFonts w:cs="David"/>
          <w:sz w:val="24"/>
          <w:rtl/>
        </w:rPr>
      </w:pPr>
    </w:p>
    <w:p w14:paraId="3937811E" w14:textId="77777777" w:rsidR="0051496B" w:rsidRPr="000A3FA0" w:rsidRDefault="0051496B" w:rsidP="004D79B6">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21613331" w14:textId="77777777" w:rsidR="0051496B" w:rsidRPr="000A3FA0" w:rsidRDefault="0051496B" w:rsidP="00A6761F">
      <w:pPr>
        <w:jc w:val="both"/>
        <w:rPr>
          <w:rFonts w:cs="FrankRuehl"/>
          <w:sz w:val="26"/>
          <w:szCs w:val="26"/>
          <w:rtl/>
        </w:rPr>
      </w:pPr>
    </w:p>
    <w:p w14:paraId="28F5A9BB" w14:textId="77777777" w:rsidR="0051496B" w:rsidRPr="000A3FA0" w:rsidRDefault="0051496B" w:rsidP="00A6761F">
      <w:pPr>
        <w:jc w:val="both"/>
        <w:rPr>
          <w:rFonts w:cs="FrankRuehl"/>
          <w:sz w:val="26"/>
          <w:szCs w:val="26"/>
          <w:rtl/>
        </w:rPr>
      </w:pPr>
    </w:p>
    <w:p w14:paraId="737D36FC"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25B34966" w14:textId="77777777" w:rsidR="0051496B" w:rsidRDefault="0051496B">
      <w:pPr>
        <w:tabs>
          <w:tab w:val="center" w:pos="6867"/>
        </w:tabs>
        <w:rPr>
          <w:rFonts w:cs="FrankRuehl"/>
          <w:sz w:val="26"/>
          <w:szCs w:val="26"/>
          <w:rtl/>
        </w:rPr>
      </w:pPr>
    </w:p>
    <w:p w14:paraId="6A139E9A"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0DB85DE7" w14:textId="77777777" w:rsidR="0051496B" w:rsidRPr="000A3FA0" w:rsidRDefault="0051496B">
      <w:pPr>
        <w:tabs>
          <w:tab w:val="center" w:pos="6867"/>
        </w:tabs>
        <w:rPr>
          <w:rFonts w:cs="FrankRuehl"/>
          <w:sz w:val="26"/>
          <w:szCs w:val="26"/>
          <w:rtl/>
        </w:rPr>
      </w:pPr>
    </w:p>
    <w:p w14:paraId="74F7263B"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488291EE"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542531E6" w14:textId="77777777" w:rsidR="0051496B" w:rsidRPr="000A3FA0" w:rsidRDefault="0051496B">
      <w:pPr>
        <w:rPr>
          <w:rFonts w:cs="FrankRuehl"/>
          <w:sz w:val="26"/>
          <w:szCs w:val="26"/>
          <w:rtl/>
        </w:rPr>
      </w:pPr>
    </w:p>
    <w:p w14:paraId="31F8279C" w14:textId="77777777" w:rsidR="0051496B" w:rsidRPr="000A3FA0" w:rsidRDefault="0051496B">
      <w:pPr>
        <w:rPr>
          <w:rFonts w:cs="FrankRuehl"/>
          <w:sz w:val="26"/>
          <w:szCs w:val="26"/>
          <w:rtl/>
        </w:rPr>
      </w:pPr>
      <w:r w:rsidRPr="000A3FA0">
        <w:rPr>
          <w:rFonts w:cs="FrankRuehl"/>
          <w:sz w:val="26"/>
          <w:szCs w:val="26"/>
          <w:rtl/>
        </w:rPr>
        <w:t>העתק:</w:t>
      </w:r>
    </w:p>
    <w:p w14:paraId="18146A75" w14:textId="77777777" w:rsidR="0051496B" w:rsidRPr="000A3FA0" w:rsidRDefault="0051496B">
      <w:pPr>
        <w:rPr>
          <w:rFonts w:cs="FrankRuehl"/>
          <w:sz w:val="26"/>
          <w:szCs w:val="26"/>
          <w:rtl/>
        </w:rPr>
      </w:pPr>
      <w:r w:rsidRPr="000A3FA0">
        <w:rPr>
          <w:rFonts w:cs="FrankRuehl"/>
          <w:sz w:val="26"/>
          <w:szCs w:val="26"/>
          <w:rtl/>
        </w:rPr>
        <w:t>החשב הכללי</w:t>
      </w:r>
    </w:p>
    <w:p w14:paraId="6244DBB9" w14:textId="77777777" w:rsidR="0051496B" w:rsidRPr="000A3FA0" w:rsidRDefault="0051496B">
      <w:pPr>
        <w:rPr>
          <w:rFonts w:cs="FrankRuehl"/>
          <w:sz w:val="26"/>
          <w:szCs w:val="26"/>
          <w:rtl/>
        </w:rPr>
      </w:pPr>
      <w:r w:rsidRPr="000A3FA0">
        <w:rPr>
          <w:rFonts w:cs="FrankRuehl"/>
          <w:sz w:val="26"/>
          <w:szCs w:val="26"/>
          <w:rtl/>
        </w:rPr>
        <w:t>מבקר המדינה (2)</w:t>
      </w:r>
    </w:p>
    <w:p w14:paraId="3223C4AA" w14:textId="77777777" w:rsidR="00E84A39" w:rsidRDefault="00E84A39">
      <w:pPr>
        <w:rPr>
          <w:rFonts w:cs="FrankRuehl"/>
          <w:sz w:val="26"/>
          <w:szCs w:val="26"/>
          <w:rtl/>
        </w:rPr>
      </w:pPr>
      <w:bookmarkStart w:id="12" w:name="TAKZIV22"/>
      <w:r>
        <w:rPr>
          <w:rFonts w:cs="FrankRuehl"/>
          <w:sz w:val="26"/>
          <w:szCs w:val="26"/>
          <w:rtl/>
        </w:rPr>
        <w:t>חשב הרשות הלאומית לבטיחות בדרכים</w:t>
      </w:r>
    </w:p>
    <w:p w14:paraId="06AE4484" w14:textId="27564648" w:rsidR="0051496B" w:rsidRPr="000A3FA0" w:rsidRDefault="00E84A39">
      <w:pPr>
        <w:rPr>
          <w:rFonts w:cs="FrankRuehl"/>
          <w:sz w:val="26"/>
          <w:szCs w:val="26"/>
          <w:rtl/>
        </w:rPr>
      </w:pPr>
      <w:r>
        <w:rPr>
          <w:rFonts w:cs="FrankRuehl"/>
          <w:sz w:val="26"/>
          <w:szCs w:val="26"/>
          <w:rtl/>
        </w:rPr>
        <w:t>חשב משרד התחבורה</w:t>
      </w:r>
      <w:bookmarkEnd w:id="12"/>
    </w:p>
    <w:p w14:paraId="66873C8A" w14:textId="5EC105B3"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E84A39">
        <w:rPr>
          <w:rFonts w:cs="FrankRuehl"/>
          <w:sz w:val="26"/>
          <w:szCs w:val="26"/>
          <w:rtl/>
        </w:rPr>
        <w:t>משרד התחבורה</w:t>
      </w:r>
      <w:bookmarkEnd w:id="13"/>
    </w:p>
    <w:p w14:paraId="6D2A6A00" w14:textId="2E0496E5"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E84A39">
        <w:rPr>
          <w:rFonts w:cs="FrankRuehl"/>
          <w:sz w:val="26"/>
          <w:szCs w:val="26"/>
          <w:rtl/>
        </w:rPr>
        <w:t>משרד התחבורה</w:t>
      </w:r>
      <w:bookmarkEnd w:id="14"/>
    </w:p>
    <w:p w14:paraId="0F31631C" w14:textId="77777777" w:rsidR="0051496B" w:rsidRPr="000A3FA0" w:rsidRDefault="0051496B">
      <w:pPr>
        <w:rPr>
          <w:rFonts w:cs="FrankRuehl"/>
          <w:sz w:val="26"/>
          <w:szCs w:val="26"/>
          <w:rtl/>
        </w:rPr>
      </w:pPr>
      <w:bookmarkStart w:id="15" w:name="TAKZIV23"/>
      <w:bookmarkEnd w:id="15"/>
    </w:p>
    <w:p w14:paraId="74B3EC3B" w14:textId="77777777" w:rsidR="0051496B" w:rsidRPr="000A3FA0" w:rsidRDefault="0051496B">
      <w:pPr>
        <w:rPr>
          <w:rFonts w:cs="FrankRuehl"/>
          <w:sz w:val="26"/>
          <w:szCs w:val="26"/>
          <w:rtl/>
        </w:rPr>
      </w:pPr>
    </w:p>
    <w:p w14:paraId="357A8314" w14:textId="7629A90B" w:rsidR="0051496B" w:rsidRDefault="0051496B">
      <w:pPr>
        <w:rPr>
          <w:rFonts w:cs="FrankRuehl"/>
          <w:sz w:val="26"/>
          <w:szCs w:val="26"/>
          <w:rtl/>
        </w:rPr>
      </w:pPr>
      <w:bookmarkStart w:id="16" w:name="TAKZIV25"/>
      <w:bookmarkEnd w:id="16"/>
    </w:p>
    <w:p w14:paraId="37470B33" w14:textId="3B857546" w:rsidR="004D79B6" w:rsidRDefault="004D79B6">
      <w:pPr>
        <w:rPr>
          <w:rFonts w:cs="FrankRuehl"/>
          <w:sz w:val="26"/>
          <w:szCs w:val="26"/>
          <w:rtl/>
        </w:rPr>
      </w:pPr>
    </w:p>
    <w:p w14:paraId="09F0DECB" w14:textId="789FB57C" w:rsidR="004D79B6" w:rsidRDefault="004D79B6">
      <w:pPr>
        <w:rPr>
          <w:rFonts w:cs="FrankRuehl"/>
          <w:sz w:val="26"/>
          <w:szCs w:val="26"/>
          <w:rtl/>
        </w:rPr>
      </w:pPr>
    </w:p>
    <w:p w14:paraId="2202488A" w14:textId="4CA59E97" w:rsidR="004D79B6" w:rsidRDefault="004D79B6">
      <w:pPr>
        <w:rPr>
          <w:rFonts w:cs="FrankRuehl"/>
          <w:sz w:val="26"/>
          <w:szCs w:val="26"/>
          <w:rtl/>
        </w:rPr>
      </w:pPr>
    </w:p>
    <w:p w14:paraId="08C1D323" w14:textId="0ECD95BF" w:rsidR="004D79B6" w:rsidRDefault="004D79B6">
      <w:pPr>
        <w:rPr>
          <w:rFonts w:cs="FrankRuehl"/>
          <w:sz w:val="26"/>
          <w:szCs w:val="26"/>
          <w:rtl/>
        </w:rPr>
      </w:pPr>
    </w:p>
    <w:p w14:paraId="7FF6846B" w14:textId="2F42FA61" w:rsidR="004D79B6" w:rsidRDefault="004D79B6">
      <w:pPr>
        <w:rPr>
          <w:rFonts w:cs="FrankRuehl"/>
          <w:sz w:val="26"/>
          <w:szCs w:val="26"/>
          <w:rtl/>
        </w:rPr>
      </w:pPr>
    </w:p>
    <w:p w14:paraId="378C184E" w14:textId="148D439A" w:rsidR="004D79B6" w:rsidRDefault="004D79B6">
      <w:pPr>
        <w:rPr>
          <w:rFonts w:cs="FrankRuehl"/>
          <w:sz w:val="26"/>
          <w:szCs w:val="26"/>
          <w:rtl/>
        </w:rPr>
      </w:pPr>
    </w:p>
    <w:p w14:paraId="0A672791" w14:textId="32659721" w:rsidR="004D79B6" w:rsidRDefault="004D79B6">
      <w:pPr>
        <w:rPr>
          <w:rFonts w:cs="FrankRuehl"/>
          <w:sz w:val="26"/>
          <w:szCs w:val="26"/>
          <w:rtl/>
        </w:rPr>
      </w:pPr>
    </w:p>
    <w:p w14:paraId="7E63A254" w14:textId="4F576C72" w:rsidR="004D79B6" w:rsidRDefault="004D79B6">
      <w:pPr>
        <w:rPr>
          <w:rFonts w:cs="FrankRuehl"/>
          <w:sz w:val="26"/>
          <w:szCs w:val="26"/>
          <w:rtl/>
        </w:rPr>
      </w:pPr>
    </w:p>
    <w:p w14:paraId="67E83C09" w14:textId="53541151" w:rsidR="004D79B6" w:rsidRDefault="004D79B6">
      <w:pPr>
        <w:rPr>
          <w:rFonts w:cs="FrankRuehl"/>
          <w:sz w:val="26"/>
          <w:szCs w:val="26"/>
          <w:rtl/>
        </w:rPr>
      </w:pPr>
    </w:p>
    <w:p w14:paraId="5B29276B" w14:textId="54DA094A" w:rsidR="004D79B6" w:rsidRDefault="004D79B6">
      <w:pPr>
        <w:rPr>
          <w:rFonts w:cs="FrankRuehl"/>
          <w:sz w:val="26"/>
          <w:szCs w:val="26"/>
          <w:rtl/>
        </w:rPr>
      </w:pPr>
    </w:p>
    <w:p w14:paraId="4BA3386B" w14:textId="4FB84739" w:rsidR="004D79B6" w:rsidRDefault="004D79B6">
      <w:pPr>
        <w:rPr>
          <w:rFonts w:cs="FrankRuehl"/>
          <w:sz w:val="26"/>
          <w:szCs w:val="26"/>
          <w:rtl/>
        </w:rPr>
      </w:pPr>
    </w:p>
    <w:p w14:paraId="6B913430" w14:textId="3C8C1783" w:rsidR="004D79B6" w:rsidRDefault="004D79B6">
      <w:pPr>
        <w:rPr>
          <w:rFonts w:cs="FrankRuehl"/>
          <w:sz w:val="26"/>
          <w:szCs w:val="26"/>
          <w:rtl/>
        </w:rPr>
      </w:pPr>
    </w:p>
    <w:p w14:paraId="656EE304" w14:textId="6A07F5E7" w:rsidR="004D79B6" w:rsidRDefault="004D79B6">
      <w:pPr>
        <w:rPr>
          <w:rFonts w:cs="FrankRuehl"/>
          <w:sz w:val="26"/>
          <w:szCs w:val="26"/>
          <w:rtl/>
        </w:rPr>
      </w:pPr>
    </w:p>
    <w:p w14:paraId="4E719CDF" w14:textId="779BFDCF" w:rsidR="004D79B6" w:rsidRDefault="004D79B6">
      <w:pPr>
        <w:rPr>
          <w:rFonts w:cs="FrankRuehl"/>
          <w:sz w:val="26"/>
          <w:szCs w:val="26"/>
          <w:rtl/>
        </w:rPr>
      </w:pPr>
    </w:p>
    <w:p w14:paraId="3664F67F" w14:textId="5A512932" w:rsidR="004D79B6" w:rsidRDefault="004D79B6">
      <w:pPr>
        <w:rPr>
          <w:rFonts w:cs="FrankRuehl"/>
          <w:sz w:val="26"/>
          <w:szCs w:val="26"/>
          <w:rtl/>
        </w:rPr>
      </w:pPr>
    </w:p>
    <w:p w14:paraId="76A652CE" w14:textId="65C39B66" w:rsidR="004D79B6" w:rsidRDefault="004D79B6">
      <w:pPr>
        <w:rPr>
          <w:rFonts w:cs="FrankRuehl"/>
          <w:sz w:val="26"/>
          <w:szCs w:val="26"/>
          <w:rtl/>
        </w:rPr>
      </w:pPr>
    </w:p>
    <w:p w14:paraId="1C2D8DEB" w14:textId="1AAA3F7F" w:rsidR="004D79B6" w:rsidRDefault="004D79B6">
      <w:pPr>
        <w:rPr>
          <w:rFonts w:cs="FrankRuehl"/>
          <w:sz w:val="26"/>
          <w:szCs w:val="26"/>
          <w:rtl/>
        </w:rPr>
      </w:pPr>
    </w:p>
    <w:p w14:paraId="1052BDC9" w14:textId="514788E8" w:rsidR="004D79B6" w:rsidRDefault="004D79B6">
      <w:pPr>
        <w:rPr>
          <w:rFonts w:cs="FrankRuehl"/>
          <w:sz w:val="26"/>
          <w:szCs w:val="26"/>
          <w:rtl/>
        </w:rPr>
      </w:pPr>
    </w:p>
    <w:p w14:paraId="405C11A9" w14:textId="271E5105" w:rsidR="004D79B6" w:rsidRDefault="004D79B6">
      <w:pPr>
        <w:rPr>
          <w:rFonts w:cs="FrankRuehl"/>
          <w:sz w:val="26"/>
          <w:szCs w:val="26"/>
          <w:rtl/>
        </w:rPr>
      </w:pPr>
    </w:p>
    <w:p w14:paraId="5116F160" w14:textId="7836D16E" w:rsidR="004D79B6" w:rsidRDefault="004D79B6">
      <w:pPr>
        <w:rPr>
          <w:rFonts w:cs="FrankRuehl"/>
          <w:sz w:val="26"/>
          <w:szCs w:val="26"/>
          <w:rtl/>
        </w:rPr>
      </w:pPr>
    </w:p>
    <w:p w14:paraId="6A0D55D4" w14:textId="1CA2A360" w:rsidR="004D79B6" w:rsidRDefault="004D79B6">
      <w:pPr>
        <w:rPr>
          <w:rFonts w:cs="FrankRuehl"/>
          <w:sz w:val="26"/>
          <w:szCs w:val="26"/>
          <w:rtl/>
        </w:rPr>
      </w:pPr>
    </w:p>
    <w:p w14:paraId="266248EF" w14:textId="2394AF00" w:rsidR="004D79B6" w:rsidRDefault="004D79B6">
      <w:pPr>
        <w:rPr>
          <w:rFonts w:cs="FrankRuehl"/>
          <w:sz w:val="26"/>
          <w:szCs w:val="26"/>
          <w:rtl/>
        </w:rPr>
      </w:pPr>
    </w:p>
    <w:p w14:paraId="1A0A52FE" w14:textId="191E9266" w:rsidR="004D79B6" w:rsidRDefault="004D79B6">
      <w:pPr>
        <w:rPr>
          <w:rFonts w:cs="FrankRuehl"/>
          <w:sz w:val="26"/>
          <w:szCs w:val="26"/>
          <w:rtl/>
        </w:rPr>
      </w:pPr>
    </w:p>
    <w:p w14:paraId="44E30867" w14:textId="54C63DD8" w:rsidR="004D79B6" w:rsidRDefault="004D79B6">
      <w:pPr>
        <w:rPr>
          <w:rFonts w:cs="FrankRuehl"/>
          <w:sz w:val="26"/>
          <w:szCs w:val="26"/>
          <w:rtl/>
        </w:rPr>
      </w:pPr>
    </w:p>
    <w:p w14:paraId="543F6CEC" w14:textId="20427154" w:rsidR="004D79B6" w:rsidRDefault="004D79B6">
      <w:pPr>
        <w:rPr>
          <w:rFonts w:cs="FrankRuehl"/>
          <w:sz w:val="26"/>
          <w:szCs w:val="26"/>
          <w:rtl/>
        </w:rPr>
      </w:pPr>
    </w:p>
    <w:p w14:paraId="300263F5" w14:textId="66C16992" w:rsidR="004D79B6" w:rsidRDefault="004D79B6">
      <w:pPr>
        <w:rPr>
          <w:rFonts w:cs="FrankRuehl"/>
          <w:sz w:val="26"/>
          <w:szCs w:val="26"/>
          <w:rtl/>
        </w:rPr>
      </w:pPr>
    </w:p>
    <w:p w14:paraId="24FBEF64" w14:textId="701B91A3" w:rsidR="004D79B6" w:rsidRDefault="004D79B6">
      <w:pPr>
        <w:rPr>
          <w:rFonts w:cs="FrankRuehl"/>
          <w:sz w:val="26"/>
          <w:szCs w:val="26"/>
          <w:rtl/>
        </w:rPr>
      </w:pPr>
    </w:p>
    <w:p w14:paraId="6CAF10E6" w14:textId="13283CF8" w:rsidR="004D79B6" w:rsidRDefault="004D79B6">
      <w:pPr>
        <w:rPr>
          <w:rFonts w:cs="FrankRuehl"/>
          <w:sz w:val="26"/>
          <w:szCs w:val="26"/>
          <w:rtl/>
        </w:rPr>
      </w:pPr>
    </w:p>
    <w:p w14:paraId="09B7C1DA" w14:textId="69946DCF" w:rsidR="004D79B6" w:rsidRDefault="004D79B6">
      <w:pPr>
        <w:rPr>
          <w:rFonts w:cs="FrankRuehl"/>
          <w:sz w:val="26"/>
          <w:szCs w:val="26"/>
          <w:rtl/>
        </w:rPr>
      </w:pPr>
    </w:p>
    <w:p w14:paraId="7E457F14" w14:textId="4B291D26" w:rsidR="004D79B6" w:rsidRDefault="004D79B6">
      <w:pPr>
        <w:rPr>
          <w:rFonts w:cs="FrankRuehl"/>
          <w:sz w:val="26"/>
          <w:szCs w:val="26"/>
          <w:rtl/>
        </w:rPr>
      </w:pPr>
    </w:p>
    <w:p w14:paraId="03501074" w14:textId="3193D6DB" w:rsidR="004D79B6" w:rsidRDefault="004D79B6">
      <w:pPr>
        <w:rPr>
          <w:rFonts w:cs="FrankRuehl"/>
          <w:sz w:val="26"/>
          <w:szCs w:val="26"/>
          <w:rtl/>
        </w:rPr>
      </w:pPr>
    </w:p>
    <w:p w14:paraId="0FA6698E" w14:textId="7E2C1678" w:rsidR="004D79B6" w:rsidRDefault="004D79B6">
      <w:pPr>
        <w:rPr>
          <w:rFonts w:cs="FrankRuehl"/>
          <w:sz w:val="26"/>
          <w:szCs w:val="26"/>
          <w:rtl/>
        </w:rPr>
      </w:pPr>
    </w:p>
    <w:p w14:paraId="7C66E809" w14:textId="12E09796" w:rsidR="004D79B6" w:rsidRDefault="004D79B6">
      <w:pPr>
        <w:rPr>
          <w:rFonts w:cs="FrankRuehl"/>
          <w:sz w:val="26"/>
          <w:szCs w:val="26"/>
          <w:rtl/>
        </w:rPr>
      </w:pPr>
    </w:p>
    <w:p w14:paraId="4D2401C6" w14:textId="7964F02D" w:rsidR="004D79B6" w:rsidRDefault="004D79B6">
      <w:pPr>
        <w:rPr>
          <w:rFonts w:cs="FrankRuehl"/>
          <w:sz w:val="26"/>
          <w:szCs w:val="26"/>
          <w:rtl/>
        </w:rPr>
      </w:pPr>
    </w:p>
    <w:p w14:paraId="72EF6D22" w14:textId="77777777" w:rsidR="004D79B6" w:rsidRDefault="004D79B6" w:rsidP="004D79B6">
      <w:pPr>
        <w:jc w:val="center"/>
        <w:rPr>
          <w:rFonts w:cs="FrankRuehl"/>
          <w:b/>
          <w:bCs/>
          <w:sz w:val="26"/>
          <w:szCs w:val="26"/>
          <w:u w:val="single"/>
        </w:rPr>
      </w:pPr>
      <w:r>
        <w:rPr>
          <w:rFonts w:cs="FrankRuehl"/>
          <w:b/>
          <w:bCs/>
          <w:sz w:val="26"/>
          <w:szCs w:val="26"/>
          <w:u w:val="single"/>
          <w:rtl/>
        </w:rPr>
        <w:lastRenderedPageBreak/>
        <w:t>נספח לדברי ההסבר</w:t>
      </w:r>
    </w:p>
    <w:p w14:paraId="663AB779" w14:textId="77777777" w:rsidR="004D79B6" w:rsidRDefault="004D79B6" w:rsidP="004D79B6">
      <w:pPr>
        <w:jc w:val="center"/>
        <w:rPr>
          <w:rFonts w:cs="FrankRuehl"/>
          <w:b/>
          <w:bCs/>
          <w:sz w:val="26"/>
          <w:szCs w:val="26"/>
          <w:u w:val="single"/>
          <w:rtl/>
        </w:rPr>
      </w:pPr>
    </w:p>
    <w:p w14:paraId="759D7C30" w14:textId="77777777" w:rsidR="004D79B6" w:rsidRDefault="004D79B6" w:rsidP="004D79B6">
      <w:pPr>
        <w:jc w:val="center"/>
        <w:rPr>
          <w:rFonts w:cs="FrankRuehl"/>
          <w:b/>
          <w:bCs/>
          <w:sz w:val="26"/>
          <w:szCs w:val="26"/>
          <w:rtl/>
        </w:rPr>
      </w:pPr>
      <w:r>
        <w:rPr>
          <w:rFonts w:cs="FrankRuehl"/>
          <w:b/>
          <w:bCs/>
          <w:sz w:val="26"/>
          <w:szCs w:val="26"/>
          <w:rtl/>
        </w:rPr>
        <w:t>היסטוריה תקציבית של הפנייה</w:t>
      </w:r>
    </w:p>
    <w:p w14:paraId="305EFA17" w14:textId="6AEC1159" w:rsidR="004D79B6" w:rsidRDefault="004D79B6">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4D79B6" w:rsidRPr="004D79B6" w14:paraId="0A687F74" w14:textId="77777777" w:rsidTr="004D79B6">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08F7ABFB" w14:textId="77777777" w:rsidR="004D79B6" w:rsidRPr="004D79B6" w:rsidRDefault="004D79B6" w:rsidP="004D79B6">
            <w:pPr>
              <w:overflowPunct/>
              <w:autoSpaceDE/>
              <w:autoSpaceDN/>
              <w:adjustRightInd/>
              <w:jc w:val="center"/>
              <w:textAlignment w:val="auto"/>
              <w:rPr>
                <w:rFonts w:ascii="Calibri" w:hAnsi="Calibri" w:cs="Calibri"/>
                <w:b/>
                <w:bCs/>
                <w:color w:val="000000"/>
                <w:sz w:val="16"/>
                <w:szCs w:val="16"/>
                <w:lang w:eastAsia="en-US"/>
              </w:rPr>
            </w:pPr>
            <w:r w:rsidRPr="004D79B6">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208D6DA3" w14:textId="77777777" w:rsidR="004D79B6" w:rsidRPr="004D79B6" w:rsidRDefault="004D79B6" w:rsidP="004D79B6">
            <w:pPr>
              <w:overflowPunct/>
              <w:autoSpaceDE/>
              <w:autoSpaceDN/>
              <w:adjustRightInd/>
              <w:jc w:val="center"/>
              <w:textAlignment w:val="auto"/>
              <w:rPr>
                <w:rFonts w:ascii="Calibri" w:hAnsi="Calibri" w:cs="Calibri"/>
                <w:b/>
                <w:bCs/>
                <w:color w:val="000000"/>
                <w:sz w:val="16"/>
                <w:szCs w:val="16"/>
                <w:rtl/>
                <w:lang w:eastAsia="en-US"/>
              </w:rPr>
            </w:pPr>
            <w:r w:rsidRPr="004D79B6">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CB3DB8E" w14:textId="77777777" w:rsidR="004D79B6" w:rsidRPr="004D79B6" w:rsidRDefault="004D79B6" w:rsidP="004D79B6">
            <w:pPr>
              <w:overflowPunct/>
              <w:autoSpaceDE/>
              <w:autoSpaceDN/>
              <w:adjustRightInd/>
              <w:jc w:val="center"/>
              <w:textAlignment w:val="auto"/>
              <w:rPr>
                <w:rFonts w:ascii="Calibri" w:hAnsi="Calibri" w:cs="Calibri"/>
                <w:b/>
                <w:bCs/>
                <w:color w:val="000000"/>
                <w:sz w:val="16"/>
                <w:szCs w:val="16"/>
                <w:rtl/>
                <w:lang w:eastAsia="en-US"/>
              </w:rPr>
            </w:pPr>
            <w:r w:rsidRPr="004D79B6">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4AFAD284" w14:textId="77777777" w:rsidR="004D79B6" w:rsidRPr="004D79B6" w:rsidRDefault="004D79B6" w:rsidP="004D79B6">
            <w:pPr>
              <w:overflowPunct/>
              <w:autoSpaceDE/>
              <w:autoSpaceDN/>
              <w:adjustRightInd/>
              <w:jc w:val="center"/>
              <w:textAlignment w:val="auto"/>
              <w:rPr>
                <w:rFonts w:ascii="Calibri" w:hAnsi="Calibri" w:cs="Calibri"/>
                <w:b/>
                <w:bCs/>
                <w:color w:val="000000"/>
                <w:sz w:val="16"/>
                <w:szCs w:val="16"/>
                <w:rtl/>
                <w:lang w:eastAsia="en-US"/>
              </w:rPr>
            </w:pPr>
            <w:r w:rsidRPr="004D79B6">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36AFC94" w14:textId="77777777" w:rsidR="004D79B6" w:rsidRPr="004D79B6" w:rsidRDefault="004D79B6" w:rsidP="004D79B6">
            <w:pPr>
              <w:overflowPunct/>
              <w:autoSpaceDE/>
              <w:autoSpaceDN/>
              <w:adjustRightInd/>
              <w:jc w:val="center"/>
              <w:textAlignment w:val="auto"/>
              <w:rPr>
                <w:rFonts w:ascii="Calibri" w:hAnsi="Calibri" w:cs="Calibri"/>
                <w:b/>
                <w:bCs/>
                <w:color w:val="000000"/>
                <w:sz w:val="16"/>
                <w:szCs w:val="16"/>
                <w:rtl/>
                <w:lang w:eastAsia="en-US"/>
              </w:rPr>
            </w:pPr>
            <w:r w:rsidRPr="004D79B6">
              <w:rPr>
                <w:rFonts w:ascii="Calibri" w:hAnsi="Calibri" w:cs="Calibri"/>
                <w:b/>
                <w:bCs/>
                <w:color w:val="000000"/>
                <w:sz w:val="16"/>
                <w:szCs w:val="16"/>
                <w:rtl/>
                <w:lang w:eastAsia="en-US"/>
              </w:rPr>
              <w:t>סך עודף שהועבר ב-2023</w:t>
            </w:r>
          </w:p>
        </w:tc>
      </w:tr>
      <w:tr w:rsidR="004D79B6" w:rsidRPr="004D79B6" w14:paraId="74F6E2B9" w14:textId="77777777" w:rsidTr="004D79B6">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65EE35C4"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rtl/>
                <w:lang w:eastAsia="en-US"/>
              </w:rPr>
            </w:pPr>
            <w:r w:rsidRPr="004D79B6">
              <w:rPr>
                <w:rFonts w:ascii="Calibri" w:hAnsi="Calibri" w:cs="Calibri"/>
                <w:color w:val="000000"/>
                <w:sz w:val="16"/>
                <w:szCs w:val="16"/>
                <w:lang w:eastAsia="en-US"/>
              </w:rPr>
              <w:t>405001</w:t>
            </w:r>
          </w:p>
        </w:tc>
        <w:tc>
          <w:tcPr>
            <w:tcW w:w="1111" w:type="pct"/>
            <w:tcBorders>
              <w:top w:val="nil"/>
              <w:left w:val="single" w:sz="4" w:space="0" w:color="979991"/>
              <w:bottom w:val="single" w:sz="4" w:space="0" w:color="979991"/>
              <w:right w:val="nil"/>
            </w:tcBorders>
            <w:shd w:val="clear" w:color="000000" w:fill="FFFFFF"/>
            <w:vAlign w:val="center"/>
            <w:hideMark/>
          </w:tcPr>
          <w:p w14:paraId="7E919BFB"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103,726</w:t>
            </w:r>
          </w:p>
        </w:tc>
        <w:tc>
          <w:tcPr>
            <w:tcW w:w="968" w:type="pct"/>
            <w:tcBorders>
              <w:top w:val="nil"/>
              <w:left w:val="single" w:sz="4" w:space="0" w:color="979991"/>
              <w:bottom w:val="single" w:sz="4" w:space="0" w:color="979991"/>
              <w:right w:val="nil"/>
            </w:tcBorders>
            <w:shd w:val="clear" w:color="000000" w:fill="FFFFFF"/>
            <w:vAlign w:val="center"/>
            <w:hideMark/>
          </w:tcPr>
          <w:p w14:paraId="3319EF16"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123,611</w:t>
            </w:r>
          </w:p>
        </w:tc>
        <w:tc>
          <w:tcPr>
            <w:tcW w:w="968" w:type="pct"/>
            <w:tcBorders>
              <w:top w:val="nil"/>
              <w:left w:val="single" w:sz="4" w:space="0" w:color="979991"/>
              <w:bottom w:val="single" w:sz="4" w:space="0" w:color="979991"/>
              <w:right w:val="nil"/>
            </w:tcBorders>
            <w:shd w:val="clear" w:color="000000" w:fill="FFFFFF"/>
            <w:vAlign w:val="center"/>
            <w:hideMark/>
          </w:tcPr>
          <w:p w14:paraId="04F5DF0F"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136,791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77B0189"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134,313</w:t>
            </w:r>
          </w:p>
        </w:tc>
      </w:tr>
      <w:tr w:rsidR="004D79B6" w:rsidRPr="004D79B6" w14:paraId="26E82FEE" w14:textId="77777777" w:rsidTr="004D79B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E64BA02"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405002</w:t>
            </w:r>
          </w:p>
        </w:tc>
        <w:tc>
          <w:tcPr>
            <w:tcW w:w="1111" w:type="pct"/>
            <w:tcBorders>
              <w:top w:val="nil"/>
              <w:left w:val="single" w:sz="4" w:space="0" w:color="979991"/>
              <w:bottom w:val="single" w:sz="4" w:space="0" w:color="979991"/>
              <w:right w:val="nil"/>
            </w:tcBorders>
            <w:shd w:val="clear" w:color="000000" w:fill="FFFFFF"/>
            <w:vAlign w:val="center"/>
            <w:hideMark/>
          </w:tcPr>
          <w:p w14:paraId="3940C0A9"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11,468</w:t>
            </w:r>
          </w:p>
        </w:tc>
        <w:tc>
          <w:tcPr>
            <w:tcW w:w="968" w:type="pct"/>
            <w:tcBorders>
              <w:top w:val="nil"/>
              <w:left w:val="single" w:sz="4" w:space="0" w:color="979991"/>
              <w:bottom w:val="single" w:sz="4" w:space="0" w:color="979991"/>
              <w:right w:val="nil"/>
            </w:tcBorders>
            <w:shd w:val="clear" w:color="000000" w:fill="FFFFFF"/>
            <w:vAlign w:val="center"/>
            <w:hideMark/>
          </w:tcPr>
          <w:p w14:paraId="042BD662"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6,940</w:t>
            </w:r>
          </w:p>
        </w:tc>
        <w:tc>
          <w:tcPr>
            <w:tcW w:w="968" w:type="pct"/>
            <w:tcBorders>
              <w:top w:val="nil"/>
              <w:left w:val="single" w:sz="4" w:space="0" w:color="979991"/>
              <w:bottom w:val="single" w:sz="4" w:space="0" w:color="979991"/>
              <w:right w:val="nil"/>
            </w:tcBorders>
            <w:shd w:val="clear" w:color="000000" w:fill="FFFFFF"/>
            <w:vAlign w:val="center"/>
            <w:hideMark/>
          </w:tcPr>
          <w:p w14:paraId="20CC2FEA"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4,766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456F454"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4,541</w:t>
            </w:r>
          </w:p>
        </w:tc>
      </w:tr>
      <w:tr w:rsidR="004D79B6" w:rsidRPr="004D79B6" w14:paraId="0E222DFA" w14:textId="77777777" w:rsidTr="004D79B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4838924"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405101</w:t>
            </w:r>
          </w:p>
        </w:tc>
        <w:tc>
          <w:tcPr>
            <w:tcW w:w="1111" w:type="pct"/>
            <w:tcBorders>
              <w:top w:val="nil"/>
              <w:left w:val="single" w:sz="4" w:space="0" w:color="979991"/>
              <w:bottom w:val="single" w:sz="4" w:space="0" w:color="979991"/>
              <w:right w:val="nil"/>
            </w:tcBorders>
            <w:shd w:val="clear" w:color="000000" w:fill="FFFFFF"/>
            <w:vAlign w:val="center"/>
            <w:hideMark/>
          </w:tcPr>
          <w:p w14:paraId="3530EF17"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11,697</w:t>
            </w:r>
          </w:p>
        </w:tc>
        <w:tc>
          <w:tcPr>
            <w:tcW w:w="968" w:type="pct"/>
            <w:tcBorders>
              <w:top w:val="nil"/>
              <w:left w:val="single" w:sz="4" w:space="0" w:color="979991"/>
              <w:bottom w:val="single" w:sz="4" w:space="0" w:color="979991"/>
              <w:right w:val="nil"/>
            </w:tcBorders>
            <w:shd w:val="clear" w:color="000000" w:fill="FFFFFF"/>
            <w:vAlign w:val="center"/>
            <w:hideMark/>
          </w:tcPr>
          <w:p w14:paraId="315103FF"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28,860</w:t>
            </w:r>
          </w:p>
        </w:tc>
        <w:tc>
          <w:tcPr>
            <w:tcW w:w="968" w:type="pct"/>
            <w:tcBorders>
              <w:top w:val="nil"/>
              <w:left w:val="single" w:sz="4" w:space="0" w:color="979991"/>
              <w:bottom w:val="single" w:sz="4" w:space="0" w:color="979991"/>
              <w:right w:val="nil"/>
            </w:tcBorders>
            <w:shd w:val="clear" w:color="000000" w:fill="FFFFFF"/>
            <w:vAlign w:val="center"/>
            <w:hideMark/>
          </w:tcPr>
          <w:p w14:paraId="0C1321C9"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29,989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503CED2"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29,786</w:t>
            </w:r>
          </w:p>
        </w:tc>
      </w:tr>
      <w:tr w:rsidR="004D79B6" w:rsidRPr="004D79B6" w14:paraId="733E2F62" w14:textId="77777777" w:rsidTr="004D79B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04A8192"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405201</w:t>
            </w:r>
          </w:p>
        </w:tc>
        <w:tc>
          <w:tcPr>
            <w:tcW w:w="1111" w:type="pct"/>
            <w:tcBorders>
              <w:top w:val="nil"/>
              <w:left w:val="single" w:sz="4" w:space="0" w:color="979991"/>
              <w:bottom w:val="single" w:sz="4" w:space="0" w:color="979991"/>
              <w:right w:val="nil"/>
            </w:tcBorders>
            <w:shd w:val="clear" w:color="000000" w:fill="FFFFFF"/>
            <w:vAlign w:val="center"/>
            <w:hideMark/>
          </w:tcPr>
          <w:p w14:paraId="5559AF41"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20,597</w:t>
            </w:r>
          </w:p>
        </w:tc>
        <w:tc>
          <w:tcPr>
            <w:tcW w:w="968" w:type="pct"/>
            <w:tcBorders>
              <w:top w:val="nil"/>
              <w:left w:val="single" w:sz="4" w:space="0" w:color="979991"/>
              <w:bottom w:val="single" w:sz="4" w:space="0" w:color="979991"/>
              <w:right w:val="nil"/>
            </w:tcBorders>
            <w:shd w:val="clear" w:color="000000" w:fill="FFFFFF"/>
            <w:vAlign w:val="center"/>
            <w:hideMark/>
          </w:tcPr>
          <w:p w14:paraId="6CA53C0F"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22,803</w:t>
            </w:r>
          </w:p>
        </w:tc>
        <w:tc>
          <w:tcPr>
            <w:tcW w:w="968" w:type="pct"/>
            <w:tcBorders>
              <w:top w:val="nil"/>
              <w:left w:val="single" w:sz="4" w:space="0" w:color="979991"/>
              <w:bottom w:val="single" w:sz="4" w:space="0" w:color="979991"/>
              <w:right w:val="nil"/>
            </w:tcBorders>
            <w:shd w:val="clear" w:color="000000" w:fill="FFFFFF"/>
            <w:vAlign w:val="center"/>
            <w:hideMark/>
          </w:tcPr>
          <w:p w14:paraId="19FDF76C"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17,741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F09BA55"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12,222</w:t>
            </w:r>
          </w:p>
        </w:tc>
      </w:tr>
      <w:tr w:rsidR="004D79B6" w:rsidRPr="004D79B6" w14:paraId="066D0734" w14:textId="77777777" w:rsidTr="004D79B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3ACC102"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405301</w:t>
            </w:r>
          </w:p>
        </w:tc>
        <w:tc>
          <w:tcPr>
            <w:tcW w:w="1111" w:type="pct"/>
            <w:tcBorders>
              <w:top w:val="nil"/>
              <w:left w:val="single" w:sz="4" w:space="0" w:color="979991"/>
              <w:bottom w:val="single" w:sz="4" w:space="0" w:color="979991"/>
              <w:right w:val="nil"/>
            </w:tcBorders>
            <w:shd w:val="clear" w:color="000000" w:fill="FFFFFF"/>
            <w:vAlign w:val="center"/>
            <w:hideMark/>
          </w:tcPr>
          <w:p w14:paraId="05752DB1"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39,978</w:t>
            </w:r>
          </w:p>
        </w:tc>
        <w:tc>
          <w:tcPr>
            <w:tcW w:w="968" w:type="pct"/>
            <w:tcBorders>
              <w:top w:val="nil"/>
              <w:left w:val="single" w:sz="4" w:space="0" w:color="979991"/>
              <w:bottom w:val="single" w:sz="4" w:space="0" w:color="979991"/>
              <w:right w:val="nil"/>
            </w:tcBorders>
            <w:shd w:val="clear" w:color="000000" w:fill="FFFFFF"/>
            <w:vAlign w:val="center"/>
            <w:hideMark/>
          </w:tcPr>
          <w:p w14:paraId="7B66891C"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31,802</w:t>
            </w:r>
          </w:p>
        </w:tc>
        <w:tc>
          <w:tcPr>
            <w:tcW w:w="968" w:type="pct"/>
            <w:tcBorders>
              <w:top w:val="nil"/>
              <w:left w:val="single" w:sz="4" w:space="0" w:color="979991"/>
              <w:bottom w:val="single" w:sz="4" w:space="0" w:color="979991"/>
              <w:right w:val="nil"/>
            </w:tcBorders>
            <w:shd w:val="clear" w:color="000000" w:fill="FFFFFF"/>
            <w:vAlign w:val="center"/>
            <w:hideMark/>
          </w:tcPr>
          <w:p w14:paraId="27A6DEA6"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30,796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7B85A4D"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48,492</w:t>
            </w:r>
          </w:p>
        </w:tc>
      </w:tr>
      <w:tr w:rsidR="004D79B6" w:rsidRPr="004D79B6" w14:paraId="4274CB70" w14:textId="77777777" w:rsidTr="004D79B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FBA1775"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405501</w:t>
            </w:r>
          </w:p>
        </w:tc>
        <w:tc>
          <w:tcPr>
            <w:tcW w:w="1111" w:type="pct"/>
            <w:tcBorders>
              <w:top w:val="nil"/>
              <w:left w:val="single" w:sz="4" w:space="0" w:color="979991"/>
              <w:bottom w:val="single" w:sz="4" w:space="0" w:color="979991"/>
              <w:right w:val="nil"/>
            </w:tcBorders>
            <w:shd w:val="clear" w:color="000000" w:fill="FFFFFF"/>
            <w:vAlign w:val="center"/>
            <w:hideMark/>
          </w:tcPr>
          <w:p w14:paraId="41229482"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35</w:t>
            </w:r>
          </w:p>
        </w:tc>
        <w:tc>
          <w:tcPr>
            <w:tcW w:w="968" w:type="pct"/>
            <w:tcBorders>
              <w:top w:val="nil"/>
              <w:left w:val="single" w:sz="4" w:space="0" w:color="979991"/>
              <w:bottom w:val="single" w:sz="4" w:space="0" w:color="979991"/>
              <w:right w:val="nil"/>
            </w:tcBorders>
            <w:shd w:val="clear" w:color="000000" w:fill="FFFFFF"/>
            <w:vAlign w:val="center"/>
            <w:hideMark/>
          </w:tcPr>
          <w:p w14:paraId="66A8111F"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58A5C08E"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9D8EFCF"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0</w:t>
            </w:r>
          </w:p>
        </w:tc>
      </w:tr>
      <w:tr w:rsidR="004D79B6" w:rsidRPr="004D79B6" w14:paraId="6D8CFF95" w14:textId="77777777" w:rsidTr="004D79B6">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5AD6F77"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405601</w:t>
            </w:r>
          </w:p>
        </w:tc>
        <w:tc>
          <w:tcPr>
            <w:tcW w:w="1111" w:type="pct"/>
            <w:tcBorders>
              <w:top w:val="nil"/>
              <w:left w:val="single" w:sz="4" w:space="0" w:color="979991"/>
              <w:bottom w:val="single" w:sz="4" w:space="0" w:color="979991"/>
              <w:right w:val="nil"/>
            </w:tcBorders>
            <w:shd w:val="clear" w:color="000000" w:fill="FFFFFF"/>
            <w:vAlign w:val="center"/>
            <w:hideMark/>
          </w:tcPr>
          <w:p w14:paraId="3999F1A9"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1,357</w:t>
            </w:r>
          </w:p>
        </w:tc>
        <w:tc>
          <w:tcPr>
            <w:tcW w:w="968" w:type="pct"/>
            <w:tcBorders>
              <w:top w:val="nil"/>
              <w:left w:val="single" w:sz="4" w:space="0" w:color="979991"/>
              <w:bottom w:val="single" w:sz="4" w:space="0" w:color="979991"/>
              <w:right w:val="nil"/>
            </w:tcBorders>
            <w:shd w:val="clear" w:color="000000" w:fill="FFFFFF"/>
            <w:vAlign w:val="center"/>
            <w:hideMark/>
          </w:tcPr>
          <w:p w14:paraId="61D8BA88"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5278E0F3"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25AB98D" w14:textId="77777777" w:rsidR="004D79B6" w:rsidRPr="004D79B6" w:rsidRDefault="004D79B6" w:rsidP="004D79B6">
            <w:pPr>
              <w:overflowPunct/>
              <w:autoSpaceDE/>
              <w:autoSpaceDN/>
              <w:bidi w:val="0"/>
              <w:adjustRightInd/>
              <w:jc w:val="center"/>
              <w:textAlignment w:val="auto"/>
              <w:rPr>
                <w:rFonts w:ascii="Calibri" w:hAnsi="Calibri" w:cs="Calibri"/>
                <w:color w:val="000000"/>
                <w:sz w:val="16"/>
                <w:szCs w:val="16"/>
                <w:lang w:eastAsia="en-US"/>
              </w:rPr>
            </w:pPr>
            <w:r w:rsidRPr="004D79B6">
              <w:rPr>
                <w:rFonts w:ascii="Calibri" w:hAnsi="Calibri" w:cs="Calibri"/>
                <w:color w:val="000000"/>
                <w:sz w:val="16"/>
                <w:szCs w:val="16"/>
                <w:lang w:eastAsia="en-US"/>
              </w:rPr>
              <w:t>0</w:t>
            </w:r>
          </w:p>
        </w:tc>
      </w:tr>
    </w:tbl>
    <w:p w14:paraId="7D62651C" w14:textId="77777777" w:rsidR="004D79B6" w:rsidRDefault="004D79B6">
      <w:pPr>
        <w:rPr>
          <w:rFonts w:cs="FrankRuehl"/>
          <w:sz w:val="26"/>
          <w:szCs w:val="26"/>
          <w:rtl/>
        </w:rPr>
      </w:pPr>
    </w:p>
    <w:p w14:paraId="790D859C" w14:textId="16CBB579" w:rsidR="004D79B6" w:rsidRDefault="004D79B6">
      <w:pPr>
        <w:rPr>
          <w:rFonts w:cs="FrankRuehl"/>
          <w:sz w:val="26"/>
          <w:szCs w:val="26"/>
          <w:rtl/>
        </w:rPr>
      </w:pPr>
    </w:p>
    <w:p w14:paraId="1FFDA9EB" w14:textId="616C505F" w:rsidR="004D79B6" w:rsidRDefault="004D79B6">
      <w:pPr>
        <w:rPr>
          <w:rFonts w:cs="FrankRuehl"/>
          <w:sz w:val="26"/>
          <w:szCs w:val="26"/>
          <w:rtl/>
        </w:rPr>
      </w:pPr>
    </w:p>
    <w:p w14:paraId="1354289A" w14:textId="1EA6587D" w:rsidR="004D79B6" w:rsidRDefault="004D79B6">
      <w:pPr>
        <w:rPr>
          <w:rFonts w:cs="FrankRuehl"/>
          <w:sz w:val="26"/>
          <w:szCs w:val="26"/>
          <w:rtl/>
        </w:rPr>
      </w:pPr>
    </w:p>
    <w:p w14:paraId="6E9D8441" w14:textId="2BE7B171" w:rsidR="004D79B6" w:rsidRDefault="004D79B6">
      <w:pPr>
        <w:rPr>
          <w:rFonts w:cs="FrankRuehl"/>
          <w:sz w:val="26"/>
          <w:szCs w:val="26"/>
          <w:rtl/>
        </w:rPr>
      </w:pPr>
    </w:p>
    <w:p w14:paraId="728F1164" w14:textId="759B2542" w:rsidR="004D79B6" w:rsidRDefault="004D79B6">
      <w:pPr>
        <w:rPr>
          <w:rFonts w:cs="FrankRuehl"/>
          <w:sz w:val="26"/>
          <w:szCs w:val="26"/>
          <w:rtl/>
        </w:rPr>
      </w:pPr>
    </w:p>
    <w:p w14:paraId="5BF13F99" w14:textId="5121BCB4" w:rsidR="004D79B6" w:rsidRDefault="004D79B6">
      <w:pPr>
        <w:rPr>
          <w:rFonts w:cs="FrankRuehl"/>
          <w:sz w:val="26"/>
          <w:szCs w:val="26"/>
          <w:rtl/>
        </w:rPr>
      </w:pPr>
    </w:p>
    <w:p w14:paraId="1651235B" w14:textId="41C604FE" w:rsidR="004D79B6" w:rsidRDefault="004D79B6">
      <w:pPr>
        <w:rPr>
          <w:rFonts w:cs="FrankRuehl"/>
          <w:sz w:val="26"/>
          <w:szCs w:val="26"/>
          <w:rtl/>
        </w:rPr>
      </w:pPr>
    </w:p>
    <w:p w14:paraId="64BA612F" w14:textId="77777777" w:rsidR="004D79B6" w:rsidRPr="000A3FA0" w:rsidRDefault="004D79B6">
      <w:pPr>
        <w:rPr>
          <w:rFonts w:cs="FrankRuehl"/>
          <w:sz w:val="26"/>
          <w:szCs w:val="26"/>
          <w:rtl/>
        </w:rPr>
      </w:pPr>
    </w:p>
    <w:sectPr w:rsidR="004D79B6"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DC283" w14:textId="77777777" w:rsidR="008D2302" w:rsidRDefault="008D2302" w:rsidP="00A32326">
      <w:r>
        <w:separator/>
      </w:r>
    </w:p>
  </w:endnote>
  <w:endnote w:type="continuationSeparator" w:id="0">
    <w:p w14:paraId="267773E1" w14:textId="77777777" w:rsidR="008D2302" w:rsidRDefault="008D2302"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D7AE"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8112E"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6D9D"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3C521" w14:textId="77777777" w:rsidR="008D2302" w:rsidRDefault="008D2302" w:rsidP="00A32326">
      <w:r>
        <w:separator/>
      </w:r>
    </w:p>
  </w:footnote>
  <w:footnote w:type="continuationSeparator" w:id="0">
    <w:p w14:paraId="060B04B2" w14:textId="77777777" w:rsidR="008D2302" w:rsidRDefault="008D2302"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2EB8"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A5DE3" w14:textId="77777777" w:rsidR="00A32326" w:rsidRPr="00CB5FFD" w:rsidRDefault="008D2302" w:rsidP="00A32326">
    <w:pPr>
      <w:pStyle w:val="a4"/>
      <w:jc w:val="right"/>
      <w:rPr>
        <w:color w:val="4F81BD"/>
        <w:rtl/>
        <w:cs/>
      </w:rPr>
    </w:pPr>
    <w:r>
      <w:rPr>
        <w:noProof/>
        <w:rtl/>
      </w:rPr>
      <w:pict w14:anchorId="3A96B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1380CF2B" w14:textId="77777777" w:rsidR="00A32326" w:rsidRPr="00CB5FFD" w:rsidRDefault="00A32326" w:rsidP="00A32326">
    <w:pPr>
      <w:pStyle w:val="a4"/>
      <w:jc w:val="right"/>
      <w:rPr>
        <w:color w:val="4F81BD"/>
        <w:rtl/>
        <w:cs/>
      </w:rPr>
    </w:pPr>
  </w:p>
  <w:p w14:paraId="4F986835" w14:textId="77777777" w:rsidR="00A32326" w:rsidRDefault="00A32326" w:rsidP="00A32326">
    <w:pPr>
      <w:pStyle w:val="a4"/>
    </w:pPr>
  </w:p>
  <w:p w14:paraId="24E28CF3"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2CDB"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411078"/>
    <w:rsid w:val="004D79B6"/>
    <w:rsid w:val="00507569"/>
    <w:rsid w:val="0051496B"/>
    <w:rsid w:val="00596B46"/>
    <w:rsid w:val="007332A2"/>
    <w:rsid w:val="008D2302"/>
    <w:rsid w:val="0096594F"/>
    <w:rsid w:val="009E3253"/>
    <w:rsid w:val="00A14A9C"/>
    <w:rsid w:val="00A32326"/>
    <w:rsid w:val="00A51CFB"/>
    <w:rsid w:val="00A6761F"/>
    <w:rsid w:val="00AC0FB8"/>
    <w:rsid w:val="00BE74E8"/>
    <w:rsid w:val="00C81BEB"/>
    <w:rsid w:val="00CA3E28"/>
    <w:rsid w:val="00D00A6A"/>
    <w:rsid w:val="00D02451"/>
    <w:rsid w:val="00D1564D"/>
    <w:rsid w:val="00D15DD5"/>
    <w:rsid w:val="00E15D12"/>
    <w:rsid w:val="00E84A39"/>
    <w:rsid w:val="00F7434C"/>
    <w:rsid w:val="00FB26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FBD8EC9"/>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423592">
      <w:bodyDiv w:val="1"/>
      <w:marLeft w:val="0"/>
      <w:marRight w:val="0"/>
      <w:marTop w:val="0"/>
      <w:marBottom w:val="0"/>
      <w:divBdr>
        <w:top w:val="none" w:sz="0" w:space="0" w:color="auto"/>
        <w:left w:val="none" w:sz="0" w:space="0" w:color="auto"/>
        <w:bottom w:val="none" w:sz="0" w:space="0" w:color="auto"/>
        <w:right w:val="none" w:sz="0" w:space="0" w:color="auto"/>
      </w:divBdr>
    </w:div>
    <w:div w:id="1131745073">
      <w:bodyDiv w:val="1"/>
      <w:marLeft w:val="0"/>
      <w:marRight w:val="0"/>
      <w:marTop w:val="0"/>
      <w:marBottom w:val="0"/>
      <w:divBdr>
        <w:top w:val="none" w:sz="0" w:space="0" w:color="auto"/>
        <w:left w:val="none" w:sz="0" w:space="0" w:color="auto"/>
        <w:bottom w:val="none" w:sz="0" w:space="0" w:color="auto"/>
        <w:right w:val="none" w:sz="0" w:space="0" w:color="auto"/>
      </w:divBdr>
    </w:div>
    <w:div w:id="174660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956</Words>
  <Characters>4784</Characters>
  <Application>Microsoft Office Word</Application>
  <DocSecurity>0</DocSecurity>
  <Lines>39</Lines>
  <Paragraphs>11</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2026-04-28T11:54:00Z</dcterms:created>
  <dcterms:modified xsi:type="dcterms:W3CDTF">2026-04-29T10:53:00Z</dcterms:modified>
</cp:coreProperties>
</file>