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34FAB" w14:textId="77777777" w:rsidR="00436E4E" w:rsidRDefault="00436E4E">
      <w:pPr>
        <w:pStyle w:val="a6"/>
        <w:rPr>
          <w:rtl/>
        </w:rPr>
      </w:pPr>
    </w:p>
    <w:p w14:paraId="4CB40566" w14:textId="77777777" w:rsidR="00436E4E" w:rsidRDefault="00436E4E">
      <w:pPr>
        <w:pStyle w:val="a6"/>
        <w:rPr>
          <w:rtl/>
        </w:rPr>
      </w:pPr>
      <w:r>
        <w:rPr>
          <w:rtl/>
        </w:rPr>
        <w:t>מדינת ישראל</w:t>
      </w:r>
    </w:p>
    <w:p w14:paraId="313FEF53" w14:textId="77777777" w:rsidR="00436E4E" w:rsidRDefault="00436E4E">
      <w:pPr>
        <w:pStyle w:val="a6"/>
        <w:rPr>
          <w:szCs w:val="24"/>
          <w:rtl/>
        </w:rPr>
      </w:pPr>
      <w:r>
        <w:rPr>
          <w:rtl/>
        </w:rPr>
        <w:t>האוצר - אגף התקציבים</w:t>
      </w:r>
    </w:p>
    <w:p w14:paraId="7CCD11C0" w14:textId="77777777" w:rsidR="00436E4E" w:rsidRDefault="00436E4E">
      <w:pPr>
        <w:rPr>
          <w:rtl/>
        </w:rPr>
      </w:pPr>
    </w:p>
    <w:p w14:paraId="622EE158" w14:textId="77777777" w:rsidR="00436E4E" w:rsidRDefault="00436E4E">
      <w:pPr>
        <w:rPr>
          <w:rtl/>
        </w:rPr>
      </w:pPr>
    </w:p>
    <w:p w14:paraId="3B87CAB4" w14:textId="77777777" w:rsidR="00436E4E" w:rsidRDefault="00436E4E">
      <w:pPr>
        <w:tabs>
          <w:tab w:val="left" w:pos="6300"/>
        </w:tabs>
        <w:rPr>
          <w:rtl/>
        </w:rPr>
      </w:pPr>
      <w:r>
        <w:rPr>
          <w:rtl/>
        </w:rPr>
        <w:tab/>
      </w:r>
      <w:bookmarkStart w:id="0" w:name="TAKZIV8"/>
      <w:r w:rsidR="00F34E96">
        <w:rPr>
          <w:rtl/>
        </w:rPr>
        <w:t>תקציב רגיל</w:t>
      </w:r>
      <w:bookmarkEnd w:id="0"/>
    </w:p>
    <w:p w14:paraId="63783E25" w14:textId="77777777" w:rsidR="00436E4E" w:rsidRDefault="00436E4E">
      <w:pPr>
        <w:tabs>
          <w:tab w:val="left" w:pos="6300"/>
        </w:tabs>
        <w:rPr>
          <w:rtl/>
        </w:rPr>
      </w:pPr>
      <w:r>
        <w:rPr>
          <w:rtl/>
        </w:rPr>
        <w:tab/>
      </w:r>
    </w:p>
    <w:p w14:paraId="16F4FAB8"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4F432030" w14:textId="12F7D4E6"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F34E96">
        <w:rPr>
          <w:rFonts w:cs="FrankRuehl"/>
          <w:sz w:val="26"/>
          <w:szCs w:val="26"/>
          <w:rtl/>
        </w:rPr>
        <w:t>205</w:t>
      </w:r>
      <w:bookmarkEnd w:id="2"/>
      <w:r w:rsidRPr="002E1D22">
        <w:rPr>
          <w:rFonts w:cs="FrankRuehl"/>
          <w:sz w:val="26"/>
          <w:szCs w:val="26"/>
          <w:rtl/>
        </w:rPr>
        <w:t xml:space="preserve"> </w:t>
      </w:r>
      <w:r w:rsidR="00B077C4">
        <w:rPr>
          <w:rFonts w:cs="FrankRuehl"/>
          <w:sz w:val="26"/>
          <w:szCs w:val="26"/>
          <w:rtl/>
        </w:rPr>
        <w:t>–</w:t>
      </w:r>
      <w:r w:rsidRPr="002E1D22">
        <w:rPr>
          <w:rFonts w:cs="FrankRuehl"/>
          <w:sz w:val="26"/>
          <w:szCs w:val="26"/>
          <w:rtl/>
        </w:rPr>
        <w:t xml:space="preserve"> </w:t>
      </w:r>
      <w:bookmarkStart w:id="3" w:name="TAKZIV3"/>
      <w:r w:rsidR="00F34E96">
        <w:rPr>
          <w:rFonts w:cs="FrankRuehl"/>
          <w:sz w:val="26"/>
          <w:szCs w:val="26"/>
          <w:rtl/>
        </w:rPr>
        <w:t>39</w:t>
      </w:r>
      <w:bookmarkEnd w:id="3"/>
      <w:r w:rsidR="00B077C4">
        <w:rPr>
          <w:rFonts w:cs="FrankRuehl" w:hint="cs"/>
          <w:sz w:val="26"/>
          <w:szCs w:val="26"/>
          <w:rtl/>
        </w:rPr>
        <w:t>,</w:t>
      </w:r>
    </w:p>
    <w:p w14:paraId="48AF2B49" w14:textId="60BC260A" w:rsidR="00B077C4" w:rsidRPr="002E1D22" w:rsidRDefault="00B077C4" w:rsidP="002E1D22">
      <w:pPr>
        <w:tabs>
          <w:tab w:val="left" w:pos="5755"/>
        </w:tabs>
        <w:rPr>
          <w:rFonts w:cs="FrankRuehl"/>
          <w:sz w:val="26"/>
          <w:szCs w:val="26"/>
          <w:rtl/>
        </w:rPr>
      </w:pPr>
      <w:r>
        <w:rPr>
          <w:rFonts w:cs="FrankRuehl"/>
          <w:sz w:val="26"/>
          <w:szCs w:val="26"/>
          <w:rtl/>
        </w:rPr>
        <w:tab/>
      </w:r>
      <w:r w:rsidR="00775767">
        <w:rPr>
          <w:rFonts w:cs="FrankRuehl" w:hint="cs"/>
          <w:sz w:val="26"/>
          <w:szCs w:val="26"/>
          <w:rtl/>
        </w:rPr>
        <w:t>04-210, 13-207</w:t>
      </w:r>
    </w:p>
    <w:p w14:paraId="2C2C4E95" w14:textId="77777777" w:rsidR="00B077C4"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B077C4" w:rsidRPr="002E1D22">
        <w:rPr>
          <w:rFonts w:cs="FrankRuehl" w:hint="cs"/>
          <w:sz w:val="26"/>
          <w:szCs w:val="26"/>
          <w:rtl/>
        </w:rPr>
        <w:t>לוועד</w:t>
      </w:r>
      <w:r w:rsidR="00B077C4" w:rsidRPr="002E1D22">
        <w:rPr>
          <w:rFonts w:cs="FrankRuehl" w:hint="eastAsia"/>
          <w:sz w:val="26"/>
          <w:szCs w:val="26"/>
          <w:rtl/>
        </w:rPr>
        <w:t>ה</w:t>
      </w:r>
      <w:r w:rsidRPr="002E1D22">
        <w:rPr>
          <w:rFonts w:cs="FrankRuehl"/>
          <w:sz w:val="26"/>
          <w:szCs w:val="26"/>
          <w:rtl/>
        </w:rPr>
        <w:t>:</w:t>
      </w:r>
      <w:bookmarkStart w:id="4" w:name="TAKZIV11"/>
    </w:p>
    <w:p w14:paraId="5D36A5E1" w14:textId="6F8F6314" w:rsidR="00436E4E" w:rsidRPr="002E1D22" w:rsidRDefault="00B077C4" w:rsidP="00B077C4">
      <w:pPr>
        <w:ind w:left="5040" w:firstLine="720"/>
        <w:rPr>
          <w:rFonts w:cs="FrankRuehl"/>
          <w:sz w:val="26"/>
          <w:szCs w:val="26"/>
          <w:rtl/>
        </w:rPr>
      </w:pPr>
      <w:r>
        <w:rPr>
          <w:rFonts w:cs="FrankRuehl" w:hint="cs"/>
          <w:sz w:val="26"/>
          <w:szCs w:val="26"/>
          <w:rtl/>
        </w:rPr>
        <w:t xml:space="preserve">36 עד </w:t>
      </w:r>
      <w:r w:rsidR="00F34E96">
        <w:rPr>
          <w:rFonts w:cs="FrankRuehl"/>
          <w:sz w:val="26"/>
          <w:szCs w:val="26"/>
          <w:rtl/>
        </w:rPr>
        <w:t>38</w:t>
      </w:r>
      <w:bookmarkEnd w:id="4"/>
      <w:r w:rsidR="00436E4E" w:rsidRPr="002E1D22">
        <w:rPr>
          <w:rFonts w:cs="FrankRuehl"/>
          <w:sz w:val="26"/>
          <w:szCs w:val="26"/>
          <w:rtl/>
        </w:rPr>
        <w:tab/>
      </w:r>
    </w:p>
    <w:p w14:paraId="70CBA32A" w14:textId="77777777" w:rsidR="00B16AA5" w:rsidRDefault="00B16AA5">
      <w:pPr>
        <w:rPr>
          <w:rFonts w:cs="FrankRuehl"/>
          <w:sz w:val="26"/>
          <w:szCs w:val="26"/>
          <w:rtl/>
        </w:rPr>
      </w:pPr>
    </w:p>
    <w:p w14:paraId="14869DC7" w14:textId="49B99D12" w:rsidR="00436E4E" w:rsidRPr="002E1D22" w:rsidRDefault="00436E4E">
      <w:pPr>
        <w:rPr>
          <w:rFonts w:cs="FrankRuehl"/>
          <w:sz w:val="26"/>
          <w:szCs w:val="26"/>
          <w:rtl/>
        </w:rPr>
      </w:pPr>
      <w:r w:rsidRPr="002E1D22">
        <w:rPr>
          <w:rFonts w:cs="FrankRuehl"/>
          <w:sz w:val="26"/>
          <w:szCs w:val="26"/>
          <w:rtl/>
        </w:rPr>
        <w:t>לכבוד,</w:t>
      </w:r>
    </w:p>
    <w:p w14:paraId="0B5FAA7F" w14:textId="77777777" w:rsidR="00436E4E" w:rsidRPr="002E1D22" w:rsidRDefault="00436E4E">
      <w:pPr>
        <w:rPr>
          <w:rFonts w:cs="FrankRuehl"/>
          <w:sz w:val="26"/>
          <w:szCs w:val="26"/>
          <w:rtl/>
        </w:rPr>
      </w:pPr>
      <w:r w:rsidRPr="002E1D22">
        <w:rPr>
          <w:rFonts w:cs="FrankRuehl"/>
          <w:sz w:val="26"/>
          <w:szCs w:val="26"/>
          <w:rtl/>
        </w:rPr>
        <w:t>יו"ר ועדת הכספים</w:t>
      </w:r>
    </w:p>
    <w:p w14:paraId="701C7D63" w14:textId="77777777" w:rsidR="00436E4E" w:rsidRPr="002E1D22" w:rsidRDefault="00436E4E">
      <w:pPr>
        <w:rPr>
          <w:rFonts w:cs="FrankRuehl"/>
          <w:sz w:val="26"/>
          <w:szCs w:val="26"/>
          <w:rtl/>
        </w:rPr>
      </w:pPr>
      <w:r w:rsidRPr="002E1D22">
        <w:rPr>
          <w:rFonts w:cs="FrankRuehl"/>
          <w:sz w:val="26"/>
          <w:szCs w:val="26"/>
          <w:rtl/>
        </w:rPr>
        <w:t>של הכנסת</w:t>
      </w:r>
    </w:p>
    <w:p w14:paraId="10032219" w14:textId="77777777" w:rsidR="00436E4E" w:rsidRPr="002E1D22" w:rsidRDefault="00436E4E">
      <w:pPr>
        <w:rPr>
          <w:rFonts w:cs="FrankRuehl"/>
          <w:sz w:val="26"/>
          <w:szCs w:val="26"/>
          <w:rtl/>
        </w:rPr>
      </w:pPr>
    </w:p>
    <w:p w14:paraId="633FD88B" w14:textId="77777777" w:rsidR="00436E4E" w:rsidRPr="002E1D22" w:rsidRDefault="00436E4E">
      <w:pPr>
        <w:rPr>
          <w:rFonts w:cs="FrankRuehl"/>
          <w:sz w:val="26"/>
          <w:szCs w:val="26"/>
          <w:rtl/>
        </w:rPr>
      </w:pPr>
      <w:r w:rsidRPr="002E1D22">
        <w:rPr>
          <w:rFonts w:cs="FrankRuehl"/>
          <w:sz w:val="26"/>
          <w:szCs w:val="26"/>
          <w:rtl/>
        </w:rPr>
        <w:t>א.נ.,</w:t>
      </w:r>
    </w:p>
    <w:p w14:paraId="236346EE" w14:textId="77777777" w:rsidR="00436E4E" w:rsidRPr="002E1D22" w:rsidRDefault="00436E4E">
      <w:pPr>
        <w:rPr>
          <w:rFonts w:cs="FrankRuehl"/>
          <w:sz w:val="26"/>
          <w:szCs w:val="26"/>
          <w:rtl/>
        </w:rPr>
      </w:pPr>
    </w:p>
    <w:p w14:paraId="32A4EAA9"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F34E96">
        <w:rPr>
          <w:rFonts w:cs="FrankRuehl"/>
          <w:sz w:val="26"/>
          <w:rtl/>
        </w:rPr>
        <w:t>2026</w:t>
      </w:r>
      <w:bookmarkEnd w:id="5"/>
      <w:r w:rsidRPr="002E1D22">
        <w:rPr>
          <w:rFonts w:cs="FrankRuehl"/>
          <w:sz w:val="26"/>
          <w:rtl/>
        </w:rPr>
        <w:t xml:space="preserve">     </w:t>
      </w:r>
    </w:p>
    <w:p w14:paraId="7BCB12D5" w14:textId="77777777" w:rsidR="00436E4E" w:rsidRPr="002E1D22" w:rsidRDefault="00436E4E" w:rsidP="002E1D22">
      <w:pPr>
        <w:jc w:val="both"/>
        <w:rPr>
          <w:rFonts w:cs="FrankRuehl"/>
          <w:sz w:val="26"/>
          <w:szCs w:val="26"/>
          <w:rtl/>
        </w:rPr>
      </w:pPr>
    </w:p>
    <w:p w14:paraId="389E737C" w14:textId="09C3BD1D" w:rsidR="00436E4E" w:rsidRPr="002E1D22" w:rsidRDefault="00436E4E" w:rsidP="00B077C4">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F34E96">
        <w:rPr>
          <w:rFonts w:cs="FrankRuehl"/>
          <w:sz w:val="26"/>
          <w:szCs w:val="26"/>
          <w:rtl/>
        </w:rPr>
        <w:t>38,400</w:t>
      </w:r>
      <w:bookmarkEnd w:id="6"/>
      <w:r w:rsidRPr="002E1D22">
        <w:rPr>
          <w:rFonts w:cs="FrankRuehl"/>
          <w:sz w:val="26"/>
          <w:szCs w:val="26"/>
          <w:rtl/>
        </w:rPr>
        <w:t xml:space="preserve"> אלפי שקלים חדשים מסעי</w:t>
      </w:r>
      <w:r w:rsidR="00B077C4">
        <w:rPr>
          <w:rFonts w:cs="FrankRuehl" w:hint="cs"/>
          <w:sz w:val="26"/>
          <w:szCs w:val="26"/>
          <w:rtl/>
        </w:rPr>
        <w:t xml:space="preserve">פים 04 </w:t>
      </w:r>
      <w:r w:rsidR="00B077C4">
        <w:rPr>
          <w:rFonts w:cs="FrankRuehl"/>
          <w:sz w:val="26"/>
          <w:szCs w:val="26"/>
          <w:rtl/>
        </w:rPr>
        <w:t>–</w:t>
      </w:r>
      <w:r w:rsidR="00B077C4">
        <w:rPr>
          <w:rFonts w:cs="FrankRuehl" w:hint="cs"/>
          <w:sz w:val="26"/>
          <w:szCs w:val="26"/>
          <w:rtl/>
        </w:rPr>
        <w:t xml:space="preserve"> משרד ראש הממשלה, 13 </w:t>
      </w:r>
      <w:r w:rsidR="00B077C4">
        <w:rPr>
          <w:rFonts w:cs="FrankRuehl"/>
          <w:sz w:val="26"/>
          <w:szCs w:val="26"/>
          <w:rtl/>
        </w:rPr>
        <w:t>–</w:t>
      </w:r>
      <w:r w:rsidR="00B077C4">
        <w:rPr>
          <w:rFonts w:cs="FrankRuehl" w:hint="cs"/>
          <w:sz w:val="26"/>
          <w:szCs w:val="26"/>
          <w:rtl/>
        </w:rPr>
        <w:t xml:space="preserve"> הוצאות שונות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1C12A7F" w14:textId="77777777" w:rsidR="00436E4E" w:rsidRPr="002E1D22" w:rsidRDefault="00436E4E" w:rsidP="00B077C4">
      <w:pPr>
        <w:jc w:val="both"/>
        <w:rPr>
          <w:rFonts w:cs="FrankRuehl"/>
          <w:sz w:val="26"/>
          <w:szCs w:val="26"/>
          <w:rtl/>
        </w:rPr>
      </w:pPr>
    </w:p>
    <w:p w14:paraId="34DE93B9" w14:textId="6769DEA1" w:rsidR="00436E4E" w:rsidRPr="002E1D22" w:rsidRDefault="00436E4E" w:rsidP="00B077C4">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B077C4" w:rsidRPr="002E1D22">
        <w:rPr>
          <w:rFonts w:cs="FrankRuehl"/>
          <w:sz w:val="26"/>
          <w:szCs w:val="26"/>
          <w:rtl/>
        </w:rPr>
        <w:t xml:space="preserve">סכום של </w:t>
      </w:r>
      <w:r w:rsidR="00B077C4">
        <w:rPr>
          <w:rFonts w:cs="FrankRuehl"/>
          <w:sz w:val="26"/>
          <w:szCs w:val="26"/>
          <w:rtl/>
        </w:rPr>
        <w:t>38,400</w:t>
      </w:r>
      <w:r w:rsidR="00B077C4"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B077C4" w:rsidRPr="002E1D22">
        <w:rPr>
          <w:rFonts w:cs="FrankRuehl"/>
          <w:sz w:val="26"/>
          <w:szCs w:val="26"/>
          <w:rtl/>
        </w:rPr>
        <w:t xml:space="preserve">לסעיף </w:t>
      </w:r>
      <w:bookmarkStart w:id="7" w:name="TAKZIV3_1"/>
      <w:r w:rsidR="00B077C4">
        <w:rPr>
          <w:rFonts w:cs="FrankRuehl"/>
          <w:sz w:val="26"/>
          <w:szCs w:val="26"/>
          <w:rtl/>
        </w:rPr>
        <w:t>39</w:t>
      </w:r>
      <w:bookmarkEnd w:id="7"/>
      <w:r w:rsidR="00B077C4" w:rsidRPr="002E1D22">
        <w:rPr>
          <w:rFonts w:cs="FrankRuehl"/>
          <w:sz w:val="26"/>
          <w:szCs w:val="26"/>
          <w:rtl/>
        </w:rPr>
        <w:t xml:space="preserve"> - </w:t>
      </w:r>
      <w:bookmarkStart w:id="8" w:name="TAKZIV6"/>
      <w:r w:rsidR="00B077C4">
        <w:rPr>
          <w:rFonts w:cs="FrankRuehl"/>
          <w:sz w:val="26"/>
          <w:szCs w:val="26"/>
          <w:rtl/>
        </w:rPr>
        <w:t>משרד התקשורת</w:t>
      </w:r>
      <w:bookmarkEnd w:id="8"/>
      <w:r w:rsidR="00B077C4">
        <w:rPr>
          <w:rFonts w:cs="FrankRuehl" w:hint="cs"/>
          <w:sz w:val="26"/>
          <w:szCs w:val="26"/>
          <w:rtl/>
        </w:rPr>
        <w:t>,</w:t>
      </w:r>
      <w:r w:rsidR="00B077C4" w:rsidRPr="002E1D22">
        <w:rPr>
          <w:rFonts w:cs="FrankRuehl"/>
          <w:sz w:val="26"/>
          <w:szCs w:val="26"/>
          <w:rtl/>
        </w:rPr>
        <w:t xml:space="preserve"> </w:t>
      </w:r>
      <w:r w:rsidRPr="002E1D22">
        <w:rPr>
          <w:rFonts w:cs="FrankRuehl"/>
          <w:sz w:val="26"/>
          <w:szCs w:val="26"/>
          <w:rtl/>
        </w:rPr>
        <w:t>בהתאם לסעיף 12 (א)</w:t>
      </w:r>
      <w:r w:rsidR="00B077C4">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59D60236" w14:textId="77777777" w:rsidR="00436E4E" w:rsidRPr="002E1D22" w:rsidRDefault="00436E4E" w:rsidP="00B077C4">
      <w:pPr>
        <w:jc w:val="both"/>
        <w:rPr>
          <w:rFonts w:cs="FrankRuehl"/>
          <w:sz w:val="26"/>
          <w:szCs w:val="26"/>
          <w:rtl/>
        </w:rPr>
      </w:pPr>
    </w:p>
    <w:p w14:paraId="23F47A66" w14:textId="77777777" w:rsidR="00B077C4" w:rsidRDefault="00B077C4" w:rsidP="00B077C4">
      <w:pPr>
        <w:jc w:val="both"/>
        <w:rPr>
          <w:rFonts w:cs="FrankRuehl"/>
          <w:sz w:val="26"/>
          <w:szCs w:val="26"/>
          <w:lang w:eastAsia="en-US"/>
        </w:rPr>
      </w:pPr>
      <w:r>
        <w:rPr>
          <w:rFonts w:cs="FrankRuehl" w:hint="cs"/>
          <w:b/>
          <w:bCs/>
          <w:sz w:val="26"/>
          <w:szCs w:val="26"/>
          <w:rtl/>
        </w:rPr>
        <w:t xml:space="preserve">הבקשה דנה בסעיף תקציבי: </w:t>
      </w:r>
      <w:r>
        <w:rPr>
          <w:rFonts w:cs="FrankRuehl" w:hint="cs"/>
          <w:sz w:val="26"/>
          <w:szCs w:val="26"/>
          <w:rtl/>
        </w:rPr>
        <w:t>39 – משרד התקשורת</w:t>
      </w:r>
    </w:p>
    <w:p w14:paraId="750871AB" w14:textId="77777777" w:rsidR="00B077C4" w:rsidRDefault="00B077C4" w:rsidP="00B077C4">
      <w:pPr>
        <w:jc w:val="both"/>
        <w:rPr>
          <w:rFonts w:cs="FrankRuehl"/>
          <w:sz w:val="26"/>
          <w:szCs w:val="26"/>
          <w:rtl/>
        </w:rPr>
      </w:pPr>
    </w:p>
    <w:p w14:paraId="5FFDAC6C" w14:textId="77777777" w:rsidR="00B077C4" w:rsidRDefault="00B077C4" w:rsidP="00B077C4">
      <w:pPr>
        <w:jc w:val="both"/>
        <w:rPr>
          <w:rFonts w:ascii="FrankRuehl" w:hAnsi="FrankRuehl" w:cs="FrankRuehl"/>
          <w:b/>
          <w:bCs/>
          <w:sz w:val="26"/>
          <w:szCs w:val="26"/>
          <w:rtl/>
        </w:rPr>
      </w:pPr>
      <w:r>
        <w:rPr>
          <w:rFonts w:ascii="FrankRuehl" w:hAnsi="FrankRuehl" w:cs="FrankRuehl" w:hint="cs"/>
          <w:b/>
          <w:bCs/>
          <w:sz w:val="26"/>
          <w:szCs w:val="26"/>
          <w:rtl/>
        </w:rPr>
        <w:t>עיקרי הפנייה:</w:t>
      </w:r>
    </w:p>
    <w:p w14:paraId="21CC9C74" w14:textId="77777777" w:rsidR="00B077C4" w:rsidRDefault="00B077C4" w:rsidP="00B077C4">
      <w:pPr>
        <w:jc w:val="both"/>
        <w:rPr>
          <w:rFonts w:cs="FrankRuehl"/>
          <w:sz w:val="26"/>
          <w:szCs w:val="26"/>
          <w:rtl/>
        </w:rPr>
      </w:pPr>
      <w:r>
        <w:rPr>
          <w:rFonts w:cs="FrankRuehl" w:hint="cs"/>
          <w:sz w:val="26"/>
          <w:szCs w:val="26"/>
          <w:rtl/>
        </w:rPr>
        <w:t>הבקשה התקציבית נועדה לתקצוב סך של 38,400 אלפי ש"ח בהוצאה עבור התאמת תקציב ההוצאות של משרד התקשורת בתחומי התפעול, הייעוץ והפרויקטים הטכנולוגיים ועבור תקצוב מזומן בגין הרשאות עבר הנוגעות לפעילות המשרד. כמו כן, הבקשה נועדה לתקצוב סך של 6 תקנים עבור לשכת סגן השר במשרד התקשורת.</w:t>
      </w:r>
    </w:p>
    <w:p w14:paraId="419AD33A" w14:textId="77777777" w:rsidR="00B077C4" w:rsidRDefault="00B077C4" w:rsidP="00B077C4">
      <w:pPr>
        <w:jc w:val="both"/>
        <w:rPr>
          <w:rFonts w:ascii="FrankRuehl" w:hAnsi="FrankRuehl" w:cs="FrankRuehl"/>
          <w:b/>
          <w:bCs/>
          <w:sz w:val="26"/>
          <w:szCs w:val="26"/>
          <w:rtl/>
        </w:rPr>
      </w:pPr>
    </w:p>
    <w:p w14:paraId="6BA61DAD" w14:textId="77777777" w:rsidR="00B077C4" w:rsidRDefault="00B077C4" w:rsidP="00B077C4">
      <w:pPr>
        <w:jc w:val="both"/>
        <w:rPr>
          <w:rFonts w:ascii="Narkisim" w:hAnsi="Narkisim" w:cs="FrankRuehl"/>
          <w:b/>
          <w:bCs/>
          <w:sz w:val="26"/>
          <w:szCs w:val="26"/>
          <w:rtl/>
        </w:rPr>
      </w:pPr>
      <w:r>
        <w:rPr>
          <w:rFonts w:ascii="FrankRuehl" w:hAnsi="FrankRuehl" w:cs="FrankRuehl" w:hint="cs"/>
          <w:sz w:val="26"/>
          <w:szCs w:val="26"/>
          <w:rtl/>
        </w:rPr>
        <w:t xml:space="preserve">עיקרי הפנייה התקציבית בחלוקה </w:t>
      </w:r>
      <w:proofErr w:type="spellStart"/>
      <w:r>
        <w:rPr>
          <w:rFonts w:ascii="FrankRuehl" w:hAnsi="FrankRuehl" w:cs="FrankRuehl" w:hint="cs"/>
          <w:sz w:val="26"/>
          <w:szCs w:val="26"/>
          <w:rtl/>
        </w:rPr>
        <w:t>לתכניות</w:t>
      </w:r>
      <w:proofErr w:type="spellEnd"/>
      <w:r>
        <w:rPr>
          <w:rFonts w:ascii="FrankRuehl" w:hAnsi="FrankRuehl" w:cs="FrankRuehl" w:hint="cs"/>
          <w:sz w:val="26"/>
          <w:szCs w:val="26"/>
          <w:rtl/>
        </w:rPr>
        <w:t xml:space="preserve"> מובאים להלן:</w:t>
      </w:r>
    </w:p>
    <w:p w14:paraId="5ECD6C3C" w14:textId="77777777" w:rsidR="00B077C4" w:rsidRDefault="00B077C4" w:rsidP="00B077C4">
      <w:pPr>
        <w:jc w:val="both"/>
        <w:rPr>
          <w:rFonts w:ascii="Narkisim" w:hAnsi="Narkisim" w:cs="FrankRuehl"/>
          <w:b/>
          <w:bCs/>
          <w:sz w:val="26"/>
          <w:szCs w:val="26"/>
          <w:rtl/>
        </w:rPr>
      </w:pPr>
      <w:r>
        <w:rPr>
          <w:rFonts w:ascii="FrankRuehl" w:hAnsi="FrankRuehl" w:cs="FrankRuehl" w:hint="cs"/>
          <w:b/>
          <w:bCs/>
          <w:sz w:val="26"/>
          <w:szCs w:val="26"/>
        </w:rPr>
        <w:t>39-11-01</w:t>
      </w:r>
      <w:r>
        <w:rPr>
          <w:rFonts w:ascii="Narkisim" w:hAnsi="Narkisim" w:cs="FrankRuehl" w:hint="cs"/>
          <w:b/>
          <w:bCs/>
          <w:sz w:val="26"/>
          <w:szCs w:val="26"/>
          <w:rtl/>
        </w:rPr>
        <w:t xml:space="preserve">: פעילות משרד התקשורת </w:t>
      </w:r>
    </w:p>
    <w:p w14:paraId="09BE1357" w14:textId="77777777" w:rsidR="00B077C4" w:rsidRDefault="00B077C4" w:rsidP="00B077C4">
      <w:pPr>
        <w:jc w:val="both"/>
        <w:rPr>
          <w:rFonts w:cs="FrankRuehl"/>
          <w:sz w:val="26"/>
          <w:szCs w:val="26"/>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sz w:val="26"/>
          <w:szCs w:val="26"/>
          <w:rtl/>
        </w:rPr>
        <w:t xml:space="preserve">: במסגרת </w:t>
      </w:r>
      <w:proofErr w:type="spellStart"/>
      <w:r>
        <w:rPr>
          <w:rFonts w:cs="FrankRuehl" w:hint="cs"/>
          <w:sz w:val="26"/>
          <w:szCs w:val="26"/>
          <w:rtl/>
        </w:rPr>
        <w:t>התכנית</w:t>
      </w:r>
      <w:proofErr w:type="spellEnd"/>
      <w:r>
        <w:rPr>
          <w:rFonts w:cs="FrankRuehl" w:hint="cs"/>
          <w:sz w:val="26"/>
          <w:szCs w:val="26"/>
          <w:rtl/>
        </w:rPr>
        <w:t xml:space="preserve"> מתוקצבים תשלומי השכר והפעילות השוטפת של משרד התקשורת - תחזוקה, שכירות, ארנונה ומיסים; מחשוב ומערכות מידע; יועצים לפעילות המשרד השוטפת ופרויקטים טכנולוגיים להגברת יעילות הפיקוח של המשרד. </w:t>
      </w:r>
    </w:p>
    <w:p w14:paraId="5BF8A667" w14:textId="77777777" w:rsidR="00B077C4" w:rsidRDefault="00B077C4" w:rsidP="00B077C4">
      <w:pPr>
        <w:jc w:val="both"/>
        <w:rPr>
          <w:rFonts w:cs="FrankRuehl"/>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w:t>
      </w:r>
      <w:r>
        <w:rPr>
          <w:rFonts w:cs="FrankRuehl" w:hint="cs"/>
          <w:sz w:val="26"/>
          <w:szCs w:val="26"/>
          <w:rtl/>
        </w:rPr>
        <w:t xml:space="preserve">תקצוב סך של 38,400 אלפי ש"ח בהוצאה עבור התאמת תקצוב דמי חברות בארגונים בין לאומיים בתחום התקשורת, תקצוב נוסף עבור מערכת פיקוח ואכיפה לאומית לניטור הספקטרום האלקטרו-מגנטי, שירותי יעוץ כלכלי והנדסי לבניית מודל תמחור לרשת נייחת אולטרה-רחבת-פס, הוצאות מחשוב ותקצוב תכנית פרויקטים טכנולוגיים במשרד התקשורת. כמו כן, תקצוב 6 תקני כ"א עבור לשכת סגן השר במשרד התקשורת. </w:t>
      </w:r>
    </w:p>
    <w:p w14:paraId="6D14A74A" w14:textId="77777777" w:rsidR="00B077C4" w:rsidRDefault="00B077C4" w:rsidP="00B077C4">
      <w:pPr>
        <w:jc w:val="both"/>
        <w:rPr>
          <w:rFonts w:ascii="Miriam" w:hAnsi="Narkisim" w:cs="FrankRuehl"/>
          <w:sz w:val="26"/>
          <w:szCs w:val="26"/>
          <w:rtl/>
        </w:rPr>
      </w:pPr>
    </w:p>
    <w:p w14:paraId="4C62B4F9" w14:textId="77777777" w:rsidR="00B077C4" w:rsidRDefault="00B077C4" w:rsidP="00B077C4">
      <w:pPr>
        <w:jc w:val="both"/>
        <w:rPr>
          <w:rFonts w:cs="FrankRuehl"/>
          <w:sz w:val="26"/>
          <w:szCs w:val="26"/>
          <w:rtl/>
        </w:rPr>
      </w:pPr>
      <w:r>
        <w:rPr>
          <w:rFonts w:cs="FrankRuehl" w:hint="cs"/>
          <w:b/>
          <w:bCs/>
          <w:sz w:val="26"/>
          <w:szCs w:val="26"/>
          <w:rtl/>
        </w:rPr>
        <w:t xml:space="preserve">השפעה על </w:t>
      </w:r>
      <w:proofErr w:type="spellStart"/>
      <w:r>
        <w:rPr>
          <w:rFonts w:cs="FrankRuehl" w:hint="cs"/>
          <w:b/>
          <w:bCs/>
          <w:sz w:val="26"/>
          <w:szCs w:val="26"/>
          <w:rtl/>
        </w:rPr>
        <w:t>כח</w:t>
      </w:r>
      <w:proofErr w:type="spellEnd"/>
      <w:r>
        <w:rPr>
          <w:rFonts w:cs="FrankRuehl" w:hint="cs"/>
          <w:b/>
          <w:bCs/>
          <w:sz w:val="26"/>
          <w:szCs w:val="26"/>
          <w:rtl/>
        </w:rPr>
        <w:t xml:space="preserve"> אדם:</w:t>
      </w:r>
      <w:r>
        <w:rPr>
          <w:rFonts w:cs="FrankRuehl" w:hint="cs"/>
          <w:sz w:val="26"/>
          <w:szCs w:val="26"/>
          <w:rtl/>
        </w:rPr>
        <w:t xml:space="preserve"> כמפורט לעיל.</w:t>
      </w:r>
    </w:p>
    <w:p w14:paraId="021FC1F0" w14:textId="77777777" w:rsidR="00436E4E" w:rsidRPr="002E1D22" w:rsidRDefault="00436E4E">
      <w:pPr>
        <w:rPr>
          <w:rFonts w:cs="FrankRuehl"/>
          <w:sz w:val="26"/>
          <w:szCs w:val="26"/>
          <w:rtl/>
        </w:rPr>
      </w:pPr>
    </w:p>
    <w:p w14:paraId="175FD261" w14:textId="77777777" w:rsidR="00436E4E" w:rsidRPr="002E1D22" w:rsidRDefault="00436E4E">
      <w:pPr>
        <w:tabs>
          <w:tab w:val="center" w:pos="6867"/>
        </w:tabs>
        <w:rPr>
          <w:rFonts w:cs="FrankRuehl"/>
          <w:sz w:val="26"/>
          <w:szCs w:val="26"/>
          <w:rtl/>
        </w:rPr>
      </w:pPr>
    </w:p>
    <w:p w14:paraId="5216A3F0"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499C10B8" w14:textId="77777777" w:rsidR="00436E4E" w:rsidRDefault="00C13197">
      <w:pPr>
        <w:tabs>
          <w:tab w:val="center" w:pos="6867"/>
        </w:tabs>
        <w:rPr>
          <w:rFonts w:cs="FrankRuehl"/>
          <w:sz w:val="26"/>
          <w:szCs w:val="26"/>
          <w:rtl/>
        </w:rPr>
      </w:pPr>
      <w:r>
        <w:rPr>
          <w:rFonts w:cs="FrankRuehl"/>
          <w:sz w:val="26"/>
          <w:szCs w:val="26"/>
          <w:rtl/>
        </w:rPr>
        <w:tab/>
      </w:r>
    </w:p>
    <w:p w14:paraId="033A3738" w14:textId="77777777" w:rsidR="00C13197" w:rsidRPr="002E1D22" w:rsidRDefault="00C13197">
      <w:pPr>
        <w:tabs>
          <w:tab w:val="center" w:pos="6867"/>
        </w:tabs>
        <w:rPr>
          <w:rFonts w:cs="FrankRuehl"/>
          <w:sz w:val="26"/>
          <w:szCs w:val="26"/>
        </w:rPr>
      </w:pPr>
      <w:r>
        <w:rPr>
          <w:rFonts w:cs="FrankRuehl"/>
          <w:sz w:val="26"/>
          <w:szCs w:val="26"/>
          <w:rtl/>
        </w:rPr>
        <w:lastRenderedPageBreak/>
        <w:tab/>
      </w:r>
      <w:bookmarkStart w:id="9" w:name="Sign_Image"/>
      <w:bookmarkEnd w:id="9"/>
    </w:p>
    <w:p w14:paraId="6B6500AF"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CD8334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D335B4C"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264230CD" w14:textId="77777777" w:rsidR="00436E4E" w:rsidRPr="002E1D22" w:rsidRDefault="00436E4E">
      <w:pPr>
        <w:rPr>
          <w:rFonts w:cs="FrankRuehl"/>
          <w:sz w:val="26"/>
          <w:szCs w:val="26"/>
          <w:rtl/>
        </w:rPr>
      </w:pPr>
      <w:r w:rsidRPr="002E1D22">
        <w:rPr>
          <w:rFonts w:cs="FrankRuehl"/>
          <w:sz w:val="26"/>
          <w:szCs w:val="26"/>
          <w:rtl/>
        </w:rPr>
        <w:t>העתק:</w:t>
      </w:r>
    </w:p>
    <w:p w14:paraId="5456F92B" w14:textId="77777777" w:rsidR="00436E4E" w:rsidRPr="002E1D22" w:rsidRDefault="00436E4E">
      <w:pPr>
        <w:rPr>
          <w:rFonts w:cs="FrankRuehl"/>
          <w:sz w:val="26"/>
          <w:szCs w:val="26"/>
          <w:rtl/>
        </w:rPr>
      </w:pPr>
      <w:r w:rsidRPr="002E1D22">
        <w:rPr>
          <w:rFonts w:cs="FrankRuehl"/>
          <w:sz w:val="26"/>
          <w:szCs w:val="26"/>
          <w:rtl/>
        </w:rPr>
        <w:t>החשב הכללי</w:t>
      </w:r>
    </w:p>
    <w:p w14:paraId="27A1D884" w14:textId="77777777" w:rsidR="00436E4E" w:rsidRPr="002E1D22" w:rsidRDefault="00436E4E">
      <w:pPr>
        <w:rPr>
          <w:rFonts w:cs="FrankRuehl"/>
          <w:sz w:val="26"/>
          <w:szCs w:val="26"/>
          <w:rtl/>
        </w:rPr>
      </w:pPr>
      <w:r w:rsidRPr="002E1D22">
        <w:rPr>
          <w:rFonts w:cs="FrankRuehl"/>
          <w:sz w:val="26"/>
          <w:szCs w:val="26"/>
          <w:rtl/>
        </w:rPr>
        <w:t>מבקר המדינה (2)</w:t>
      </w:r>
    </w:p>
    <w:p w14:paraId="553E1F00" w14:textId="77777777" w:rsidR="00F34E96" w:rsidRDefault="00F34E96">
      <w:pPr>
        <w:rPr>
          <w:rFonts w:cs="FrankRuehl"/>
          <w:sz w:val="26"/>
          <w:szCs w:val="26"/>
          <w:rtl/>
        </w:rPr>
      </w:pPr>
      <w:bookmarkStart w:id="10" w:name="TAKZIV22"/>
      <w:r>
        <w:rPr>
          <w:rFonts w:cs="FrankRuehl"/>
          <w:sz w:val="26"/>
          <w:szCs w:val="26"/>
          <w:rtl/>
        </w:rPr>
        <w:t>חשב משרד התקשורת</w:t>
      </w:r>
    </w:p>
    <w:p w14:paraId="06FBF707" w14:textId="4B382591" w:rsidR="00436E4E" w:rsidRPr="002E1D22" w:rsidRDefault="00F34E96">
      <w:pPr>
        <w:rPr>
          <w:rFonts w:cs="FrankRuehl"/>
          <w:sz w:val="26"/>
          <w:szCs w:val="26"/>
          <w:rtl/>
        </w:rPr>
      </w:pPr>
      <w:r>
        <w:rPr>
          <w:rFonts w:cs="FrankRuehl"/>
          <w:sz w:val="26"/>
          <w:szCs w:val="26"/>
          <w:rtl/>
        </w:rPr>
        <w:t>חשב החשב הכללי</w:t>
      </w:r>
      <w:bookmarkEnd w:id="10"/>
    </w:p>
    <w:p w14:paraId="0B408E6E" w14:textId="77777777"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F34E96">
        <w:rPr>
          <w:rFonts w:cs="FrankRuehl"/>
          <w:sz w:val="26"/>
          <w:szCs w:val="26"/>
          <w:rtl/>
        </w:rPr>
        <w:t>משרד התקשורת</w:t>
      </w:r>
      <w:bookmarkEnd w:id="11"/>
    </w:p>
    <w:p w14:paraId="46A4BEFE" w14:textId="77777777"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F34E96">
        <w:rPr>
          <w:rFonts w:cs="FrankRuehl"/>
          <w:sz w:val="26"/>
          <w:szCs w:val="26"/>
          <w:rtl/>
        </w:rPr>
        <w:t>משרד התקשורת</w:t>
      </w:r>
      <w:bookmarkEnd w:id="12"/>
    </w:p>
    <w:p w14:paraId="393FF67B" w14:textId="440616AC" w:rsidR="00436E4E" w:rsidRPr="002E1D22" w:rsidRDefault="00F34E96">
      <w:pPr>
        <w:rPr>
          <w:rFonts w:cs="FrankRuehl"/>
          <w:sz w:val="26"/>
          <w:szCs w:val="26"/>
          <w:rtl/>
        </w:rPr>
      </w:pPr>
      <w:bookmarkStart w:id="13" w:name="TAKZIV23"/>
      <w:r>
        <w:rPr>
          <w:rFonts w:cs="FrankRuehl"/>
          <w:sz w:val="26"/>
          <w:szCs w:val="26"/>
          <w:rtl/>
        </w:rPr>
        <w:t>נציבות שירות המדינה</w:t>
      </w:r>
      <w:bookmarkEnd w:id="13"/>
    </w:p>
    <w:p w14:paraId="65DFAF36" w14:textId="77777777" w:rsidR="00436E4E" w:rsidRPr="002E1D22" w:rsidRDefault="00436E4E">
      <w:pPr>
        <w:rPr>
          <w:rFonts w:cs="FrankRuehl"/>
          <w:sz w:val="26"/>
          <w:szCs w:val="26"/>
          <w:rtl/>
        </w:rPr>
      </w:pPr>
    </w:p>
    <w:tbl>
      <w:tblPr>
        <w:tblW w:w="0" w:type="dxa"/>
        <w:tblCellMar>
          <w:left w:w="0" w:type="dxa"/>
          <w:right w:w="0" w:type="dxa"/>
        </w:tblCellMar>
        <w:tblLook w:val="04A0" w:firstRow="1" w:lastRow="0" w:firstColumn="1" w:lastColumn="0" w:noHBand="0" w:noVBand="1"/>
      </w:tblPr>
      <w:tblGrid>
        <w:gridCol w:w="16470"/>
      </w:tblGrid>
      <w:tr w:rsidR="00CD1B0C" w:rsidRPr="00CD1B0C" w14:paraId="537BC6A4" w14:textId="77777777" w:rsidTr="00CD1B0C">
        <w:tc>
          <w:tcPr>
            <w:tcW w:w="0" w:type="auto"/>
            <w:vAlign w:val="center"/>
            <w:hideMark/>
          </w:tcPr>
          <w:tbl>
            <w:tblPr>
              <w:tblW w:w="16470" w:type="dxa"/>
              <w:jc w:val="center"/>
              <w:tblCellMar>
                <w:left w:w="0" w:type="dxa"/>
                <w:right w:w="0" w:type="dxa"/>
              </w:tblCellMar>
              <w:tblLook w:val="04A0" w:firstRow="1" w:lastRow="0" w:firstColumn="1" w:lastColumn="0" w:noHBand="0" w:noVBand="1"/>
            </w:tblPr>
            <w:tblGrid>
              <w:gridCol w:w="16470"/>
            </w:tblGrid>
            <w:tr w:rsidR="00CD1B0C" w:rsidRPr="00CD1B0C" w14:paraId="30F94B44" w14:textId="77777777" w:rsidTr="00CD1B0C">
              <w:trPr>
                <w:jc w:val="center"/>
              </w:trPr>
              <w:tc>
                <w:tcPr>
                  <w:tcW w:w="0" w:type="auto"/>
                  <w:noWrap/>
                  <w:vAlign w:val="center"/>
                  <w:hideMark/>
                </w:tcPr>
                <w:bookmarkStart w:id="14" w:name="TAKZIV25"/>
                <w:bookmarkEnd w:id="14"/>
                <w:p w14:paraId="68982CBD" w14:textId="77777777" w:rsidR="00CD1B0C" w:rsidRPr="00CD1B0C" w:rsidRDefault="00CD1B0C" w:rsidP="00CD1B0C">
                  <w:pPr>
                    <w:overflowPunct/>
                    <w:autoSpaceDE/>
                    <w:autoSpaceDN/>
                    <w:bidi w:val="0"/>
                    <w:adjustRightInd/>
                    <w:spacing w:line="300" w:lineRule="atLeast"/>
                    <w:textAlignment w:val="top"/>
                    <w:rPr>
                      <w:rFonts w:cs="Times New Roman"/>
                      <w:sz w:val="24"/>
                      <w:lang w:eastAsia="en-US"/>
                    </w:rPr>
                  </w:pPr>
                  <w:r w:rsidRPr="00CD1B0C">
                    <w:rPr>
                      <w:rFonts w:cs="Times New Roman"/>
                      <w:sz w:val="24"/>
                      <w:lang w:eastAsia="en-US"/>
                    </w:rPr>
                    <w:fldChar w:fldCharType="begin"/>
                  </w:r>
                  <w:r w:rsidRPr="00CD1B0C">
                    <w:rPr>
                      <w:rFonts w:cs="Times New Roman"/>
                      <w:sz w:val="24"/>
                      <w:lang w:eastAsia="en-US"/>
                    </w:rPr>
                    <w:instrText xml:space="preserve"> INCLUDEPICTURE "https://mail.google.com/mail/u/0/images/cleardot.gif" \* MERGEFORMATINET </w:instrText>
                  </w:r>
                  <w:r w:rsidRPr="00CD1B0C">
                    <w:rPr>
                      <w:rFonts w:cs="Times New Roman"/>
                      <w:sz w:val="24"/>
                      <w:lang w:eastAsia="en-US"/>
                    </w:rPr>
                    <w:fldChar w:fldCharType="separate"/>
                  </w:r>
                  <w:r w:rsidRPr="00CD1B0C">
                    <w:rPr>
                      <w:rFonts w:cs="Times New Roman"/>
                      <w:sz w:val="24"/>
                      <w:lang w:eastAsia="en-US"/>
                    </w:rPr>
                    <w:pict w14:anchorId="7CC33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pt;height:.55pt">
                        <v:imagedata r:id="rId6" r:href="rId7"/>
                      </v:shape>
                    </w:pict>
                  </w:r>
                  <w:r w:rsidRPr="00CD1B0C">
                    <w:rPr>
                      <w:rFonts w:cs="Times New Roman"/>
                      <w:sz w:val="24"/>
                      <w:lang w:eastAsia="en-US"/>
                    </w:rPr>
                    <w:fldChar w:fldCharType="end"/>
                  </w:r>
                </w:p>
              </w:tc>
            </w:tr>
          </w:tbl>
          <w:p w14:paraId="66C94C2A" w14:textId="77777777" w:rsidR="00CD1B0C" w:rsidRPr="00CD1B0C" w:rsidRDefault="00CD1B0C" w:rsidP="00CD1B0C">
            <w:pPr>
              <w:overflowPunct/>
              <w:autoSpaceDE/>
              <w:autoSpaceDN/>
              <w:bidi w:val="0"/>
              <w:adjustRightInd/>
              <w:textAlignment w:val="auto"/>
              <w:rPr>
                <w:rFonts w:ascii="Roboto" w:hAnsi="Roboto" w:cs="Times New Roman"/>
                <w:sz w:val="24"/>
                <w:lang w:eastAsia="en-US"/>
              </w:rPr>
            </w:pPr>
          </w:p>
        </w:tc>
      </w:tr>
    </w:tbl>
    <w:p w14:paraId="5C12DA8C" w14:textId="77777777" w:rsidR="00CD1B0C" w:rsidRPr="00CD1B0C" w:rsidRDefault="00CD1B0C" w:rsidP="00CD1B0C">
      <w:pPr>
        <w:rPr>
          <w:vanish/>
        </w:rPr>
      </w:pPr>
    </w:p>
    <w:tbl>
      <w:tblPr>
        <w:tblW w:w="10300" w:type="dxa"/>
        <w:tblInd w:w="-995" w:type="dxa"/>
        <w:tblCellMar>
          <w:left w:w="0" w:type="dxa"/>
          <w:right w:w="0" w:type="dxa"/>
        </w:tblCellMar>
        <w:tblLook w:val="04A0" w:firstRow="1" w:lastRow="0" w:firstColumn="1" w:lastColumn="0" w:noHBand="0" w:noVBand="1"/>
      </w:tblPr>
      <w:tblGrid>
        <w:gridCol w:w="1200"/>
        <w:gridCol w:w="1480"/>
        <w:gridCol w:w="1020"/>
        <w:gridCol w:w="1200"/>
        <w:gridCol w:w="1020"/>
        <w:gridCol w:w="1200"/>
        <w:gridCol w:w="1020"/>
        <w:gridCol w:w="1200"/>
        <w:gridCol w:w="960"/>
      </w:tblGrid>
      <w:tr w:rsidR="00CD1B0C" w:rsidRPr="00CD1B0C" w14:paraId="6E1DB817" w14:textId="77777777" w:rsidTr="00CD1B0C">
        <w:trPr>
          <w:trHeight w:val="290"/>
        </w:trPr>
        <w:tc>
          <w:tcPr>
            <w:tcW w:w="9340" w:type="dxa"/>
            <w:gridSpan w:val="8"/>
            <w:tcBorders>
              <w:top w:val="nil"/>
              <w:left w:val="nil"/>
              <w:bottom w:val="nil"/>
              <w:right w:val="nil"/>
            </w:tcBorders>
            <w:tcMar>
              <w:top w:w="15" w:type="dxa"/>
              <w:left w:w="15" w:type="dxa"/>
              <w:bottom w:w="0" w:type="dxa"/>
              <w:right w:w="15" w:type="dxa"/>
            </w:tcMar>
            <w:vAlign w:val="center"/>
            <w:hideMark/>
          </w:tcPr>
          <w:p w14:paraId="4E80642F" w14:textId="77777777" w:rsidR="00CD1B0C" w:rsidRPr="00CD1B0C" w:rsidRDefault="00CD1B0C" w:rsidP="00CD1B0C">
            <w:pPr>
              <w:overflowPunct/>
              <w:autoSpaceDE/>
              <w:autoSpaceDN/>
              <w:adjustRightInd/>
              <w:jc w:val="center"/>
              <w:textAlignment w:val="auto"/>
              <w:rPr>
                <w:rFonts w:ascii="Calibri" w:hAnsi="Calibri" w:cs="Calibri"/>
                <w:b/>
                <w:bCs/>
                <w:color w:val="000000"/>
                <w:szCs w:val="20"/>
                <w:lang w:eastAsia="en-US"/>
              </w:rPr>
            </w:pPr>
            <w:r w:rsidRPr="00CD1B0C">
              <w:rPr>
                <w:rFonts w:ascii="Calibri" w:hAnsi="Calibri" w:cs="Calibri"/>
                <w:b/>
                <w:bCs/>
                <w:color w:val="000000"/>
                <w:szCs w:val="20"/>
                <w:rtl/>
                <w:lang w:eastAsia="en-US"/>
              </w:rPr>
              <w:t>היסטוריה תקציבית של הפנייה - הוצאה נטו</w:t>
            </w:r>
          </w:p>
        </w:tc>
        <w:tc>
          <w:tcPr>
            <w:tcW w:w="960" w:type="dxa"/>
            <w:tcBorders>
              <w:top w:val="nil"/>
              <w:left w:val="nil"/>
              <w:bottom w:val="nil"/>
              <w:right w:val="nil"/>
            </w:tcBorders>
            <w:noWrap/>
            <w:tcMar>
              <w:top w:w="15" w:type="dxa"/>
              <w:left w:w="15" w:type="dxa"/>
              <w:bottom w:w="0" w:type="dxa"/>
              <w:right w:w="15" w:type="dxa"/>
            </w:tcMar>
            <w:vAlign w:val="bottom"/>
            <w:hideMark/>
          </w:tcPr>
          <w:p w14:paraId="2E903A6A" w14:textId="77777777" w:rsidR="00CD1B0C" w:rsidRPr="00CD1B0C" w:rsidRDefault="00CD1B0C" w:rsidP="00CD1B0C">
            <w:pPr>
              <w:overflowPunct/>
              <w:autoSpaceDE/>
              <w:autoSpaceDN/>
              <w:adjustRightInd/>
              <w:jc w:val="center"/>
              <w:textAlignment w:val="auto"/>
              <w:rPr>
                <w:rFonts w:ascii="Calibri" w:hAnsi="Calibri" w:cs="Calibri"/>
                <w:b/>
                <w:bCs/>
                <w:color w:val="000000"/>
                <w:szCs w:val="20"/>
                <w:rtl/>
                <w:lang w:eastAsia="en-US"/>
              </w:rPr>
            </w:pPr>
          </w:p>
        </w:tc>
      </w:tr>
      <w:tr w:rsidR="00CD1B0C" w:rsidRPr="00CD1B0C" w14:paraId="1585F27D" w14:textId="77777777" w:rsidTr="00CD1B0C">
        <w:trPr>
          <w:trHeight w:val="290"/>
        </w:trPr>
        <w:tc>
          <w:tcPr>
            <w:tcW w:w="1200" w:type="dxa"/>
            <w:tcBorders>
              <w:top w:val="nil"/>
              <w:left w:val="nil"/>
              <w:bottom w:val="nil"/>
              <w:right w:val="nil"/>
            </w:tcBorders>
            <w:tcMar>
              <w:top w:w="15" w:type="dxa"/>
              <w:left w:w="675" w:type="dxa"/>
              <w:bottom w:w="0" w:type="dxa"/>
              <w:right w:w="15" w:type="dxa"/>
            </w:tcMar>
            <w:vAlign w:val="center"/>
            <w:hideMark/>
          </w:tcPr>
          <w:p w14:paraId="052C446B"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0E496C4E" w14:textId="77777777" w:rsidR="00CD1B0C" w:rsidRPr="00CD1B0C" w:rsidRDefault="00CD1B0C" w:rsidP="00CD1B0C">
            <w:pPr>
              <w:overflowPunct/>
              <w:autoSpaceDE/>
              <w:autoSpaceDN/>
              <w:bidi w:val="0"/>
              <w:adjustRightInd/>
              <w:jc w:val="center"/>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31CC9EFD"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11FC21A9"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10A40A64"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002F6870"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35C63674"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1023C89A"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47D3703F" w14:textId="77777777" w:rsidR="00CD1B0C" w:rsidRPr="00CD1B0C" w:rsidRDefault="00CD1B0C" w:rsidP="00CD1B0C">
            <w:pPr>
              <w:overflowPunct/>
              <w:autoSpaceDE/>
              <w:autoSpaceDN/>
              <w:bidi w:val="0"/>
              <w:adjustRightInd/>
              <w:textAlignment w:val="auto"/>
              <w:rPr>
                <w:rFonts w:cs="Times New Roman"/>
                <w:szCs w:val="20"/>
                <w:lang w:eastAsia="en-US"/>
              </w:rPr>
            </w:pPr>
          </w:p>
        </w:tc>
      </w:tr>
      <w:tr w:rsidR="00CD1B0C" w:rsidRPr="00CD1B0C" w14:paraId="501EF0C2" w14:textId="77777777" w:rsidTr="00CD1B0C">
        <w:trPr>
          <w:trHeight w:val="630"/>
        </w:trPr>
        <w:tc>
          <w:tcPr>
            <w:tcW w:w="1200" w:type="dxa"/>
            <w:tcBorders>
              <w:top w:val="single" w:sz="4" w:space="0" w:color="auto"/>
              <w:left w:val="single" w:sz="4" w:space="0" w:color="auto"/>
              <w:bottom w:val="nil"/>
              <w:right w:val="nil"/>
            </w:tcBorders>
            <w:shd w:val="clear" w:color="auto" w:fill="F0F4FA"/>
            <w:tcMar>
              <w:top w:w="15" w:type="dxa"/>
              <w:left w:w="15" w:type="dxa"/>
              <w:bottom w:w="0" w:type="dxa"/>
              <w:right w:w="15" w:type="dxa"/>
            </w:tcMar>
            <w:vAlign w:val="center"/>
            <w:hideMark/>
          </w:tcPr>
          <w:p w14:paraId="4EB45178"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lang w:eastAsia="en-US"/>
              </w:rPr>
            </w:pPr>
            <w:r w:rsidRPr="00CD1B0C">
              <w:rPr>
                <w:rFonts w:ascii="Calibri" w:hAnsi="Calibri" w:cs="Calibri"/>
                <w:b/>
                <w:bCs/>
                <w:color w:val="000000"/>
                <w:sz w:val="16"/>
                <w:szCs w:val="16"/>
                <w:rtl/>
                <w:lang w:eastAsia="en-US"/>
              </w:rPr>
              <w:t>קוד תוכנית</w:t>
            </w:r>
          </w:p>
        </w:tc>
        <w:tc>
          <w:tcPr>
            <w:tcW w:w="148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76A63AF0"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השינוי התקציב המוצע בפנייה הוצאות נטו</w:t>
            </w:r>
          </w:p>
        </w:tc>
        <w:tc>
          <w:tcPr>
            <w:tcW w:w="102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622FFAED"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2026</w:t>
            </w:r>
          </w:p>
        </w:tc>
        <w:tc>
          <w:tcPr>
            <w:tcW w:w="120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65BA4C1C"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2025 בניכוי עודפים שעברו ב-2025 </w:t>
            </w:r>
          </w:p>
        </w:tc>
        <w:tc>
          <w:tcPr>
            <w:tcW w:w="102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3706AB3C"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2025</w:t>
            </w:r>
          </w:p>
        </w:tc>
        <w:tc>
          <w:tcPr>
            <w:tcW w:w="120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15E3E734"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2024 בניכוי עודפים שעברו ב-2024</w:t>
            </w:r>
          </w:p>
        </w:tc>
        <w:tc>
          <w:tcPr>
            <w:tcW w:w="102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63297787"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2024</w:t>
            </w:r>
          </w:p>
        </w:tc>
        <w:tc>
          <w:tcPr>
            <w:tcW w:w="120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48DB5461"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2023 בניכוי עודפים שעברו ב-2023</w:t>
            </w:r>
          </w:p>
        </w:tc>
        <w:tc>
          <w:tcPr>
            <w:tcW w:w="960" w:type="dxa"/>
            <w:tcBorders>
              <w:top w:val="single" w:sz="4" w:space="0" w:color="979991"/>
              <w:left w:val="single" w:sz="4" w:space="0" w:color="979991"/>
              <w:bottom w:val="single" w:sz="4" w:space="0" w:color="979991"/>
              <w:right w:val="single" w:sz="4" w:space="0" w:color="979991"/>
            </w:tcBorders>
            <w:shd w:val="clear" w:color="auto" w:fill="F0F4FA"/>
            <w:tcMar>
              <w:top w:w="15" w:type="dxa"/>
              <w:left w:w="15" w:type="dxa"/>
              <w:bottom w:w="0" w:type="dxa"/>
              <w:right w:w="15" w:type="dxa"/>
            </w:tcMar>
            <w:vAlign w:val="center"/>
            <w:hideMark/>
          </w:tcPr>
          <w:p w14:paraId="2140DB04"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2023</w:t>
            </w:r>
          </w:p>
        </w:tc>
      </w:tr>
      <w:tr w:rsidR="00CD1B0C" w:rsidRPr="00CD1B0C" w14:paraId="4D211129" w14:textId="77777777" w:rsidTr="00CD1B0C">
        <w:trPr>
          <w:trHeight w:val="290"/>
        </w:trPr>
        <w:tc>
          <w:tcPr>
            <w:tcW w:w="120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4E07272E"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rtl/>
                <w:lang w:eastAsia="en-US"/>
              </w:rPr>
            </w:pPr>
            <w:r w:rsidRPr="00CD1B0C">
              <w:rPr>
                <w:rFonts w:ascii="Calibri" w:hAnsi="Calibri" w:cs="Calibri"/>
                <w:color w:val="000000"/>
                <w:sz w:val="16"/>
                <w:szCs w:val="16"/>
                <w:lang w:eastAsia="en-US"/>
              </w:rPr>
              <w:t>391101</w:t>
            </w:r>
          </w:p>
        </w:tc>
        <w:tc>
          <w:tcPr>
            <w:tcW w:w="148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0376EE59"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38,400</w:t>
            </w:r>
          </w:p>
        </w:tc>
        <w:tc>
          <w:tcPr>
            <w:tcW w:w="102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04A28F9F"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71,918</w:t>
            </w:r>
          </w:p>
        </w:tc>
        <w:tc>
          <w:tcPr>
            <w:tcW w:w="120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6B6C7E95"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106,135</w:t>
            </w:r>
          </w:p>
        </w:tc>
        <w:tc>
          <w:tcPr>
            <w:tcW w:w="102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3C410055"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73,878</w:t>
            </w:r>
          </w:p>
        </w:tc>
        <w:tc>
          <w:tcPr>
            <w:tcW w:w="120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24B68D6E"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122,263</w:t>
            </w:r>
          </w:p>
        </w:tc>
        <w:tc>
          <w:tcPr>
            <w:tcW w:w="102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0A5C728E"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69,607</w:t>
            </w:r>
          </w:p>
        </w:tc>
        <w:tc>
          <w:tcPr>
            <w:tcW w:w="120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17A370E7"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99,015</w:t>
            </w:r>
          </w:p>
        </w:tc>
        <w:tc>
          <w:tcPr>
            <w:tcW w:w="9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2F140C"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79,581</w:t>
            </w:r>
          </w:p>
        </w:tc>
      </w:tr>
    </w:tbl>
    <w:p w14:paraId="089C3507" w14:textId="77777777" w:rsidR="00CD1B0C" w:rsidRPr="00CD1B0C" w:rsidRDefault="00CD1B0C" w:rsidP="00CD1B0C">
      <w:pPr>
        <w:shd w:val="clear" w:color="auto" w:fill="FFFFFF"/>
        <w:overflowPunct/>
        <w:autoSpaceDE/>
        <w:autoSpaceDN/>
        <w:bidi w:val="0"/>
        <w:adjustRightInd/>
        <w:textAlignment w:val="auto"/>
        <w:rPr>
          <w:rFonts w:ascii="Arial" w:hAnsi="Arial" w:cs="Arial"/>
          <w:color w:val="222222"/>
          <w:sz w:val="24"/>
          <w:lang w:eastAsia="en-US"/>
        </w:rPr>
      </w:pPr>
    </w:p>
    <w:tbl>
      <w:tblPr>
        <w:tblW w:w="9920" w:type="dxa"/>
        <w:tblInd w:w="-807" w:type="dxa"/>
        <w:tblCellMar>
          <w:left w:w="0" w:type="dxa"/>
          <w:right w:w="0" w:type="dxa"/>
        </w:tblCellMar>
        <w:tblLook w:val="04A0" w:firstRow="1" w:lastRow="0" w:firstColumn="1" w:lastColumn="0" w:noHBand="0" w:noVBand="1"/>
      </w:tblPr>
      <w:tblGrid>
        <w:gridCol w:w="1220"/>
        <w:gridCol w:w="1380"/>
        <w:gridCol w:w="1060"/>
        <w:gridCol w:w="1060"/>
        <w:gridCol w:w="1060"/>
        <w:gridCol w:w="1060"/>
        <w:gridCol w:w="1060"/>
        <w:gridCol w:w="1060"/>
        <w:gridCol w:w="960"/>
      </w:tblGrid>
      <w:tr w:rsidR="00CD1B0C" w:rsidRPr="00CD1B0C" w14:paraId="784FCF7D" w14:textId="77777777" w:rsidTr="00CD1B0C">
        <w:trPr>
          <w:trHeight w:val="290"/>
        </w:trPr>
        <w:tc>
          <w:tcPr>
            <w:tcW w:w="8960" w:type="dxa"/>
            <w:gridSpan w:val="8"/>
            <w:tcBorders>
              <w:top w:val="nil"/>
              <w:left w:val="nil"/>
              <w:bottom w:val="nil"/>
              <w:right w:val="nil"/>
            </w:tcBorders>
            <w:tcMar>
              <w:top w:w="15" w:type="dxa"/>
              <w:left w:w="15" w:type="dxa"/>
              <w:bottom w:w="0" w:type="dxa"/>
              <w:right w:w="15" w:type="dxa"/>
            </w:tcMar>
            <w:vAlign w:val="center"/>
            <w:hideMark/>
          </w:tcPr>
          <w:p w14:paraId="6BAB0CEE" w14:textId="77777777" w:rsidR="00CD1B0C" w:rsidRPr="00CD1B0C" w:rsidRDefault="00CD1B0C" w:rsidP="00CD1B0C">
            <w:pPr>
              <w:overflowPunct/>
              <w:autoSpaceDE/>
              <w:autoSpaceDN/>
              <w:adjustRightInd/>
              <w:jc w:val="center"/>
              <w:textAlignment w:val="auto"/>
              <w:rPr>
                <w:rFonts w:ascii="Calibri" w:hAnsi="Calibri" w:cs="Calibri"/>
                <w:b/>
                <w:bCs/>
                <w:color w:val="000000"/>
                <w:szCs w:val="20"/>
                <w:lang w:eastAsia="en-US"/>
              </w:rPr>
            </w:pPr>
            <w:r w:rsidRPr="00CD1B0C">
              <w:rPr>
                <w:rFonts w:ascii="Calibri" w:hAnsi="Calibri" w:cs="Calibri"/>
                <w:b/>
                <w:bCs/>
                <w:color w:val="000000"/>
                <w:szCs w:val="20"/>
                <w:rtl/>
                <w:lang w:eastAsia="en-US"/>
              </w:rPr>
              <w:t>היסטוריה תקציבית של הפנייה - הוצאה מותנית בהכנסה</w:t>
            </w:r>
          </w:p>
        </w:tc>
        <w:tc>
          <w:tcPr>
            <w:tcW w:w="960" w:type="dxa"/>
            <w:tcBorders>
              <w:top w:val="nil"/>
              <w:left w:val="nil"/>
              <w:bottom w:val="nil"/>
              <w:right w:val="nil"/>
            </w:tcBorders>
            <w:noWrap/>
            <w:tcMar>
              <w:top w:w="15" w:type="dxa"/>
              <w:left w:w="15" w:type="dxa"/>
              <w:bottom w:w="0" w:type="dxa"/>
              <w:right w:w="15" w:type="dxa"/>
            </w:tcMar>
            <w:vAlign w:val="bottom"/>
            <w:hideMark/>
          </w:tcPr>
          <w:p w14:paraId="1C1BF9EE" w14:textId="77777777" w:rsidR="00CD1B0C" w:rsidRPr="00CD1B0C" w:rsidRDefault="00CD1B0C" w:rsidP="00CD1B0C">
            <w:pPr>
              <w:overflowPunct/>
              <w:autoSpaceDE/>
              <w:autoSpaceDN/>
              <w:adjustRightInd/>
              <w:jc w:val="center"/>
              <w:textAlignment w:val="auto"/>
              <w:rPr>
                <w:rFonts w:ascii="Calibri" w:hAnsi="Calibri" w:cs="Calibri"/>
                <w:b/>
                <w:bCs/>
                <w:color w:val="000000"/>
                <w:szCs w:val="20"/>
                <w:rtl/>
                <w:lang w:eastAsia="en-US"/>
              </w:rPr>
            </w:pPr>
          </w:p>
        </w:tc>
      </w:tr>
      <w:tr w:rsidR="00CD1B0C" w:rsidRPr="00CD1B0C" w14:paraId="340A214D" w14:textId="77777777" w:rsidTr="00CD1B0C">
        <w:trPr>
          <w:trHeight w:val="290"/>
        </w:trPr>
        <w:tc>
          <w:tcPr>
            <w:tcW w:w="1220" w:type="dxa"/>
            <w:tcBorders>
              <w:top w:val="nil"/>
              <w:left w:val="nil"/>
              <w:bottom w:val="nil"/>
              <w:right w:val="nil"/>
            </w:tcBorders>
            <w:tcMar>
              <w:top w:w="15" w:type="dxa"/>
              <w:left w:w="225" w:type="dxa"/>
              <w:bottom w:w="0" w:type="dxa"/>
              <w:right w:w="15" w:type="dxa"/>
            </w:tcMar>
            <w:vAlign w:val="center"/>
            <w:hideMark/>
          </w:tcPr>
          <w:p w14:paraId="28D7D8CF"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7BA55456" w14:textId="77777777" w:rsidR="00CD1B0C" w:rsidRPr="00CD1B0C" w:rsidRDefault="00CD1B0C" w:rsidP="00CD1B0C">
            <w:pPr>
              <w:overflowPunct/>
              <w:autoSpaceDE/>
              <w:autoSpaceDN/>
              <w:bidi w:val="0"/>
              <w:adjustRightInd/>
              <w:jc w:val="center"/>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10A170F7"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1C7761D0"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2AF0373D"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5C83EE5C"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4C5C1909"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04395167" w14:textId="77777777" w:rsidR="00CD1B0C" w:rsidRPr="00CD1B0C" w:rsidRDefault="00CD1B0C" w:rsidP="00CD1B0C">
            <w:pPr>
              <w:overflowPunct/>
              <w:autoSpaceDE/>
              <w:autoSpaceDN/>
              <w:bidi w:val="0"/>
              <w:adjustRightInd/>
              <w:textAlignment w:val="auto"/>
              <w:rPr>
                <w:rFonts w:cs="Times New Roman"/>
                <w:szCs w:val="20"/>
                <w:lang w:eastAsia="en-US"/>
              </w:rPr>
            </w:pPr>
          </w:p>
        </w:tc>
        <w:tc>
          <w:tcPr>
            <w:tcW w:w="0" w:type="auto"/>
            <w:tcBorders>
              <w:top w:val="nil"/>
              <w:left w:val="nil"/>
              <w:bottom w:val="nil"/>
              <w:right w:val="nil"/>
            </w:tcBorders>
            <w:noWrap/>
            <w:tcMar>
              <w:top w:w="15" w:type="dxa"/>
              <w:left w:w="15" w:type="dxa"/>
              <w:bottom w:w="0" w:type="dxa"/>
              <w:right w:w="15" w:type="dxa"/>
            </w:tcMar>
            <w:vAlign w:val="bottom"/>
            <w:hideMark/>
          </w:tcPr>
          <w:p w14:paraId="25F49BCF" w14:textId="77777777" w:rsidR="00CD1B0C" w:rsidRPr="00CD1B0C" w:rsidRDefault="00CD1B0C" w:rsidP="00CD1B0C">
            <w:pPr>
              <w:overflowPunct/>
              <w:autoSpaceDE/>
              <w:autoSpaceDN/>
              <w:bidi w:val="0"/>
              <w:adjustRightInd/>
              <w:textAlignment w:val="auto"/>
              <w:rPr>
                <w:rFonts w:cs="Times New Roman"/>
                <w:szCs w:val="20"/>
                <w:lang w:eastAsia="en-US"/>
              </w:rPr>
            </w:pPr>
          </w:p>
        </w:tc>
      </w:tr>
      <w:tr w:rsidR="00CD1B0C" w:rsidRPr="00CD1B0C" w14:paraId="525A8FE5" w14:textId="77777777" w:rsidTr="00CD1B0C">
        <w:trPr>
          <w:trHeight w:val="420"/>
        </w:trPr>
        <w:tc>
          <w:tcPr>
            <w:tcW w:w="1220" w:type="dxa"/>
            <w:tcBorders>
              <w:top w:val="single" w:sz="4" w:space="0" w:color="auto"/>
              <w:left w:val="single" w:sz="4" w:space="0" w:color="auto"/>
              <w:bottom w:val="nil"/>
              <w:right w:val="nil"/>
            </w:tcBorders>
            <w:shd w:val="clear" w:color="auto" w:fill="F0F4FA"/>
            <w:tcMar>
              <w:top w:w="15" w:type="dxa"/>
              <w:left w:w="15" w:type="dxa"/>
              <w:bottom w:w="0" w:type="dxa"/>
              <w:right w:w="15" w:type="dxa"/>
            </w:tcMar>
            <w:vAlign w:val="center"/>
            <w:hideMark/>
          </w:tcPr>
          <w:p w14:paraId="03AC5D4B"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lang w:eastAsia="en-US"/>
              </w:rPr>
            </w:pPr>
            <w:r w:rsidRPr="00CD1B0C">
              <w:rPr>
                <w:rFonts w:ascii="Calibri" w:hAnsi="Calibri" w:cs="Calibri"/>
                <w:b/>
                <w:bCs/>
                <w:color w:val="000000"/>
                <w:sz w:val="16"/>
                <w:szCs w:val="16"/>
                <w:rtl/>
                <w:lang w:eastAsia="en-US"/>
              </w:rPr>
              <w:t>קוד תוכנית</w:t>
            </w:r>
          </w:p>
        </w:tc>
        <w:tc>
          <w:tcPr>
            <w:tcW w:w="138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0683C351"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השינוי התקציבי המוצע בפנייה זו</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07E8AF54"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2026</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049AE623"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2025</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457B7E2B"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2025</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2DA40CF7"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2024</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0992354D"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2024</w:t>
            </w:r>
          </w:p>
        </w:tc>
        <w:tc>
          <w:tcPr>
            <w:tcW w:w="106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49138F15"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מאושר 2023</w:t>
            </w:r>
          </w:p>
        </w:tc>
        <w:tc>
          <w:tcPr>
            <w:tcW w:w="960" w:type="dxa"/>
            <w:tcBorders>
              <w:top w:val="single" w:sz="4" w:space="0" w:color="979991"/>
              <w:left w:val="single" w:sz="4" w:space="0" w:color="979991"/>
              <w:bottom w:val="single" w:sz="4" w:space="0" w:color="979991"/>
              <w:right w:val="single" w:sz="4" w:space="0" w:color="979991"/>
            </w:tcBorders>
            <w:shd w:val="clear" w:color="auto" w:fill="F0F4FA"/>
            <w:tcMar>
              <w:top w:w="15" w:type="dxa"/>
              <w:left w:w="15" w:type="dxa"/>
              <w:bottom w:w="0" w:type="dxa"/>
              <w:right w:w="15" w:type="dxa"/>
            </w:tcMar>
            <w:vAlign w:val="center"/>
            <w:hideMark/>
          </w:tcPr>
          <w:p w14:paraId="0E64F6BE" w14:textId="77777777" w:rsidR="00CD1B0C" w:rsidRPr="00CD1B0C" w:rsidRDefault="00CD1B0C" w:rsidP="00CD1B0C">
            <w:pPr>
              <w:overflowPunct/>
              <w:autoSpaceDE/>
              <w:autoSpaceDN/>
              <w:adjustRightInd/>
              <w:jc w:val="center"/>
              <w:textAlignment w:val="auto"/>
              <w:rPr>
                <w:rFonts w:ascii="Calibri" w:hAnsi="Calibri" w:cs="Calibri"/>
                <w:b/>
                <w:bCs/>
                <w:color w:val="000000"/>
                <w:sz w:val="16"/>
                <w:szCs w:val="16"/>
                <w:rtl/>
                <w:lang w:eastAsia="en-US"/>
              </w:rPr>
            </w:pPr>
            <w:r w:rsidRPr="00CD1B0C">
              <w:rPr>
                <w:rFonts w:ascii="Calibri" w:hAnsi="Calibri" w:cs="Calibri"/>
                <w:b/>
                <w:bCs/>
                <w:color w:val="000000"/>
                <w:sz w:val="16"/>
                <w:szCs w:val="16"/>
                <w:rtl/>
                <w:lang w:eastAsia="en-US"/>
              </w:rPr>
              <w:t>מקורי 2023</w:t>
            </w:r>
          </w:p>
        </w:tc>
      </w:tr>
      <w:tr w:rsidR="00CD1B0C" w:rsidRPr="00CD1B0C" w14:paraId="22BE4EB4" w14:textId="77777777" w:rsidTr="00CD1B0C">
        <w:trPr>
          <w:trHeight w:val="290"/>
        </w:trPr>
        <w:tc>
          <w:tcPr>
            <w:tcW w:w="1220" w:type="dxa"/>
            <w:tcBorders>
              <w:top w:val="single" w:sz="4" w:space="0" w:color="auto"/>
              <w:left w:val="single" w:sz="4" w:space="0" w:color="auto"/>
              <w:bottom w:val="single" w:sz="4" w:space="0" w:color="auto"/>
              <w:right w:val="nil"/>
            </w:tcBorders>
            <w:shd w:val="clear" w:color="auto" w:fill="F0F4FA"/>
            <w:tcMar>
              <w:top w:w="15" w:type="dxa"/>
              <w:left w:w="15" w:type="dxa"/>
              <w:bottom w:w="0" w:type="dxa"/>
              <w:right w:w="15" w:type="dxa"/>
            </w:tcMar>
            <w:vAlign w:val="center"/>
            <w:hideMark/>
          </w:tcPr>
          <w:p w14:paraId="774F18DB"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rtl/>
                <w:lang w:eastAsia="en-US"/>
              </w:rPr>
            </w:pPr>
            <w:r w:rsidRPr="00CD1B0C">
              <w:rPr>
                <w:rFonts w:ascii="Calibri" w:hAnsi="Calibri" w:cs="Calibri"/>
                <w:color w:val="000000"/>
                <w:sz w:val="16"/>
                <w:szCs w:val="16"/>
                <w:lang w:eastAsia="en-US"/>
              </w:rPr>
              <w:t>391101</w:t>
            </w:r>
          </w:p>
        </w:tc>
        <w:tc>
          <w:tcPr>
            <w:tcW w:w="138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30799381"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0</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431C7EC6"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373853A3"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150,269</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06ED68AA"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5CD4EA11"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6F2483BC"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c>
          <w:tcPr>
            <w:tcW w:w="1060" w:type="dxa"/>
            <w:tcBorders>
              <w:top w:val="nil"/>
              <w:left w:val="single" w:sz="4" w:space="0" w:color="auto"/>
              <w:bottom w:val="single" w:sz="4" w:space="0" w:color="auto"/>
              <w:right w:val="nil"/>
            </w:tcBorders>
            <w:tcMar>
              <w:top w:w="15" w:type="dxa"/>
              <w:left w:w="15" w:type="dxa"/>
              <w:bottom w:w="0" w:type="dxa"/>
              <w:right w:w="15" w:type="dxa"/>
            </w:tcMar>
            <w:vAlign w:val="center"/>
            <w:hideMark/>
          </w:tcPr>
          <w:p w14:paraId="66DEC346"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c>
          <w:tcPr>
            <w:tcW w:w="9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F63790" w14:textId="77777777" w:rsidR="00CD1B0C" w:rsidRPr="00CD1B0C" w:rsidRDefault="00CD1B0C" w:rsidP="00CD1B0C">
            <w:pPr>
              <w:overflowPunct/>
              <w:autoSpaceDE/>
              <w:autoSpaceDN/>
              <w:bidi w:val="0"/>
              <w:adjustRightInd/>
              <w:jc w:val="center"/>
              <w:textAlignment w:val="auto"/>
              <w:rPr>
                <w:rFonts w:ascii="Calibri" w:hAnsi="Calibri" w:cs="Calibri"/>
                <w:color w:val="000000"/>
                <w:sz w:val="16"/>
                <w:szCs w:val="16"/>
                <w:lang w:eastAsia="en-US"/>
              </w:rPr>
            </w:pPr>
            <w:r w:rsidRPr="00CD1B0C">
              <w:rPr>
                <w:rFonts w:ascii="Calibri" w:hAnsi="Calibri" w:cs="Calibri"/>
                <w:color w:val="000000"/>
                <w:sz w:val="16"/>
                <w:szCs w:val="16"/>
                <w:lang w:eastAsia="en-US"/>
              </w:rPr>
              <w:t>132,269</w:t>
            </w:r>
          </w:p>
        </w:tc>
      </w:tr>
    </w:tbl>
    <w:p w14:paraId="79DE1C7D" w14:textId="77777777" w:rsidR="00CD1B0C" w:rsidRPr="00CD1B0C" w:rsidRDefault="00CD1B0C" w:rsidP="00CD1B0C">
      <w:pPr>
        <w:shd w:val="clear" w:color="auto" w:fill="FFFFFF"/>
        <w:overflowPunct/>
        <w:autoSpaceDE/>
        <w:autoSpaceDN/>
        <w:bidi w:val="0"/>
        <w:adjustRightInd/>
        <w:textAlignment w:val="auto"/>
        <w:rPr>
          <w:rFonts w:ascii="Arial" w:hAnsi="Arial" w:cs="Arial"/>
          <w:color w:val="222222"/>
          <w:sz w:val="24"/>
          <w:lang w:eastAsia="en-US"/>
        </w:rPr>
      </w:pPr>
    </w:p>
    <w:sectPr w:rsidR="00CD1B0C" w:rsidRPr="00CD1B0C" w:rsidSect="004374A5">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CB44" w14:textId="77777777" w:rsidR="00A77FCA" w:rsidRDefault="00A77FCA" w:rsidP="004374A5">
      <w:r>
        <w:separator/>
      </w:r>
    </w:p>
  </w:endnote>
  <w:endnote w:type="continuationSeparator" w:id="0">
    <w:p w14:paraId="0FFF944C" w14:textId="77777777" w:rsidR="00A77FCA" w:rsidRDefault="00A77FCA"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Roboto">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28E8"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4904"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18CE"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413D" w14:textId="77777777" w:rsidR="00A77FCA" w:rsidRDefault="00A77FCA" w:rsidP="004374A5">
      <w:r>
        <w:separator/>
      </w:r>
    </w:p>
  </w:footnote>
  <w:footnote w:type="continuationSeparator" w:id="0">
    <w:p w14:paraId="18999AFC" w14:textId="77777777" w:rsidR="00A77FCA" w:rsidRDefault="00A77FCA"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D3C"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39A82" w14:textId="77777777" w:rsidR="004374A5" w:rsidRDefault="00A77FCA">
    <w:pPr>
      <w:pStyle w:val="a4"/>
    </w:pPr>
    <w:r>
      <w:rPr>
        <w:noProof/>
      </w:rPr>
      <w:pict w14:anchorId="16D1D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C9A1"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775767"/>
    <w:rsid w:val="007847C9"/>
    <w:rsid w:val="007C275A"/>
    <w:rsid w:val="008F04A4"/>
    <w:rsid w:val="0099433E"/>
    <w:rsid w:val="00A77FCA"/>
    <w:rsid w:val="00AC2EE6"/>
    <w:rsid w:val="00B0145B"/>
    <w:rsid w:val="00B077C4"/>
    <w:rsid w:val="00B16AA5"/>
    <w:rsid w:val="00B42666"/>
    <w:rsid w:val="00B61EA5"/>
    <w:rsid w:val="00BB3BA1"/>
    <w:rsid w:val="00C13197"/>
    <w:rsid w:val="00CD1B0C"/>
    <w:rsid w:val="00DC6C1F"/>
    <w:rsid w:val="00EF0529"/>
    <w:rsid w:val="00F34E9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3DB3136"/>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7106">
      <w:bodyDiv w:val="1"/>
      <w:marLeft w:val="0"/>
      <w:marRight w:val="0"/>
      <w:marTop w:val="0"/>
      <w:marBottom w:val="0"/>
      <w:divBdr>
        <w:top w:val="none" w:sz="0" w:space="0" w:color="auto"/>
        <w:left w:val="none" w:sz="0" w:space="0" w:color="auto"/>
        <w:bottom w:val="none" w:sz="0" w:space="0" w:color="auto"/>
        <w:right w:val="none" w:sz="0" w:space="0" w:color="auto"/>
      </w:divBdr>
    </w:div>
    <w:div w:id="2061594156">
      <w:bodyDiv w:val="1"/>
      <w:marLeft w:val="0"/>
      <w:marRight w:val="0"/>
      <w:marTop w:val="0"/>
      <w:marBottom w:val="0"/>
      <w:divBdr>
        <w:top w:val="none" w:sz="0" w:space="0" w:color="auto"/>
        <w:left w:val="none" w:sz="0" w:space="0" w:color="auto"/>
        <w:bottom w:val="none" w:sz="0" w:space="0" w:color="auto"/>
        <w:right w:val="none" w:sz="0" w:space="0" w:color="auto"/>
      </w:divBdr>
      <w:divsChild>
        <w:div w:id="1687901213">
          <w:marLeft w:val="0"/>
          <w:marRight w:val="0"/>
          <w:marTop w:val="0"/>
          <w:marBottom w:val="0"/>
          <w:divBdr>
            <w:top w:val="none" w:sz="0" w:space="0" w:color="auto"/>
            <w:left w:val="none" w:sz="0" w:space="0" w:color="auto"/>
            <w:bottom w:val="none" w:sz="0" w:space="0" w:color="auto"/>
            <w:right w:val="none" w:sz="0" w:space="0" w:color="auto"/>
          </w:divBdr>
          <w:divsChild>
            <w:div w:id="996955850">
              <w:marLeft w:val="0"/>
              <w:marRight w:val="60"/>
              <w:marTop w:val="0"/>
              <w:marBottom w:val="0"/>
              <w:divBdr>
                <w:top w:val="none" w:sz="0" w:space="0" w:color="auto"/>
                <w:left w:val="none" w:sz="0" w:space="0" w:color="auto"/>
                <w:bottom w:val="none" w:sz="0" w:space="0" w:color="auto"/>
                <w:right w:val="none" w:sz="0" w:space="0" w:color="auto"/>
              </w:divBdr>
            </w:div>
          </w:divsChild>
        </w:div>
        <w:div w:id="1928416142">
          <w:marLeft w:val="0"/>
          <w:marRight w:val="0"/>
          <w:marTop w:val="0"/>
          <w:marBottom w:val="0"/>
          <w:divBdr>
            <w:top w:val="none" w:sz="0" w:space="0" w:color="auto"/>
            <w:left w:val="none" w:sz="0" w:space="0" w:color="auto"/>
            <w:bottom w:val="none" w:sz="0" w:space="0" w:color="auto"/>
            <w:right w:val="none" w:sz="0" w:space="0" w:color="auto"/>
          </w:divBdr>
        </w:div>
        <w:div w:id="801848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https://mail.google.com/mail/u/0/images/cleardot.gif"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420</Words>
  <Characters>2104</Characters>
  <Application>Microsoft Office Word</Application>
  <DocSecurity>0</DocSecurity>
  <Lines>17</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2026-06-17T10:50:00Z</dcterms:created>
  <dcterms:modified xsi:type="dcterms:W3CDTF">2026-06-17T11:22:00Z</dcterms:modified>
</cp:coreProperties>
</file>