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DA0E" w14:textId="77777777" w:rsidR="0051496B" w:rsidRDefault="0051496B">
      <w:pPr>
        <w:pStyle w:val="a7"/>
        <w:rPr>
          <w:rtl/>
        </w:rPr>
      </w:pPr>
      <w:r>
        <w:rPr>
          <w:rtl/>
        </w:rPr>
        <w:t>מדינת ישראל</w:t>
      </w:r>
    </w:p>
    <w:p w14:paraId="4EE14D16" w14:textId="77777777" w:rsidR="0051496B" w:rsidRDefault="0051496B">
      <w:pPr>
        <w:pStyle w:val="a7"/>
        <w:rPr>
          <w:rtl/>
        </w:rPr>
      </w:pPr>
      <w:r>
        <w:rPr>
          <w:rtl/>
        </w:rPr>
        <w:t>האוצר - אגף התקציבים</w:t>
      </w:r>
    </w:p>
    <w:p w14:paraId="34572487" w14:textId="77777777" w:rsidR="0051496B" w:rsidRDefault="0051496B">
      <w:pPr>
        <w:rPr>
          <w:rtl/>
        </w:rPr>
      </w:pPr>
    </w:p>
    <w:p w14:paraId="0E21193A" w14:textId="77777777" w:rsidR="0051496B" w:rsidRDefault="0051496B">
      <w:pPr>
        <w:rPr>
          <w:rtl/>
        </w:rPr>
      </w:pPr>
    </w:p>
    <w:p w14:paraId="26D172CE" w14:textId="77777777" w:rsidR="0051496B" w:rsidRPr="000A3FA0" w:rsidRDefault="0051496B">
      <w:pPr>
        <w:tabs>
          <w:tab w:val="left" w:pos="6300"/>
        </w:tabs>
        <w:rPr>
          <w:rFonts w:cs="FrankRuehl"/>
          <w:sz w:val="26"/>
          <w:szCs w:val="26"/>
          <w:rtl/>
        </w:rPr>
      </w:pPr>
      <w:r>
        <w:rPr>
          <w:rtl/>
        </w:rPr>
        <w:tab/>
      </w:r>
      <w:bookmarkStart w:id="0" w:name="TAKZIV8"/>
      <w:bookmarkEnd w:id="0"/>
    </w:p>
    <w:p w14:paraId="4C2E0D2C"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1DBC1DA3"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54C9C916" w14:textId="41F6C62C"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075B9B">
        <w:rPr>
          <w:rFonts w:cs="FrankRuehl"/>
          <w:sz w:val="26"/>
          <w:szCs w:val="26"/>
          <w:rtl/>
        </w:rPr>
        <w:t>201</w:t>
      </w:r>
      <w:bookmarkEnd w:id="2"/>
      <w:r w:rsidRPr="000A3FA0">
        <w:rPr>
          <w:rFonts w:cs="FrankRuehl"/>
          <w:sz w:val="26"/>
          <w:szCs w:val="26"/>
          <w:rtl/>
        </w:rPr>
        <w:t xml:space="preserve"> - </w:t>
      </w:r>
      <w:bookmarkStart w:id="3" w:name="TAKZIV3"/>
      <w:r w:rsidR="00075B9B">
        <w:rPr>
          <w:rFonts w:cs="FrankRuehl"/>
          <w:sz w:val="26"/>
          <w:szCs w:val="26"/>
          <w:rtl/>
        </w:rPr>
        <w:t>37</w:t>
      </w:r>
      <w:bookmarkEnd w:id="3"/>
    </w:p>
    <w:p w14:paraId="5C3426C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7C0C60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197A1905" w14:textId="77777777" w:rsidR="0051496B" w:rsidRPr="000A3FA0" w:rsidRDefault="0051496B">
      <w:pPr>
        <w:rPr>
          <w:rFonts w:cs="FrankRuehl"/>
          <w:sz w:val="26"/>
          <w:szCs w:val="26"/>
          <w:rtl/>
        </w:rPr>
      </w:pPr>
      <w:r w:rsidRPr="000A3FA0">
        <w:rPr>
          <w:rFonts w:cs="FrankRuehl"/>
          <w:sz w:val="26"/>
          <w:szCs w:val="26"/>
          <w:rtl/>
        </w:rPr>
        <w:t>לכבוד,</w:t>
      </w:r>
    </w:p>
    <w:p w14:paraId="7C1E8ECF" w14:textId="77777777" w:rsidR="0051496B" w:rsidRPr="000A3FA0" w:rsidRDefault="0051496B">
      <w:pPr>
        <w:rPr>
          <w:rFonts w:cs="FrankRuehl"/>
          <w:sz w:val="26"/>
          <w:szCs w:val="26"/>
          <w:rtl/>
        </w:rPr>
      </w:pPr>
      <w:r w:rsidRPr="000A3FA0">
        <w:rPr>
          <w:rFonts w:cs="FrankRuehl"/>
          <w:sz w:val="26"/>
          <w:szCs w:val="26"/>
          <w:rtl/>
        </w:rPr>
        <w:t>יו"ר ועדת הכספים</w:t>
      </w:r>
    </w:p>
    <w:p w14:paraId="3B598BAB" w14:textId="77777777" w:rsidR="0051496B" w:rsidRPr="000A3FA0" w:rsidRDefault="0051496B">
      <w:pPr>
        <w:rPr>
          <w:rFonts w:cs="FrankRuehl"/>
          <w:sz w:val="26"/>
          <w:szCs w:val="26"/>
          <w:rtl/>
        </w:rPr>
      </w:pPr>
      <w:r w:rsidRPr="000A3FA0">
        <w:rPr>
          <w:rFonts w:cs="FrankRuehl"/>
          <w:sz w:val="26"/>
          <w:szCs w:val="26"/>
          <w:rtl/>
        </w:rPr>
        <w:t>הכנסת</w:t>
      </w:r>
    </w:p>
    <w:p w14:paraId="754FEB52" w14:textId="77777777" w:rsidR="0051496B" w:rsidRPr="000A3FA0" w:rsidRDefault="0051496B">
      <w:pPr>
        <w:rPr>
          <w:rFonts w:cs="FrankRuehl"/>
          <w:sz w:val="26"/>
          <w:szCs w:val="26"/>
          <w:rtl/>
        </w:rPr>
      </w:pPr>
    </w:p>
    <w:p w14:paraId="16039E94" w14:textId="77777777" w:rsidR="0051496B" w:rsidRPr="000A3FA0" w:rsidRDefault="0051496B">
      <w:pPr>
        <w:rPr>
          <w:rFonts w:cs="FrankRuehl"/>
          <w:sz w:val="26"/>
          <w:szCs w:val="26"/>
          <w:rtl/>
        </w:rPr>
      </w:pPr>
      <w:r w:rsidRPr="000A3FA0">
        <w:rPr>
          <w:rFonts w:cs="FrankRuehl"/>
          <w:sz w:val="26"/>
          <w:szCs w:val="26"/>
          <w:rtl/>
        </w:rPr>
        <w:t>א.נ.,</w:t>
      </w:r>
    </w:p>
    <w:p w14:paraId="23E75BEC" w14:textId="77777777" w:rsidR="0051496B" w:rsidRPr="000A3FA0" w:rsidRDefault="0051496B">
      <w:pPr>
        <w:rPr>
          <w:rFonts w:cs="FrankRuehl"/>
          <w:sz w:val="26"/>
          <w:szCs w:val="26"/>
          <w:rtl/>
        </w:rPr>
      </w:pPr>
    </w:p>
    <w:p w14:paraId="7DBE437F" w14:textId="4C077C3F"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075B9B">
        <w:rPr>
          <w:rFonts w:cs="FrankRuehl"/>
          <w:sz w:val="26"/>
          <w:rtl/>
        </w:rPr>
        <w:t>2026</w:t>
      </w:r>
      <w:bookmarkEnd w:id="5"/>
      <w:r w:rsidRPr="000A3FA0">
        <w:rPr>
          <w:rFonts w:cs="FrankRuehl"/>
          <w:sz w:val="26"/>
          <w:rtl/>
        </w:rPr>
        <w:t xml:space="preserve">     </w:t>
      </w:r>
    </w:p>
    <w:p w14:paraId="07306C61" w14:textId="77777777" w:rsidR="0051496B" w:rsidRPr="000A3FA0" w:rsidRDefault="0051496B" w:rsidP="00A6761F">
      <w:pPr>
        <w:jc w:val="both"/>
        <w:rPr>
          <w:rFonts w:cs="FrankRuehl"/>
          <w:sz w:val="26"/>
          <w:szCs w:val="26"/>
          <w:rtl/>
        </w:rPr>
      </w:pPr>
    </w:p>
    <w:p w14:paraId="79FA7C06" w14:textId="373E3DA5" w:rsidR="0051496B" w:rsidRDefault="0051496B" w:rsidP="00ED46C6">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075B9B">
        <w:rPr>
          <w:rFonts w:cs="FrankRuehl"/>
          <w:sz w:val="26"/>
          <w:szCs w:val="26"/>
          <w:rtl/>
        </w:rPr>
        <w:t>128,643</w:t>
      </w:r>
      <w:bookmarkEnd w:id="6"/>
      <w:r w:rsidRPr="000A3FA0">
        <w:rPr>
          <w:rFonts w:cs="FrankRuehl"/>
          <w:sz w:val="26"/>
          <w:szCs w:val="26"/>
          <w:rtl/>
        </w:rPr>
        <w:t xml:space="preserve"> אלפי שקלים חדשים מסעיף </w:t>
      </w:r>
      <w:bookmarkStart w:id="7" w:name="TAKZIV3_1"/>
      <w:r w:rsidR="00075B9B">
        <w:rPr>
          <w:rFonts w:cs="FrankRuehl"/>
          <w:sz w:val="26"/>
          <w:szCs w:val="26"/>
          <w:rtl/>
        </w:rPr>
        <w:t>37</w:t>
      </w:r>
      <w:bookmarkEnd w:id="7"/>
      <w:r w:rsidRPr="000A3FA0">
        <w:rPr>
          <w:rFonts w:cs="FrankRuehl"/>
          <w:sz w:val="26"/>
          <w:szCs w:val="26"/>
          <w:rtl/>
        </w:rPr>
        <w:t xml:space="preserve"> - </w:t>
      </w:r>
      <w:bookmarkStart w:id="8" w:name="TAKZIV6_2"/>
      <w:r w:rsidR="00075B9B">
        <w:rPr>
          <w:rFonts w:cs="FrankRuehl"/>
          <w:sz w:val="26"/>
          <w:szCs w:val="26"/>
          <w:rtl/>
        </w:rPr>
        <w:t>משרד התיירות</w:t>
      </w:r>
      <w:bookmarkEnd w:id="8"/>
      <w:r w:rsidRPr="000A3FA0">
        <w:rPr>
          <w:rFonts w:cs="FrankRuehl"/>
          <w:sz w:val="26"/>
          <w:szCs w:val="26"/>
          <w:rtl/>
        </w:rPr>
        <w:t xml:space="preserve"> משנת הכספים </w:t>
      </w:r>
      <w:bookmarkStart w:id="9" w:name="TAKZIV2_1"/>
      <w:r w:rsidR="00075B9B">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075B9B">
        <w:rPr>
          <w:rFonts w:cs="FrankRuehl"/>
          <w:sz w:val="26"/>
          <w:szCs w:val="26"/>
          <w:rtl/>
        </w:rPr>
        <w:t>2026</w:t>
      </w:r>
      <w:bookmarkEnd w:id="10"/>
      <w:r w:rsidRPr="000A3FA0">
        <w:rPr>
          <w:rFonts w:cs="FrankRuehl"/>
          <w:sz w:val="26"/>
          <w:szCs w:val="26"/>
          <w:rtl/>
        </w:rPr>
        <w:t>, בהתאם לסעיף 13 (א) לחוק יסודות התקציב התשמ"ה - 1985,</w:t>
      </w:r>
      <w:r w:rsidR="00ED46C6">
        <w:rPr>
          <w:rFonts w:cs="FrankRuehl" w:hint="cs"/>
          <w:sz w:val="26"/>
          <w:szCs w:val="26"/>
          <w:rtl/>
        </w:rPr>
        <w:t xml:space="preserve"> </w:t>
      </w:r>
      <w:r w:rsidRPr="000A3FA0">
        <w:rPr>
          <w:rFonts w:cs="FrankRuehl"/>
          <w:sz w:val="26"/>
          <w:szCs w:val="26"/>
          <w:rtl/>
        </w:rPr>
        <w:t>כמפורט בתדפיס המצורף בזה.</w:t>
      </w:r>
    </w:p>
    <w:p w14:paraId="6B6D5084" w14:textId="5BB6DA7A" w:rsidR="00ED46C6" w:rsidRDefault="00ED46C6" w:rsidP="00ED46C6">
      <w:pPr>
        <w:jc w:val="both"/>
        <w:rPr>
          <w:rFonts w:cs="FrankRuehl"/>
          <w:sz w:val="26"/>
          <w:szCs w:val="26"/>
          <w:rtl/>
        </w:rPr>
      </w:pPr>
    </w:p>
    <w:p w14:paraId="7406C251" w14:textId="2F5DF29E" w:rsidR="00ED46C6" w:rsidRDefault="00ED46C6" w:rsidP="00ED46C6">
      <w:pPr>
        <w:jc w:val="both"/>
        <w:rPr>
          <w:rFonts w:cs="FrankRuehl"/>
          <w:sz w:val="26"/>
          <w:szCs w:val="26"/>
          <w:rtl/>
          <w:lang w:eastAsia="en-US"/>
        </w:rPr>
      </w:pPr>
      <w:r>
        <w:rPr>
          <w:rFonts w:cs="FrankRuehl"/>
          <w:b/>
          <w:bCs/>
          <w:sz w:val="26"/>
          <w:szCs w:val="26"/>
          <w:rtl/>
        </w:rPr>
        <w:t>הפנייה התקציבית דנה בסעיף תקציבי:</w:t>
      </w:r>
      <w:r>
        <w:rPr>
          <w:rFonts w:cs="FrankRuehl"/>
          <w:sz w:val="26"/>
          <w:szCs w:val="26"/>
          <w:rtl/>
        </w:rPr>
        <w:t xml:space="preserve"> 37 </w:t>
      </w:r>
      <w:r>
        <w:rPr>
          <w:rFonts w:cs="FrankRuehl" w:hint="cs"/>
          <w:sz w:val="26"/>
          <w:szCs w:val="26"/>
          <w:rtl/>
        </w:rPr>
        <w:t>-</w:t>
      </w:r>
      <w:r>
        <w:rPr>
          <w:rFonts w:cs="FrankRuehl"/>
          <w:sz w:val="26"/>
          <w:szCs w:val="26"/>
          <w:rtl/>
        </w:rPr>
        <w:t xml:space="preserve"> משרד התיירות</w:t>
      </w:r>
    </w:p>
    <w:p w14:paraId="42315DAE" w14:textId="77777777" w:rsidR="00ED46C6" w:rsidRDefault="00ED46C6" w:rsidP="00ED46C6">
      <w:pPr>
        <w:jc w:val="both"/>
        <w:rPr>
          <w:rFonts w:cs="FrankRuehl"/>
          <w:sz w:val="26"/>
          <w:szCs w:val="26"/>
          <w:lang w:eastAsia="en-US"/>
        </w:rPr>
      </w:pPr>
    </w:p>
    <w:p w14:paraId="42599C6E" w14:textId="77777777" w:rsidR="00ED46C6" w:rsidRDefault="00ED46C6" w:rsidP="00ED46C6">
      <w:pPr>
        <w:jc w:val="both"/>
        <w:rPr>
          <w:rFonts w:cs="FrankRuehl"/>
          <w:b/>
          <w:bCs/>
          <w:sz w:val="26"/>
          <w:szCs w:val="26"/>
          <w:rtl/>
        </w:rPr>
      </w:pPr>
      <w:r>
        <w:rPr>
          <w:rFonts w:cs="FrankRuehl"/>
          <w:b/>
          <w:bCs/>
          <w:sz w:val="26"/>
          <w:szCs w:val="26"/>
          <w:rtl/>
        </w:rPr>
        <w:t>עיקרי הפניה:</w:t>
      </w:r>
    </w:p>
    <w:p w14:paraId="02D2FD4F" w14:textId="7AE3C495" w:rsidR="00ED46C6" w:rsidRDefault="00ED46C6" w:rsidP="00ED46C6">
      <w:pPr>
        <w:jc w:val="both"/>
        <w:rPr>
          <w:rFonts w:ascii="FrankRuehl" w:hAnsi="FrankRuehl" w:cs="FrankRuehl"/>
          <w:sz w:val="26"/>
          <w:szCs w:val="26"/>
          <w:rtl/>
        </w:rPr>
      </w:pPr>
      <w:r>
        <w:rPr>
          <w:rFonts w:ascii="FrankRuehl" w:hAnsi="FrankRuehl" w:cs="FrankRuehl"/>
          <w:sz w:val="26"/>
          <w:szCs w:val="26"/>
          <w:rtl/>
        </w:rPr>
        <w:t>הפנייה התקציבית נועדה להעברת עודפים משנת התקציב 2025 לשנת התקציב 2026 בסך של</w:t>
      </w:r>
      <w:r>
        <w:rPr>
          <w:rFonts w:ascii="FrankRuehl" w:hAnsi="FrankRuehl" w:cs="FrankRuehl"/>
          <w:color w:val="9CC2E5"/>
          <w:sz w:val="26"/>
          <w:szCs w:val="26"/>
          <w:rtl/>
        </w:rPr>
        <w:t xml:space="preserve"> </w:t>
      </w:r>
      <w:r>
        <w:rPr>
          <w:rFonts w:cs="FrankRuehl"/>
          <w:sz w:val="26"/>
          <w:szCs w:val="26"/>
          <w:rtl/>
        </w:rPr>
        <w:t xml:space="preserve">128,643 </w:t>
      </w:r>
      <w:r>
        <w:rPr>
          <w:rFonts w:ascii="FrankRuehl" w:hAnsi="FrankRuehl" w:cs="FrankRuehl"/>
          <w:sz w:val="26"/>
          <w:szCs w:val="26"/>
          <w:rtl/>
        </w:rPr>
        <w:t>אלפי ש"ח בהוצאה לתוכניות התקציב הבאות, שעיקרן כפי שמפורט להלן:</w:t>
      </w:r>
    </w:p>
    <w:p w14:paraId="0EF9894F" w14:textId="77777777" w:rsidR="00ED46C6" w:rsidRDefault="00ED46C6" w:rsidP="00ED46C6">
      <w:pPr>
        <w:jc w:val="both"/>
        <w:rPr>
          <w:rFonts w:ascii="FrankRuehl" w:hAnsi="FrankRuehl" w:cs="FrankRuehl"/>
          <w:sz w:val="26"/>
          <w:szCs w:val="26"/>
          <w:rtl/>
        </w:rPr>
      </w:pPr>
    </w:p>
    <w:p w14:paraId="734C6EE7" w14:textId="77777777" w:rsidR="00ED46C6" w:rsidRDefault="00ED46C6" w:rsidP="00ED46C6">
      <w:pPr>
        <w:jc w:val="both"/>
        <w:rPr>
          <w:rFonts w:ascii="FrankRuehl" w:hAnsi="FrankRuehl" w:cs="FrankRuehl"/>
          <w:b/>
          <w:bCs/>
          <w:sz w:val="26"/>
          <w:szCs w:val="26"/>
          <w:rtl/>
        </w:rPr>
      </w:pPr>
      <w:r>
        <w:rPr>
          <w:rFonts w:ascii="FrankRuehl" w:hAnsi="FrankRuehl" w:cs="FrankRuehl"/>
          <w:b/>
          <w:bCs/>
          <w:sz w:val="26"/>
          <w:szCs w:val="26"/>
          <w:rtl/>
        </w:rPr>
        <w:t>370102 - מנהלה, אסטרטגיה ותכנון -  51,231 אלפי ש"ח</w:t>
      </w:r>
    </w:p>
    <w:p w14:paraId="56477E64" w14:textId="77777777" w:rsidR="00ED46C6" w:rsidRDefault="00ED46C6" w:rsidP="00ED46C6">
      <w:pPr>
        <w:jc w:val="both"/>
        <w:rPr>
          <w:rFonts w:cs="FrankRuehl"/>
          <w:sz w:val="26"/>
          <w:szCs w:val="26"/>
          <w:rtl/>
        </w:rPr>
      </w:pPr>
      <w:r>
        <w:rPr>
          <w:rFonts w:cs="FrankRuehl"/>
          <w:b/>
          <w:bCs/>
          <w:sz w:val="26"/>
          <w:szCs w:val="26"/>
          <w:rtl/>
        </w:rPr>
        <w:t>תיאור התוכנית</w:t>
      </w:r>
      <w:r>
        <w:rPr>
          <w:rFonts w:cs="FrankRuehl"/>
          <w:sz w:val="26"/>
          <w:szCs w:val="26"/>
          <w:rtl/>
        </w:rPr>
        <w:t xml:space="preserve">: </w:t>
      </w:r>
    </w:p>
    <w:p w14:paraId="0FC8B772" w14:textId="77777777" w:rsidR="00ED46C6" w:rsidRDefault="00ED46C6" w:rsidP="00ED46C6">
      <w:pPr>
        <w:jc w:val="both"/>
        <w:rPr>
          <w:rFonts w:cs="FrankRuehl"/>
          <w:sz w:val="26"/>
          <w:szCs w:val="26"/>
          <w:rtl/>
          <w:lang w:bidi="ar-SA"/>
        </w:rPr>
      </w:pPr>
      <w:r>
        <w:rPr>
          <w:rFonts w:cs="FrankRuehl"/>
          <w:sz w:val="26"/>
          <w:szCs w:val="26"/>
          <w:rtl/>
        </w:rPr>
        <w:t>במסגרת התוכנית מתוקצבת הוצאה בגין התפעול השוטף של המשרד לרבות תחזוקה</w:t>
      </w:r>
      <w:r>
        <w:rPr>
          <w:rFonts w:cs="Times New Roman"/>
          <w:sz w:val="26"/>
          <w:szCs w:val="26"/>
          <w:rtl/>
          <w:lang w:bidi="ar-SA"/>
        </w:rPr>
        <w:t xml:space="preserve">, </w:t>
      </w:r>
      <w:r>
        <w:rPr>
          <w:rFonts w:cs="FrankRuehl"/>
          <w:sz w:val="26"/>
          <w:szCs w:val="26"/>
          <w:rtl/>
        </w:rPr>
        <w:t>שכר דירה</w:t>
      </w:r>
      <w:r>
        <w:rPr>
          <w:rFonts w:cs="Times New Roman"/>
          <w:sz w:val="26"/>
          <w:szCs w:val="26"/>
          <w:rtl/>
          <w:lang w:bidi="ar-SA"/>
        </w:rPr>
        <w:t xml:space="preserve">, </w:t>
      </w:r>
      <w:r>
        <w:rPr>
          <w:rFonts w:cs="FrankRuehl"/>
          <w:sz w:val="26"/>
          <w:szCs w:val="26"/>
          <w:rtl/>
        </w:rPr>
        <w:t>אבטחה</w:t>
      </w:r>
      <w:r>
        <w:rPr>
          <w:rFonts w:cs="Times New Roman"/>
          <w:sz w:val="26"/>
          <w:szCs w:val="26"/>
          <w:rtl/>
          <w:lang w:bidi="ar-SA"/>
        </w:rPr>
        <w:t xml:space="preserve">, </w:t>
      </w:r>
      <w:r>
        <w:rPr>
          <w:rFonts w:cs="FrankRuehl"/>
          <w:sz w:val="26"/>
          <w:szCs w:val="26"/>
          <w:rtl/>
        </w:rPr>
        <w:t>תקשורת</w:t>
      </w:r>
      <w:r>
        <w:rPr>
          <w:rFonts w:cs="Times New Roman"/>
          <w:sz w:val="26"/>
          <w:szCs w:val="26"/>
          <w:rtl/>
          <w:lang w:bidi="ar-SA"/>
        </w:rPr>
        <w:t xml:space="preserve">, </w:t>
      </w:r>
      <w:r>
        <w:rPr>
          <w:rFonts w:cs="FrankRuehl"/>
          <w:sz w:val="26"/>
          <w:szCs w:val="26"/>
          <w:rtl/>
        </w:rPr>
        <w:t>מחשוב</w:t>
      </w:r>
      <w:r>
        <w:rPr>
          <w:rFonts w:cs="Times New Roman"/>
          <w:sz w:val="26"/>
          <w:szCs w:val="26"/>
          <w:rtl/>
          <w:lang w:bidi="ar-SA"/>
        </w:rPr>
        <w:t xml:space="preserve">, </w:t>
      </w:r>
      <w:r>
        <w:rPr>
          <w:rFonts w:cs="FrankRuehl"/>
          <w:sz w:val="26"/>
          <w:szCs w:val="26"/>
          <w:rtl/>
        </w:rPr>
        <w:t>הדרכה ורווחה</w:t>
      </w:r>
      <w:r>
        <w:rPr>
          <w:rFonts w:cs="Times New Roman"/>
          <w:sz w:val="26"/>
          <w:szCs w:val="26"/>
          <w:rtl/>
          <w:lang w:bidi="ar-SA"/>
        </w:rPr>
        <w:t xml:space="preserve">. </w:t>
      </w:r>
      <w:r>
        <w:rPr>
          <w:rFonts w:cs="FrankRuehl"/>
          <w:sz w:val="26"/>
          <w:szCs w:val="26"/>
          <w:rtl/>
        </w:rPr>
        <w:t>כמו</w:t>
      </w:r>
      <w:r>
        <w:rPr>
          <w:rFonts w:cs="Times New Roman"/>
          <w:sz w:val="26"/>
          <w:szCs w:val="26"/>
          <w:rtl/>
          <w:lang w:bidi="ar-SA"/>
        </w:rPr>
        <w:t>-</w:t>
      </w:r>
      <w:r>
        <w:rPr>
          <w:rFonts w:cs="FrankRuehl"/>
          <w:sz w:val="26"/>
          <w:szCs w:val="26"/>
          <w:rtl/>
        </w:rPr>
        <w:t>כן</w:t>
      </w:r>
      <w:r>
        <w:rPr>
          <w:rFonts w:cs="Times New Roman"/>
          <w:sz w:val="26"/>
          <w:szCs w:val="26"/>
          <w:rtl/>
          <w:lang w:bidi="ar-SA"/>
        </w:rPr>
        <w:t xml:space="preserve">, </w:t>
      </w:r>
      <w:r>
        <w:rPr>
          <w:rFonts w:cs="FrankRuehl"/>
          <w:sz w:val="26"/>
          <w:szCs w:val="26"/>
          <w:rtl/>
        </w:rPr>
        <w:t>מתוקצבת ההוצאה עבור פעולות אגף אסטרטגיה  ומדיניות</w:t>
      </w:r>
      <w:r>
        <w:rPr>
          <w:rFonts w:cs="Times New Roman"/>
          <w:sz w:val="26"/>
          <w:szCs w:val="26"/>
          <w:rtl/>
          <w:lang w:bidi="ar-SA"/>
        </w:rPr>
        <w:t xml:space="preserve">, </w:t>
      </w:r>
      <w:r>
        <w:rPr>
          <w:rFonts w:cs="FrankRuehl"/>
          <w:sz w:val="26"/>
          <w:szCs w:val="26"/>
          <w:rtl/>
        </w:rPr>
        <w:t>תכנון ומקרקעין</w:t>
      </w:r>
      <w:r>
        <w:rPr>
          <w:rFonts w:cs="Times New Roman"/>
          <w:sz w:val="26"/>
          <w:szCs w:val="26"/>
          <w:rtl/>
          <w:lang w:bidi="ar-SA"/>
        </w:rPr>
        <w:t xml:space="preserve">, </w:t>
      </w:r>
      <w:r>
        <w:rPr>
          <w:rFonts w:cs="FrankRuehl"/>
          <w:sz w:val="26"/>
          <w:szCs w:val="26"/>
          <w:rtl/>
        </w:rPr>
        <w:t>ייעוץ כלכלי</w:t>
      </w:r>
      <w:r>
        <w:rPr>
          <w:rFonts w:cs="Times New Roman"/>
          <w:sz w:val="26"/>
          <w:szCs w:val="26"/>
          <w:rtl/>
          <w:lang w:bidi="ar-SA"/>
        </w:rPr>
        <w:t xml:space="preserve">, </w:t>
      </w:r>
      <w:r>
        <w:rPr>
          <w:rFonts w:cs="FrankRuehl"/>
          <w:sz w:val="26"/>
          <w:szCs w:val="26"/>
          <w:rtl/>
        </w:rPr>
        <w:t>בדיקות כדאיות ויעילות</w:t>
      </w:r>
      <w:r>
        <w:rPr>
          <w:rFonts w:cs="Times New Roman"/>
          <w:sz w:val="26"/>
          <w:szCs w:val="26"/>
          <w:rtl/>
          <w:lang w:bidi="ar-SA"/>
        </w:rPr>
        <w:t xml:space="preserve">, </w:t>
      </w:r>
      <w:r>
        <w:rPr>
          <w:rFonts w:cs="FrankRuehl"/>
          <w:sz w:val="26"/>
          <w:szCs w:val="26"/>
          <w:rtl/>
        </w:rPr>
        <w:t>סקרים</w:t>
      </w:r>
      <w:r>
        <w:rPr>
          <w:rFonts w:cs="Times New Roman"/>
          <w:sz w:val="26"/>
          <w:szCs w:val="26"/>
          <w:rtl/>
          <w:lang w:bidi="ar-SA"/>
        </w:rPr>
        <w:t xml:space="preserve">, </w:t>
      </w:r>
      <w:r>
        <w:rPr>
          <w:rFonts w:cs="FrankRuehl"/>
          <w:sz w:val="26"/>
          <w:szCs w:val="26"/>
          <w:rtl/>
        </w:rPr>
        <w:t>מחקר וסטטיסטיקה</w:t>
      </w:r>
      <w:r>
        <w:rPr>
          <w:rFonts w:cs="Times New Roman"/>
          <w:sz w:val="26"/>
          <w:szCs w:val="26"/>
          <w:rtl/>
          <w:lang w:bidi="ar-SA"/>
        </w:rPr>
        <w:t xml:space="preserve">, </w:t>
      </w:r>
      <w:r>
        <w:rPr>
          <w:rFonts w:cs="FrankRuehl"/>
          <w:sz w:val="26"/>
          <w:szCs w:val="26"/>
          <w:rtl/>
        </w:rPr>
        <w:t>קשרי חוץ</w:t>
      </w:r>
      <w:r>
        <w:rPr>
          <w:rFonts w:cs="Times New Roman"/>
          <w:sz w:val="26"/>
          <w:szCs w:val="26"/>
          <w:rtl/>
          <w:lang w:bidi="ar-SA"/>
        </w:rPr>
        <w:t xml:space="preserve">, </w:t>
      </w:r>
      <w:r>
        <w:rPr>
          <w:rFonts w:cs="FrankRuehl"/>
          <w:sz w:val="26"/>
          <w:szCs w:val="26"/>
          <w:rtl/>
        </w:rPr>
        <w:t>קידום חדשנות ותיירות בת</w:t>
      </w:r>
      <w:r>
        <w:rPr>
          <w:rFonts w:cs="Times New Roman"/>
          <w:sz w:val="26"/>
          <w:szCs w:val="26"/>
          <w:rtl/>
          <w:lang w:bidi="ar-SA"/>
        </w:rPr>
        <w:t>-</w:t>
      </w:r>
      <w:r>
        <w:rPr>
          <w:rFonts w:cs="FrankRuehl"/>
          <w:sz w:val="26"/>
          <w:szCs w:val="26"/>
          <w:rtl/>
        </w:rPr>
        <w:t>קיימא,</w:t>
      </w:r>
      <w:r>
        <w:rPr>
          <w:rFonts w:ascii="David" w:hAnsi="David" w:cs="FrankRuehl"/>
          <w:sz w:val="26"/>
          <w:szCs w:val="26"/>
          <w:rtl/>
        </w:rPr>
        <w:t xml:space="preserve"> וכן תקצוב עבור אכסון המפונים במלונות בעקבות מלחמת חרבות ברזל</w:t>
      </w:r>
      <w:r>
        <w:rPr>
          <w:rFonts w:ascii="David" w:hAnsi="David" w:cs="Times New Roman"/>
          <w:sz w:val="26"/>
          <w:szCs w:val="26"/>
          <w:rtl/>
          <w:lang w:bidi="ar-SA"/>
        </w:rPr>
        <w:t>.</w:t>
      </w:r>
    </w:p>
    <w:p w14:paraId="22324038" w14:textId="77777777" w:rsidR="00ED46C6" w:rsidRDefault="00ED46C6" w:rsidP="00ED46C6">
      <w:pPr>
        <w:jc w:val="both"/>
        <w:rPr>
          <w:rFonts w:ascii="David" w:hAnsi="David" w:cs="FrankRuehl"/>
          <w:b/>
          <w:bCs/>
          <w:sz w:val="26"/>
          <w:szCs w:val="26"/>
          <w:rtl/>
        </w:rPr>
      </w:pPr>
      <w:r>
        <w:rPr>
          <w:rFonts w:ascii="David" w:hAnsi="David" w:cs="FrankRuehl"/>
          <w:b/>
          <w:bCs/>
          <w:sz w:val="26"/>
          <w:szCs w:val="26"/>
          <w:rtl/>
        </w:rPr>
        <w:t>סיבות מרכזיות בגינן נוצרו עודפים בתוכנית:</w:t>
      </w:r>
    </w:p>
    <w:p w14:paraId="7CD679D5" w14:textId="77777777" w:rsidR="00ED46C6" w:rsidRDefault="00ED46C6" w:rsidP="00ED46C6">
      <w:pPr>
        <w:jc w:val="both"/>
        <w:rPr>
          <w:rFonts w:ascii="David" w:hAnsi="David" w:cs="FrankRuehl"/>
          <w:sz w:val="26"/>
          <w:szCs w:val="26"/>
          <w:rtl/>
        </w:rPr>
      </w:pPr>
      <w:r>
        <w:rPr>
          <w:rFonts w:ascii="David" w:hAnsi="David" w:cs="FrankRuehl"/>
          <w:sz w:val="26"/>
          <w:szCs w:val="26"/>
          <w:rtl/>
        </w:rPr>
        <w:t>העודפים נובעים מתשלומים לספקים עבור הפעילות שביצעו במהלך הרבעון האחרון של השנה וכן עבור התקשרויות חוצות שנת תקציב בדגש על תחזוקה, חנייה ומחשוב.</w:t>
      </w:r>
    </w:p>
    <w:p w14:paraId="4B0CEA3F" w14:textId="77777777" w:rsidR="00ED46C6" w:rsidRDefault="00ED46C6" w:rsidP="00ED46C6">
      <w:pPr>
        <w:jc w:val="both"/>
        <w:rPr>
          <w:rFonts w:ascii="FrankRuehl" w:hAnsi="FrankRuehl" w:cs="FrankRuehl"/>
          <w:b/>
          <w:bCs/>
          <w:sz w:val="26"/>
          <w:szCs w:val="26"/>
        </w:rPr>
      </w:pPr>
      <w:r>
        <w:rPr>
          <w:rFonts w:ascii="FrankRuehl" w:hAnsi="FrankRuehl" w:cs="FrankRuehl"/>
          <w:b/>
          <w:bCs/>
          <w:sz w:val="26"/>
          <w:szCs w:val="26"/>
          <w:rtl/>
        </w:rPr>
        <w:t>370208 - הכשרת כח אדם ושירותי תיירות בישראל – 2,816 אלפי ש"ח</w:t>
      </w:r>
    </w:p>
    <w:p w14:paraId="4983551E" w14:textId="77777777" w:rsidR="00ED46C6" w:rsidRDefault="00ED46C6" w:rsidP="00ED46C6">
      <w:pPr>
        <w:jc w:val="both"/>
        <w:rPr>
          <w:rFonts w:ascii="David" w:hAnsi="David" w:cs="FrankRuehl"/>
          <w:sz w:val="26"/>
          <w:szCs w:val="26"/>
        </w:rPr>
      </w:pPr>
      <w:r>
        <w:rPr>
          <w:rFonts w:cs="FrankRuehl"/>
          <w:b/>
          <w:bCs/>
          <w:sz w:val="26"/>
          <w:szCs w:val="26"/>
          <w:rtl/>
        </w:rPr>
        <w:t>תיאור התוכנית</w:t>
      </w:r>
      <w:r>
        <w:rPr>
          <w:rFonts w:cs="FrankRuehl"/>
          <w:sz w:val="26"/>
          <w:szCs w:val="26"/>
          <w:rtl/>
        </w:rPr>
        <w:t xml:space="preserve">: </w:t>
      </w:r>
    </w:p>
    <w:p w14:paraId="4E653EC2" w14:textId="77777777" w:rsidR="00ED46C6" w:rsidRDefault="00ED46C6" w:rsidP="00ED46C6">
      <w:pPr>
        <w:jc w:val="both"/>
        <w:rPr>
          <w:rFonts w:cs="FrankRuehl"/>
          <w:sz w:val="26"/>
          <w:szCs w:val="26"/>
          <w:rtl/>
          <w:lang w:bidi="ar-SA"/>
        </w:rPr>
      </w:pPr>
      <w:r>
        <w:rPr>
          <w:rFonts w:ascii="David" w:hAnsi="David" w:cs="FrankRuehl"/>
          <w:sz w:val="26"/>
          <w:szCs w:val="26"/>
          <w:rtl/>
        </w:rPr>
        <w:t>במסגרת התוכנית מתוקצבות פעולות מינהל חווית התייר</w:t>
      </w:r>
      <w:r>
        <w:rPr>
          <w:rFonts w:ascii="David" w:hAnsi="David" w:cs="Times New Roman"/>
          <w:sz w:val="26"/>
          <w:szCs w:val="26"/>
          <w:rtl/>
          <w:lang w:bidi="ar-SA"/>
        </w:rPr>
        <w:t xml:space="preserve"> </w:t>
      </w:r>
      <w:r>
        <w:rPr>
          <w:rFonts w:ascii="David" w:hAnsi="David" w:cs="FrankRuehl"/>
          <w:sz w:val="26"/>
          <w:szCs w:val="26"/>
          <w:rtl/>
        </w:rPr>
        <w:t>תמיכה בשיווק אירועים ומופעים</w:t>
      </w:r>
      <w:r>
        <w:rPr>
          <w:rFonts w:ascii="David" w:hAnsi="David" w:cs="Times New Roman"/>
          <w:sz w:val="26"/>
          <w:szCs w:val="26"/>
          <w:rtl/>
          <w:lang w:bidi="ar-SA"/>
        </w:rPr>
        <w:t xml:space="preserve">, </w:t>
      </w:r>
      <w:r>
        <w:rPr>
          <w:rFonts w:ascii="David" w:hAnsi="David" w:cs="FrankRuehl"/>
          <w:sz w:val="26"/>
          <w:szCs w:val="26"/>
          <w:rtl/>
        </w:rPr>
        <w:t>הכשרות כוח אדם בתיירות</w:t>
      </w:r>
      <w:r>
        <w:rPr>
          <w:rFonts w:ascii="David" w:hAnsi="David" w:cs="Times New Roman"/>
          <w:sz w:val="26"/>
          <w:szCs w:val="26"/>
          <w:rtl/>
          <w:lang w:bidi="ar-SA"/>
        </w:rPr>
        <w:t>,</w:t>
      </w:r>
      <w:r>
        <w:rPr>
          <w:rFonts w:ascii="David" w:hAnsi="David" w:cs="FrankRuehl"/>
          <w:sz w:val="26"/>
          <w:szCs w:val="26"/>
          <w:rtl/>
        </w:rPr>
        <w:t xml:space="preserve"> מורי דרך,</w:t>
      </w:r>
      <w:r>
        <w:rPr>
          <w:rFonts w:ascii="David" w:hAnsi="David" w:cs="Times New Roman"/>
          <w:sz w:val="26"/>
          <w:szCs w:val="26"/>
          <w:rtl/>
          <w:lang w:bidi="ar-SA"/>
        </w:rPr>
        <w:t xml:space="preserve"> </w:t>
      </w:r>
      <w:r>
        <w:rPr>
          <w:rFonts w:ascii="David" w:hAnsi="David" w:cs="FrankRuehl"/>
          <w:sz w:val="26"/>
          <w:szCs w:val="26"/>
          <w:rtl/>
        </w:rPr>
        <w:t>מערך חממות התיירות כמו</w:t>
      </w:r>
      <w:r>
        <w:rPr>
          <w:rFonts w:ascii="David" w:hAnsi="David" w:cs="Times New Roman"/>
          <w:sz w:val="26"/>
          <w:szCs w:val="26"/>
          <w:rtl/>
          <w:lang w:bidi="ar-SA"/>
        </w:rPr>
        <w:t>-</w:t>
      </w:r>
      <w:r>
        <w:rPr>
          <w:rFonts w:ascii="David" w:hAnsi="David" w:cs="FrankRuehl"/>
          <w:sz w:val="26"/>
          <w:szCs w:val="26"/>
          <w:rtl/>
        </w:rPr>
        <w:t>כן</w:t>
      </w:r>
      <w:r>
        <w:rPr>
          <w:rFonts w:ascii="David" w:hAnsi="David" w:cs="Times New Roman"/>
          <w:sz w:val="26"/>
          <w:szCs w:val="26"/>
          <w:rtl/>
          <w:lang w:bidi="ar-SA"/>
        </w:rPr>
        <w:t xml:space="preserve">, </w:t>
      </w:r>
      <w:r>
        <w:rPr>
          <w:rFonts w:ascii="David" w:hAnsi="David" w:cs="FrankRuehl"/>
          <w:sz w:val="26"/>
          <w:szCs w:val="26"/>
          <w:rtl/>
        </w:rPr>
        <w:t>במסגרת התכנית מתוקצב מימוש ההסכם בין ממשלת ישראל לבין המרכז הבהאי העולמי</w:t>
      </w:r>
      <w:r>
        <w:rPr>
          <w:rFonts w:ascii="David" w:hAnsi="David" w:cs="Times New Roman"/>
          <w:sz w:val="26"/>
          <w:szCs w:val="26"/>
          <w:rtl/>
          <w:lang w:bidi="ar-SA"/>
        </w:rPr>
        <w:t>.</w:t>
      </w:r>
    </w:p>
    <w:p w14:paraId="1D2570AB" w14:textId="77777777" w:rsidR="00ED46C6" w:rsidRDefault="00ED46C6" w:rsidP="00ED46C6">
      <w:pPr>
        <w:jc w:val="both"/>
        <w:rPr>
          <w:rFonts w:ascii="David" w:hAnsi="David" w:cs="FrankRuehl"/>
          <w:b/>
          <w:bCs/>
          <w:sz w:val="26"/>
          <w:szCs w:val="26"/>
        </w:rPr>
      </w:pPr>
      <w:r>
        <w:rPr>
          <w:rFonts w:ascii="David" w:hAnsi="David" w:cs="FrankRuehl"/>
          <w:b/>
          <w:bCs/>
          <w:sz w:val="26"/>
          <w:szCs w:val="26"/>
          <w:rtl/>
        </w:rPr>
        <w:t>סיבות מרכזיות בגינן נוצרו עודפים בתוכנית:</w:t>
      </w:r>
    </w:p>
    <w:p w14:paraId="406021F1" w14:textId="77777777" w:rsidR="00ED46C6" w:rsidRDefault="00ED46C6" w:rsidP="00ED46C6">
      <w:pPr>
        <w:jc w:val="both"/>
        <w:rPr>
          <w:rFonts w:ascii="David" w:hAnsi="David" w:cs="FrankRuehl"/>
          <w:sz w:val="26"/>
          <w:szCs w:val="26"/>
          <w:rtl/>
        </w:rPr>
      </w:pPr>
      <w:r>
        <w:rPr>
          <w:rFonts w:ascii="David" w:hAnsi="David" w:cs="FrankRuehl"/>
          <w:sz w:val="26"/>
          <w:szCs w:val="26"/>
          <w:rtl/>
        </w:rPr>
        <w:t>העודפים נובעים מהתקשרויות חוצות שנת תקציב במסגרת הפעילות של האגף להכשרה מקצועית בתעשייה, והתחייבויות בגין ייעוץ במסגרת חונכות עסקית.</w:t>
      </w:r>
    </w:p>
    <w:p w14:paraId="430301E1" w14:textId="1D79A003" w:rsidR="00ED46C6" w:rsidRDefault="00ED46C6" w:rsidP="00ED46C6">
      <w:pPr>
        <w:jc w:val="both"/>
        <w:rPr>
          <w:rFonts w:ascii="FrankRuehl" w:hAnsi="FrankRuehl" w:cs="FrankRuehl"/>
          <w:b/>
          <w:bCs/>
          <w:sz w:val="26"/>
          <w:szCs w:val="26"/>
          <w:rtl/>
        </w:rPr>
      </w:pPr>
      <w:r>
        <w:rPr>
          <w:rFonts w:ascii="FrankRuehl" w:hAnsi="FrankRuehl" w:cs="FrankRuehl"/>
          <w:b/>
          <w:bCs/>
          <w:sz w:val="26"/>
          <w:szCs w:val="26"/>
          <w:rtl/>
        </w:rPr>
        <w:t xml:space="preserve">370316 –  פעולות שיווק תיירות – 74,596 אלפי </w:t>
      </w:r>
      <w:r>
        <w:rPr>
          <w:rFonts w:ascii="FrankRuehl" w:hAnsi="FrankRuehl" w:cs="FrankRuehl" w:hint="cs"/>
          <w:b/>
          <w:bCs/>
          <w:sz w:val="26"/>
          <w:szCs w:val="26"/>
          <w:rtl/>
        </w:rPr>
        <w:t>₪</w:t>
      </w:r>
    </w:p>
    <w:p w14:paraId="46F231D2" w14:textId="5DFC4836" w:rsidR="00ED46C6" w:rsidRDefault="00ED46C6" w:rsidP="00ED46C6">
      <w:pPr>
        <w:jc w:val="both"/>
        <w:rPr>
          <w:rFonts w:ascii="FrankRuehl" w:hAnsi="FrankRuehl" w:cs="FrankRuehl"/>
          <w:b/>
          <w:bCs/>
          <w:sz w:val="26"/>
          <w:szCs w:val="26"/>
          <w:rtl/>
        </w:rPr>
      </w:pPr>
    </w:p>
    <w:p w14:paraId="326B3781" w14:textId="563D1B51" w:rsidR="00ED46C6" w:rsidRDefault="00ED46C6" w:rsidP="00ED46C6">
      <w:pPr>
        <w:jc w:val="both"/>
        <w:rPr>
          <w:rFonts w:ascii="FrankRuehl" w:hAnsi="FrankRuehl" w:cs="FrankRuehl"/>
          <w:b/>
          <w:bCs/>
          <w:sz w:val="26"/>
          <w:szCs w:val="26"/>
          <w:rtl/>
        </w:rPr>
      </w:pPr>
    </w:p>
    <w:p w14:paraId="014DC8E6" w14:textId="2020C432" w:rsidR="00ED46C6" w:rsidRDefault="00ED46C6" w:rsidP="00ED46C6">
      <w:pPr>
        <w:jc w:val="both"/>
        <w:rPr>
          <w:rFonts w:ascii="FrankRuehl" w:hAnsi="FrankRuehl" w:cs="FrankRuehl"/>
          <w:b/>
          <w:bCs/>
          <w:sz w:val="26"/>
          <w:szCs w:val="26"/>
          <w:rtl/>
        </w:rPr>
      </w:pPr>
    </w:p>
    <w:p w14:paraId="24138530" w14:textId="77777777" w:rsidR="00ED46C6" w:rsidRDefault="00ED46C6" w:rsidP="00ED46C6">
      <w:pPr>
        <w:jc w:val="both"/>
        <w:rPr>
          <w:rFonts w:ascii="FrankRuehl" w:hAnsi="FrankRuehl" w:cs="FrankRuehl"/>
          <w:b/>
          <w:bCs/>
          <w:sz w:val="26"/>
          <w:szCs w:val="26"/>
        </w:rPr>
      </w:pPr>
    </w:p>
    <w:p w14:paraId="656BDAB8" w14:textId="36D6C751" w:rsidR="00ED46C6" w:rsidRDefault="00ED46C6" w:rsidP="00ED46C6">
      <w:pPr>
        <w:jc w:val="both"/>
        <w:rPr>
          <w:rFonts w:ascii="David" w:hAnsi="David" w:cs="FrankRuehl"/>
          <w:sz w:val="26"/>
          <w:szCs w:val="26"/>
          <w:rtl/>
        </w:rPr>
      </w:pPr>
      <w:r>
        <w:rPr>
          <w:rFonts w:cs="FrankRuehl"/>
          <w:b/>
          <w:bCs/>
          <w:sz w:val="26"/>
          <w:szCs w:val="26"/>
          <w:rtl/>
        </w:rPr>
        <w:lastRenderedPageBreak/>
        <w:t>תיאור התוכנית</w:t>
      </w:r>
      <w:r>
        <w:rPr>
          <w:rFonts w:cs="FrankRuehl"/>
          <w:sz w:val="26"/>
          <w:szCs w:val="26"/>
          <w:rtl/>
        </w:rPr>
        <w:t xml:space="preserve">: </w:t>
      </w:r>
    </w:p>
    <w:p w14:paraId="75B2B7B5" w14:textId="77777777" w:rsidR="00ED46C6" w:rsidRDefault="00ED46C6" w:rsidP="00ED46C6">
      <w:pPr>
        <w:jc w:val="both"/>
        <w:rPr>
          <w:rFonts w:ascii="David" w:hAnsi="David" w:cs="FrankRuehl"/>
          <w:sz w:val="26"/>
          <w:szCs w:val="26"/>
          <w:rtl/>
        </w:rPr>
      </w:pPr>
      <w:r>
        <w:rPr>
          <w:rFonts w:ascii="David" w:hAnsi="David" w:cs="FrankRuehl"/>
          <w:sz w:val="26"/>
          <w:szCs w:val="26"/>
          <w:rtl/>
        </w:rPr>
        <w:t>במסגרת התוכנית מתוקצבת פעילות השיווק של המשרד המבוצעות בישראל ובחו</w:t>
      </w:r>
      <w:r>
        <w:rPr>
          <w:rFonts w:ascii="David" w:hAnsi="David" w:cs="Times New Roman"/>
          <w:sz w:val="26"/>
          <w:szCs w:val="26"/>
          <w:rtl/>
          <w:lang w:bidi="ar-SA"/>
        </w:rPr>
        <w:t>"</w:t>
      </w:r>
      <w:r>
        <w:rPr>
          <w:rFonts w:ascii="David" w:hAnsi="David" w:cs="FrankRuehl"/>
          <w:sz w:val="26"/>
          <w:szCs w:val="26"/>
          <w:rtl/>
        </w:rPr>
        <w:t>ל</w:t>
      </w:r>
      <w:r>
        <w:rPr>
          <w:rFonts w:ascii="David" w:hAnsi="David" w:cs="Times New Roman"/>
          <w:sz w:val="26"/>
          <w:szCs w:val="26"/>
          <w:rtl/>
          <w:lang w:bidi="ar-SA"/>
        </w:rPr>
        <w:t xml:space="preserve">. </w:t>
      </w:r>
      <w:r>
        <w:rPr>
          <w:rFonts w:ascii="David" w:hAnsi="David" w:cs="FrankRuehl"/>
          <w:sz w:val="26"/>
          <w:szCs w:val="26"/>
          <w:rtl/>
        </w:rPr>
        <w:t>פעולות אלו כוללות פעולות שיווקיות כגון</w:t>
      </w:r>
      <w:r>
        <w:rPr>
          <w:rFonts w:ascii="David" w:hAnsi="David" w:cs="Times New Roman"/>
          <w:sz w:val="26"/>
          <w:szCs w:val="26"/>
          <w:rtl/>
          <w:lang w:bidi="ar-SA"/>
        </w:rPr>
        <w:t xml:space="preserve">, </w:t>
      </w:r>
      <w:r>
        <w:rPr>
          <w:rFonts w:ascii="David" w:hAnsi="David" w:cs="FrankRuehl"/>
          <w:sz w:val="26"/>
          <w:szCs w:val="26"/>
          <w:rtl/>
        </w:rPr>
        <w:t>פרסומים</w:t>
      </w:r>
      <w:r>
        <w:rPr>
          <w:rFonts w:ascii="David" w:hAnsi="David" w:cs="Times New Roman"/>
          <w:sz w:val="26"/>
          <w:szCs w:val="26"/>
          <w:rtl/>
          <w:lang w:bidi="ar-SA"/>
        </w:rPr>
        <w:t xml:space="preserve">, </w:t>
      </w:r>
      <w:r>
        <w:rPr>
          <w:rFonts w:ascii="David" w:hAnsi="David" w:cs="FrankRuehl"/>
          <w:sz w:val="26"/>
          <w:szCs w:val="26"/>
          <w:rtl/>
        </w:rPr>
        <w:t>הפקה והדפסה של חומר פרסומי</w:t>
      </w:r>
      <w:r>
        <w:rPr>
          <w:rFonts w:ascii="David" w:hAnsi="David" w:cs="Times New Roman"/>
          <w:sz w:val="26"/>
          <w:szCs w:val="26"/>
          <w:rtl/>
          <w:lang w:bidi="ar-SA"/>
        </w:rPr>
        <w:t xml:space="preserve">, </w:t>
      </w:r>
      <w:r>
        <w:rPr>
          <w:rFonts w:ascii="David" w:hAnsi="David" w:cs="FrankRuehl"/>
          <w:sz w:val="26"/>
          <w:szCs w:val="26"/>
          <w:rtl/>
        </w:rPr>
        <w:t>אירוח עיתונאים ומובילי דעה, השתתפות בירידי תיירות בינ"ל, הפעלת נציגויות המשרד בחו"ל ועוד</w:t>
      </w:r>
      <w:r>
        <w:rPr>
          <w:rFonts w:ascii="David" w:hAnsi="David" w:cs="Times New Roman"/>
          <w:sz w:val="26"/>
          <w:szCs w:val="26"/>
          <w:rtl/>
          <w:lang w:bidi="ar-SA"/>
        </w:rPr>
        <w:t>.</w:t>
      </w:r>
    </w:p>
    <w:p w14:paraId="643E860D" w14:textId="77777777" w:rsidR="00ED46C6" w:rsidRDefault="00ED46C6" w:rsidP="00ED46C6">
      <w:pPr>
        <w:jc w:val="both"/>
        <w:rPr>
          <w:rFonts w:ascii="David" w:hAnsi="David" w:cs="FrankRuehl"/>
          <w:b/>
          <w:bCs/>
          <w:sz w:val="26"/>
          <w:szCs w:val="26"/>
        </w:rPr>
      </w:pPr>
      <w:r>
        <w:rPr>
          <w:rFonts w:ascii="David" w:hAnsi="David" w:cs="FrankRuehl"/>
          <w:b/>
          <w:bCs/>
          <w:sz w:val="26"/>
          <w:szCs w:val="26"/>
          <w:rtl/>
        </w:rPr>
        <w:t>סיבות מרכזיות בגינן נוצרו עודפים בתוכנית:</w:t>
      </w:r>
    </w:p>
    <w:p w14:paraId="4DA97EC2" w14:textId="77777777" w:rsidR="00ED46C6" w:rsidRDefault="00ED46C6" w:rsidP="00ED46C6">
      <w:pPr>
        <w:jc w:val="both"/>
        <w:rPr>
          <w:rFonts w:ascii="David" w:hAnsi="David" w:cs="FrankRuehl"/>
          <w:sz w:val="26"/>
          <w:szCs w:val="26"/>
          <w:rtl/>
        </w:rPr>
      </w:pPr>
      <w:r>
        <w:rPr>
          <w:rFonts w:ascii="David" w:hAnsi="David" w:cs="FrankRuehl"/>
          <w:sz w:val="26"/>
          <w:szCs w:val="26"/>
          <w:rtl/>
        </w:rPr>
        <w:t>העודפים נובעים מהתקשרויות חוצות שנת תקציב עבור פעילויות שיווק בעיקר בחו"ל וגם בארץ, שהתשלום בגינם מגיע מספר חודשים לאחר הביצוע בפועל, וכן מהתקשרויות חוצות שנת תקציב בגין הוצאות הקשורות בשכירות לשכות המשרד בחו"ל וכן פעולות שיווק שמבצע המשרד לאור המציאות הביטחונית.</w:t>
      </w:r>
    </w:p>
    <w:p w14:paraId="382CD835" w14:textId="77777777" w:rsidR="007332A2" w:rsidRPr="000A3FA0" w:rsidRDefault="007332A2" w:rsidP="00ED46C6">
      <w:pPr>
        <w:jc w:val="both"/>
        <w:rPr>
          <w:rFonts w:cs="FrankRuehl"/>
          <w:sz w:val="26"/>
          <w:szCs w:val="26"/>
          <w:rtl/>
        </w:rPr>
      </w:pPr>
    </w:p>
    <w:p w14:paraId="2B6F4D82" w14:textId="77777777" w:rsidR="0051496B" w:rsidRPr="000A3FA0" w:rsidRDefault="0051496B" w:rsidP="00ED46C6">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67FD4F6A" w14:textId="77777777" w:rsidR="0051496B" w:rsidRPr="000A3FA0" w:rsidRDefault="0051496B" w:rsidP="00A6761F">
      <w:pPr>
        <w:jc w:val="both"/>
        <w:rPr>
          <w:rFonts w:cs="FrankRuehl"/>
          <w:sz w:val="26"/>
          <w:szCs w:val="26"/>
          <w:rtl/>
        </w:rPr>
      </w:pPr>
    </w:p>
    <w:p w14:paraId="7BDC7184" w14:textId="77777777" w:rsidR="0051496B" w:rsidRPr="000A3FA0" w:rsidRDefault="0051496B" w:rsidP="00A6761F">
      <w:pPr>
        <w:jc w:val="both"/>
        <w:rPr>
          <w:rFonts w:cs="FrankRuehl"/>
          <w:sz w:val="26"/>
          <w:szCs w:val="26"/>
          <w:rtl/>
        </w:rPr>
      </w:pPr>
    </w:p>
    <w:p w14:paraId="52FBD741"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227DADA9" w14:textId="77777777" w:rsidR="0051496B" w:rsidRDefault="0051496B">
      <w:pPr>
        <w:tabs>
          <w:tab w:val="center" w:pos="6867"/>
        </w:tabs>
        <w:rPr>
          <w:rFonts w:cs="FrankRuehl"/>
          <w:sz w:val="26"/>
          <w:szCs w:val="26"/>
          <w:rtl/>
        </w:rPr>
      </w:pPr>
    </w:p>
    <w:p w14:paraId="4A7BE617"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0E36D4F4" w14:textId="77777777" w:rsidR="0051496B" w:rsidRPr="000A3FA0" w:rsidRDefault="0051496B">
      <w:pPr>
        <w:tabs>
          <w:tab w:val="center" w:pos="6867"/>
        </w:tabs>
        <w:rPr>
          <w:rFonts w:cs="FrankRuehl"/>
          <w:sz w:val="26"/>
          <w:szCs w:val="26"/>
          <w:rtl/>
        </w:rPr>
      </w:pPr>
    </w:p>
    <w:p w14:paraId="68944AE3"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1C09D3CA"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400EA062" w14:textId="77777777" w:rsidR="0051496B" w:rsidRPr="000A3FA0" w:rsidRDefault="0051496B">
      <w:pPr>
        <w:rPr>
          <w:rFonts w:cs="FrankRuehl"/>
          <w:sz w:val="26"/>
          <w:szCs w:val="26"/>
          <w:rtl/>
        </w:rPr>
      </w:pPr>
    </w:p>
    <w:p w14:paraId="0C2BABB1" w14:textId="77777777" w:rsidR="0051496B" w:rsidRPr="000A3FA0" w:rsidRDefault="0051496B">
      <w:pPr>
        <w:rPr>
          <w:rFonts w:cs="FrankRuehl"/>
          <w:sz w:val="26"/>
          <w:szCs w:val="26"/>
          <w:rtl/>
        </w:rPr>
      </w:pPr>
      <w:r w:rsidRPr="000A3FA0">
        <w:rPr>
          <w:rFonts w:cs="FrankRuehl"/>
          <w:sz w:val="26"/>
          <w:szCs w:val="26"/>
          <w:rtl/>
        </w:rPr>
        <w:t>העתק:</w:t>
      </w:r>
    </w:p>
    <w:p w14:paraId="026661D9" w14:textId="77777777" w:rsidR="0051496B" w:rsidRPr="000A3FA0" w:rsidRDefault="0051496B">
      <w:pPr>
        <w:rPr>
          <w:rFonts w:cs="FrankRuehl"/>
          <w:sz w:val="26"/>
          <w:szCs w:val="26"/>
          <w:rtl/>
        </w:rPr>
      </w:pPr>
      <w:r w:rsidRPr="000A3FA0">
        <w:rPr>
          <w:rFonts w:cs="FrankRuehl"/>
          <w:sz w:val="26"/>
          <w:szCs w:val="26"/>
          <w:rtl/>
        </w:rPr>
        <w:t>החשב הכללי</w:t>
      </w:r>
    </w:p>
    <w:p w14:paraId="2CC46C51" w14:textId="77777777" w:rsidR="0051496B" w:rsidRPr="000A3FA0" w:rsidRDefault="0051496B">
      <w:pPr>
        <w:rPr>
          <w:rFonts w:cs="FrankRuehl"/>
          <w:sz w:val="26"/>
          <w:szCs w:val="26"/>
          <w:rtl/>
        </w:rPr>
      </w:pPr>
      <w:r w:rsidRPr="000A3FA0">
        <w:rPr>
          <w:rFonts w:cs="FrankRuehl"/>
          <w:sz w:val="26"/>
          <w:szCs w:val="26"/>
          <w:rtl/>
        </w:rPr>
        <w:t>מבקר המדינה (2)</w:t>
      </w:r>
    </w:p>
    <w:p w14:paraId="67517FE7" w14:textId="77777777" w:rsidR="00075B9B" w:rsidRDefault="00075B9B">
      <w:pPr>
        <w:rPr>
          <w:rFonts w:cs="FrankRuehl"/>
          <w:sz w:val="26"/>
          <w:szCs w:val="26"/>
          <w:rtl/>
        </w:rPr>
      </w:pPr>
      <w:bookmarkStart w:id="12" w:name="TAKZIV22"/>
      <w:r>
        <w:rPr>
          <w:rFonts w:cs="FrankRuehl"/>
          <w:sz w:val="26"/>
          <w:szCs w:val="26"/>
          <w:rtl/>
        </w:rPr>
        <w:t>חשב חשבות ניו יורק - תפעול</w:t>
      </w:r>
    </w:p>
    <w:p w14:paraId="067C38E5" w14:textId="5EEC7497" w:rsidR="0051496B" w:rsidRPr="000A3FA0" w:rsidRDefault="00075B9B">
      <w:pPr>
        <w:rPr>
          <w:rFonts w:cs="FrankRuehl"/>
          <w:sz w:val="26"/>
          <w:szCs w:val="26"/>
          <w:rtl/>
        </w:rPr>
      </w:pPr>
      <w:r>
        <w:rPr>
          <w:rFonts w:cs="FrankRuehl"/>
          <w:sz w:val="26"/>
          <w:szCs w:val="26"/>
          <w:rtl/>
        </w:rPr>
        <w:t>חשב משרד התיירות</w:t>
      </w:r>
      <w:bookmarkEnd w:id="12"/>
      <w:r w:rsidR="0051496B" w:rsidRPr="000A3FA0">
        <w:rPr>
          <w:rFonts w:cs="FrankRuehl"/>
          <w:sz w:val="26"/>
          <w:szCs w:val="26"/>
          <w:rtl/>
        </w:rPr>
        <w:t xml:space="preserve"> </w:t>
      </w:r>
    </w:p>
    <w:p w14:paraId="669F6F06" w14:textId="331D6D03"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075B9B">
        <w:rPr>
          <w:rFonts w:cs="FrankRuehl"/>
          <w:sz w:val="26"/>
          <w:szCs w:val="26"/>
          <w:rtl/>
        </w:rPr>
        <w:t>משרד התיירות</w:t>
      </w:r>
      <w:bookmarkEnd w:id="13"/>
    </w:p>
    <w:p w14:paraId="0D731E1D" w14:textId="0AEBDC91"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075B9B">
        <w:rPr>
          <w:rFonts w:cs="FrankRuehl"/>
          <w:sz w:val="26"/>
          <w:szCs w:val="26"/>
          <w:rtl/>
        </w:rPr>
        <w:t>משרד התיירות</w:t>
      </w:r>
      <w:bookmarkEnd w:id="14"/>
    </w:p>
    <w:p w14:paraId="1456E55A" w14:textId="77777777" w:rsidR="0051496B" w:rsidRPr="000A3FA0" w:rsidRDefault="0051496B">
      <w:pPr>
        <w:rPr>
          <w:rFonts w:cs="FrankRuehl"/>
          <w:sz w:val="26"/>
          <w:szCs w:val="26"/>
          <w:rtl/>
        </w:rPr>
      </w:pPr>
      <w:bookmarkStart w:id="15" w:name="TAKZIV23"/>
      <w:bookmarkEnd w:id="15"/>
    </w:p>
    <w:p w14:paraId="64A9649E" w14:textId="77777777" w:rsidR="0051496B" w:rsidRPr="000A3FA0" w:rsidRDefault="0051496B">
      <w:pPr>
        <w:rPr>
          <w:rFonts w:cs="FrankRuehl"/>
          <w:sz w:val="26"/>
          <w:szCs w:val="26"/>
          <w:rtl/>
        </w:rPr>
      </w:pPr>
    </w:p>
    <w:p w14:paraId="5185E0B5" w14:textId="405B4082" w:rsidR="0051496B" w:rsidRDefault="0051496B">
      <w:pPr>
        <w:rPr>
          <w:rFonts w:cs="FrankRuehl"/>
          <w:sz w:val="26"/>
          <w:szCs w:val="26"/>
          <w:rtl/>
        </w:rPr>
      </w:pPr>
      <w:bookmarkStart w:id="16" w:name="TAKZIV25"/>
      <w:bookmarkEnd w:id="16"/>
    </w:p>
    <w:p w14:paraId="07C6A4BB" w14:textId="6AAA43D1" w:rsidR="008A3F44" w:rsidRDefault="008A3F44">
      <w:pPr>
        <w:rPr>
          <w:rFonts w:cs="FrankRuehl"/>
          <w:sz w:val="26"/>
          <w:szCs w:val="26"/>
          <w:rtl/>
        </w:rPr>
      </w:pPr>
    </w:p>
    <w:p w14:paraId="20F8975F" w14:textId="7BD3E74F" w:rsidR="008A3F44" w:rsidRDefault="008A3F44">
      <w:pPr>
        <w:rPr>
          <w:rFonts w:cs="FrankRuehl"/>
          <w:sz w:val="26"/>
          <w:szCs w:val="26"/>
          <w:rtl/>
        </w:rPr>
      </w:pPr>
    </w:p>
    <w:p w14:paraId="0B5DACB3" w14:textId="23B71131" w:rsidR="008A3F44" w:rsidRDefault="008A3F44">
      <w:pPr>
        <w:rPr>
          <w:rFonts w:cs="FrankRuehl"/>
          <w:sz w:val="26"/>
          <w:szCs w:val="26"/>
          <w:rtl/>
        </w:rPr>
      </w:pPr>
    </w:p>
    <w:p w14:paraId="411B4730" w14:textId="4E86D3BA" w:rsidR="008A3F44" w:rsidRDefault="008A3F44">
      <w:pPr>
        <w:rPr>
          <w:rFonts w:cs="FrankRuehl"/>
          <w:sz w:val="26"/>
          <w:szCs w:val="26"/>
          <w:rtl/>
        </w:rPr>
      </w:pPr>
    </w:p>
    <w:p w14:paraId="257577DD" w14:textId="26842557" w:rsidR="008A3F44" w:rsidRDefault="008A3F44">
      <w:pPr>
        <w:rPr>
          <w:rFonts w:cs="FrankRuehl"/>
          <w:sz w:val="26"/>
          <w:szCs w:val="26"/>
          <w:rtl/>
        </w:rPr>
      </w:pPr>
    </w:p>
    <w:p w14:paraId="36993C18" w14:textId="2FA3351E" w:rsidR="008A3F44" w:rsidRDefault="008A3F44">
      <w:pPr>
        <w:rPr>
          <w:rFonts w:cs="FrankRuehl"/>
          <w:sz w:val="26"/>
          <w:szCs w:val="26"/>
          <w:rtl/>
        </w:rPr>
      </w:pPr>
    </w:p>
    <w:p w14:paraId="233995EB" w14:textId="73391FED" w:rsidR="008A3F44" w:rsidRDefault="008A3F44">
      <w:pPr>
        <w:rPr>
          <w:rFonts w:cs="FrankRuehl"/>
          <w:sz w:val="26"/>
          <w:szCs w:val="26"/>
          <w:rtl/>
        </w:rPr>
      </w:pPr>
    </w:p>
    <w:p w14:paraId="718AB2D8" w14:textId="70FBEA19" w:rsidR="008A3F44" w:rsidRDefault="008A3F44">
      <w:pPr>
        <w:rPr>
          <w:rFonts w:cs="FrankRuehl"/>
          <w:sz w:val="26"/>
          <w:szCs w:val="26"/>
          <w:rtl/>
        </w:rPr>
      </w:pPr>
    </w:p>
    <w:p w14:paraId="0B50B500" w14:textId="323C747A" w:rsidR="008A3F44" w:rsidRDefault="008A3F44">
      <w:pPr>
        <w:rPr>
          <w:rFonts w:cs="FrankRuehl"/>
          <w:sz w:val="26"/>
          <w:szCs w:val="26"/>
          <w:rtl/>
        </w:rPr>
      </w:pPr>
    </w:p>
    <w:p w14:paraId="544D3DFE" w14:textId="325012AA" w:rsidR="008A3F44" w:rsidRDefault="008A3F44">
      <w:pPr>
        <w:rPr>
          <w:rFonts w:cs="FrankRuehl"/>
          <w:sz w:val="26"/>
          <w:szCs w:val="26"/>
          <w:rtl/>
        </w:rPr>
      </w:pPr>
    </w:p>
    <w:p w14:paraId="44E8D1FC" w14:textId="32CC7C4D" w:rsidR="008A3F44" w:rsidRDefault="008A3F44">
      <w:pPr>
        <w:rPr>
          <w:rFonts w:cs="FrankRuehl"/>
          <w:sz w:val="26"/>
          <w:szCs w:val="26"/>
          <w:rtl/>
        </w:rPr>
      </w:pPr>
    </w:p>
    <w:p w14:paraId="69C961F3" w14:textId="6DBF8828" w:rsidR="008A3F44" w:rsidRDefault="008A3F44">
      <w:pPr>
        <w:rPr>
          <w:rFonts w:cs="FrankRuehl"/>
          <w:sz w:val="26"/>
          <w:szCs w:val="26"/>
          <w:rtl/>
        </w:rPr>
      </w:pPr>
    </w:p>
    <w:p w14:paraId="67D76169" w14:textId="4CC0F527" w:rsidR="008A3F44" w:rsidRDefault="008A3F44">
      <w:pPr>
        <w:rPr>
          <w:rFonts w:cs="FrankRuehl"/>
          <w:sz w:val="26"/>
          <w:szCs w:val="26"/>
          <w:rtl/>
        </w:rPr>
      </w:pPr>
    </w:p>
    <w:p w14:paraId="2189A440" w14:textId="386EDEE0" w:rsidR="008A3F44" w:rsidRDefault="008A3F44">
      <w:pPr>
        <w:rPr>
          <w:rFonts w:cs="FrankRuehl"/>
          <w:sz w:val="26"/>
          <w:szCs w:val="26"/>
          <w:rtl/>
        </w:rPr>
      </w:pPr>
    </w:p>
    <w:p w14:paraId="106916FD" w14:textId="2AA392B2" w:rsidR="008A3F44" w:rsidRDefault="008A3F44">
      <w:pPr>
        <w:rPr>
          <w:rFonts w:cs="FrankRuehl"/>
          <w:sz w:val="26"/>
          <w:szCs w:val="26"/>
          <w:rtl/>
        </w:rPr>
      </w:pPr>
    </w:p>
    <w:p w14:paraId="603F85A3" w14:textId="7FF6A949" w:rsidR="008A3F44" w:rsidRDefault="008A3F44">
      <w:pPr>
        <w:rPr>
          <w:rFonts w:cs="FrankRuehl"/>
          <w:sz w:val="26"/>
          <w:szCs w:val="26"/>
          <w:rtl/>
        </w:rPr>
      </w:pPr>
    </w:p>
    <w:p w14:paraId="34C94504" w14:textId="286968B8" w:rsidR="008A3F44" w:rsidRDefault="008A3F44">
      <w:pPr>
        <w:rPr>
          <w:rFonts w:cs="FrankRuehl"/>
          <w:sz w:val="26"/>
          <w:szCs w:val="26"/>
          <w:rtl/>
        </w:rPr>
      </w:pPr>
    </w:p>
    <w:p w14:paraId="6EE33282" w14:textId="1D159300" w:rsidR="008A3F44" w:rsidRDefault="008A3F44">
      <w:pPr>
        <w:rPr>
          <w:rFonts w:cs="FrankRuehl"/>
          <w:sz w:val="26"/>
          <w:szCs w:val="26"/>
          <w:rtl/>
        </w:rPr>
      </w:pPr>
    </w:p>
    <w:p w14:paraId="5FB51E85" w14:textId="4260C502" w:rsidR="008A3F44" w:rsidRDefault="008A3F44">
      <w:pPr>
        <w:rPr>
          <w:rFonts w:cs="FrankRuehl"/>
          <w:sz w:val="26"/>
          <w:szCs w:val="26"/>
          <w:rtl/>
        </w:rPr>
      </w:pPr>
    </w:p>
    <w:p w14:paraId="1572BEC3" w14:textId="6E0CFAEE" w:rsidR="008A3F44" w:rsidRDefault="008A3F44">
      <w:pPr>
        <w:rPr>
          <w:rFonts w:cs="FrankRuehl"/>
          <w:sz w:val="26"/>
          <w:szCs w:val="26"/>
          <w:rtl/>
        </w:rPr>
      </w:pPr>
    </w:p>
    <w:p w14:paraId="0303703B" w14:textId="35F52CF9" w:rsidR="008A3F44" w:rsidRDefault="008A3F44">
      <w:pPr>
        <w:rPr>
          <w:rFonts w:cs="FrankRuehl"/>
          <w:sz w:val="26"/>
          <w:szCs w:val="26"/>
          <w:rtl/>
        </w:rPr>
      </w:pPr>
    </w:p>
    <w:p w14:paraId="12089CBD" w14:textId="07AB9385" w:rsidR="008A3F44" w:rsidRDefault="008A3F44" w:rsidP="008A3F44">
      <w:pPr>
        <w:jc w:val="center"/>
        <w:rPr>
          <w:rFonts w:cs="FrankRuehl"/>
          <w:b/>
          <w:bCs/>
          <w:sz w:val="26"/>
          <w:szCs w:val="26"/>
          <w:u w:val="single"/>
          <w:rtl/>
        </w:rPr>
      </w:pPr>
      <w:r w:rsidRPr="008A3F44">
        <w:rPr>
          <w:rFonts w:cs="FrankRuehl" w:hint="cs"/>
          <w:b/>
          <w:bCs/>
          <w:sz w:val="26"/>
          <w:szCs w:val="26"/>
          <w:u w:val="single"/>
          <w:rtl/>
        </w:rPr>
        <w:lastRenderedPageBreak/>
        <w:t>נספח לדברי ההסבר</w:t>
      </w:r>
    </w:p>
    <w:p w14:paraId="5C470006" w14:textId="77777777" w:rsidR="008A3F44" w:rsidRPr="008A3F44" w:rsidRDefault="008A3F44" w:rsidP="008A3F44">
      <w:pPr>
        <w:jc w:val="center"/>
        <w:rPr>
          <w:rFonts w:cs="FrankRuehl"/>
          <w:b/>
          <w:bCs/>
          <w:sz w:val="26"/>
          <w:szCs w:val="26"/>
          <w:u w:val="single"/>
          <w:rtl/>
        </w:rPr>
      </w:pPr>
    </w:p>
    <w:p w14:paraId="02B94B83" w14:textId="2DA016C5" w:rsidR="008A3F44" w:rsidRDefault="008A3F44" w:rsidP="008A3F44">
      <w:pPr>
        <w:jc w:val="center"/>
        <w:rPr>
          <w:rFonts w:cs="FrankRuehl"/>
          <w:b/>
          <w:bCs/>
          <w:sz w:val="26"/>
          <w:szCs w:val="26"/>
          <w:rtl/>
        </w:rPr>
      </w:pPr>
      <w:r w:rsidRPr="008A3F44">
        <w:rPr>
          <w:rFonts w:cs="FrankRuehl"/>
          <w:b/>
          <w:bCs/>
          <w:sz w:val="26"/>
          <w:szCs w:val="26"/>
          <w:rtl/>
        </w:rPr>
        <w:t>היסטוריה תקציבית של הפנייה</w:t>
      </w:r>
    </w:p>
    <w:p w14:paraId="71965A2E" w14:textId="300E9604" w:rsidR="008A3F44" w:rsidRDefault="008A3F44" w:rsidP="008A3F44">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8A3F44" w:rsidRPr="008A3F44" w14:paraId="48740823" w14:textId="77777777" w:rsidTr="008A3F44">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422C34C4" w14:textId="77777777" w:rsidR="008A3F44" w:rsidRPr="008A3F44" w:rsidRDefault="008A3F44" w:rsidP="008A3F44">
            <w:pPr>
              <w:overflowPunct/>
              <w:autoSpaceDE/>
              <w:autoSpaceDN/>
              <w:adjustRightInd/>
              <w:jc w:val="center"/>
              <w:textAlignment w:val="auto"/>
              <w:rPr>
                <w:rFonts w:ascii="Calibri" w:hAnsi="Calibri" w:cs="Calibri"/>
                <w:b/>
                <w:bCs/>
                <w:color w:val="000000"/>
                <w:sz w:val="16"/>
                <w:szCs w:val="16"/>
                <w:lang w:eastAsia="en-US"/>
              </w:rPr>
            </w:pPr>
            <w:r w:rsidRPr="008A3F44">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34F11C4B" w14:textId="77777777" w:rsidR="008A3F44" w:rsidRPr="008A3F44" w:rsidRDefault="008A3F44" w:rsidP="008A3F44">
            <w:pPr>
              <w:overflowPunct/>
              <w:autoSpaceDE/>
              <w:autoSpaceDN/>
              <w:adjustRightInd/>
              <w:jc w:val="center"/>
              <w:textAlignment w:val="auto"/>
              <w:rPr>
                <w:rFonts w:ascii="Calibri" w:hAnsi="Calibri" w:cs="Calibri"/>
                <w:b/>
                <w:bCs/>
                <w:color w:val="000000"/>
                <w:sz w:val="16"/>
                <w:szCs w:val="16"/>
                <w:rtl/>
                <w:lang w:eastAsia="en-US"/>
              </w:rPr>
            </w:pPr>
            <w:r w:rsidRPr="008A3F44">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0D741F7" w14:textId="77777777" w:rsidR="008A3F44" w:rsidRPr="008A3F44" w:rsidRDefault="008A3F44" w:rsidP="008A3F44">
            <w:pPr>
              <w:overflowPunct/>
              <w:autoSpaceDE/>
              <w:autoSpaceDN/>
              <w:adjustRightInd/>
              <w:jc w:val="center"/>
              <w:textAlignment w:val="auto"/>
              <w:rPr>
                <w:rFonts w:ascii="Calibri" w:hAnsi="Calibri" w:cs="Calibri"/>
                <w:b/>
                <w:bCs/>
                <w:color w:val="000000"/>
                <w:sz w:val="16"/>
                <w:szCs w:val="16"/>
                <w:rtl/>
                <w:lang w:eastAsia="en-US"/>
              </w:rPr>
            </w:pPr>
            <w:r w:rsidRPr="008A3F44">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D0A569A" w14:textId="77777777" w:rsidR="008A3F44" w:rsidRPr="008A3F44" w:rsidRDefault="008A3F44" w:rsidP="008A3F44">
            <w:pPr>
              <w:overflowPunct/>
              <w:autoSpaceDE/>
              <w:autoSpaceDN/>
              <w:adjustRightInd/>
              <w:jc w:val="center"/>
              <w:textAlignment w:val="auto"/>
              <w:rPr>
                <w:rFonts w:ascii="Calibri" w:hAnsi="Calibri" w:cs="Calibri"/>
                <w:b/>
                <w:bCs/>
                <w:color w:val="000000"/>
                <w:sz w:val="16"/>
                <w:szCs w:val="16"/>
                <w:rtl/>
                <w:lang w:eastAsia="en-US"/>
              </w:rPr>
            </w:pPr>
            <w:r w:rsidRPr="008A3F44">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0A942CA" w14:textId="77777777" w:rsidR="008A3F44" w:rsidRPr="008A3F44" w:rsidRDefault="008A3F44" w:rsidP="008A3F44">
            <w:pPr>
              <w:overflowPunct/>
              <w:autoSpaceDE/>
              <w:autoSpaceDN/>
              <w:adjustRightInd/>
              <w:jc w:val="center"/>
              <w:textAlignment w:val="auto"/>
              <w:rPr>
                <w:rFonts w:ascii="Calibri" w:hAnsi="Calibri" w:cs="Calibri"/>
                <w:b/>
                <w:bCs/>
                <w:color w:val="000000"/>
                <w:sz w:val="16"/>
                <w:szCs w:val="16"/>
                <w:rtl/>
                <w:lang w:eastAsia="en-US"/>
              </w:rPr>
            </w:pPr>
            <w:r w:rsidRPr="008A3F44">
              <w:rPr>
                <w:rFonts w:ascii="Calibri" w:hAnsi="Calibri" w:cs="Calibri"/>
                <w:b/>
                <w:bCs/>
                <w:color w:val="000000"/>
                <w:sz w:val="16"/>
                <w:szCs w:val="16"/>
                <w:rtl/>
                <w:lang w:eastAsia="en-US"/>
              </w:rPr>
              <w:t>סך עודף שהועבר ב-2023</w:t>
            </w:r>
          </w:p>
        </w:tc>
      </w:tr>
      <w:tr w:rsidR="008A3F44" w:rsidRPr="008A3F44" w14:paraId="7BCC8B77" w14:textId="77777777" w:rsidTr="008A3F44">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6690EDE"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rtl/>
                <w:lang w:eastAsia="en-US"/>
              </w:rPr>
            </w:pPr>
            <w:r w:rsidRPr="008A3F44">
              <w:rPr>
                <w:rFonts w:ascii="Calibri" w:hAnsi="Calibri" w:cs="Calibri"/>
                <w:color w:val="000000"/>
                <w:sz w:val="16"/>
                <w:szCs w:val="16"/>
                <w:lang w:eastAsia="en-US"/>
              </w:rPr>
              <w:t>370102</w:t>
            </w:r>
          </w:p>
        </w:tc>
        <w:tc>
          <w:tcPr>
            <w:tcW w:w="1111" w:type="pct"/>
            <w:tcBorders>
              <w:top w:val="nil"/>
              <w:left w:val="single" w:sz="4" w:space="0" w:color="979991"/>
              <w:bottom w:val="single" w:sz="4" w:space="0" w:color="979991"/>
              <w:right w:val="nil"/>
            </w:tcBorders>
            <w:shd w:val="clear" w:color="000000" w:fill="FFFFFF"/>
            <w:vAlign w:val="center"/>
            <w:hideMark/>
          </w:tcPr>
          <w:p w14:paraId="276C208F"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51,231</w:t>
            </w:r>
          </w:p>
        </w:tc>
        <w:tc>
          <w:tcPr>
            <w:tcW w:w="968" w:type="pct"/>
            <w:tcBorders>
              <w:top w:val="nil"/>
              <w:left w:val="single" w:sz="4" w:space="0" w:color="979991"/>
              <w:bottom w:val="single" w:sz="4" w:space="0" w:color="979991"/>
              <w:right w:val="nil"/>
            </w:tcBorders>
            <w:shd w:val="clear" w:color="000000" w:fill="FFFFFF"/>
            <w:vAlign w:val="center"/>
            <w:hideMark/>
          </w:tcPr>
          <w:p w14:paraId="7A29D37B"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24,325</w:t>
            </w:r>
          </w:p>
        </w:tc>
        <w:tc>
          <w:tcPr>
            <w:tcW w:w="968" w:type="pct"/>
            <w:tcBorders>
              <w:top w:val="nil"/>
              <w:left w:val="single" w:sz="4" w:space="0" w:color="979991"/>
              <w:bottom w:val="single" w:sz="4" w:space="0" w:color="979991"/>
              <w:right w:val="nil"/>
            </w:tcBorders>
            <w:shd w:val="clear" w:color="000000" w:fill="FFFFFF"/>
            <w:vAlign w:val="center"/>
            <w:hideMark/>
          </w:tcPr>
          <w:p w14:paraId="31A3051A"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20,806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607942E"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18,223</w:t>
            </w:r>
          </w:p>
        </w:tc>
      </w:tr>
      <w:tr w:rsidR="008A3F44" w:rsidRPr="008A3F44" w14:paraId="4AF83BDC" w14:textId="77777777" w:rsidTr="008A3F44">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10F3D81"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370208</w:t>
            </w:r>
          </w:p>
        </w:tc>
        <w:tc>
          <w:tcPr>
            <w:tcW w:w="1111" w:type="pct"/>
            <w:tcBorders>
              <w:top w:val="nil"/>
              <w:left w:val="single" w:sz="4" w:space="0" w:color="979991"/>
              <w:bottom w:val="single" w:sz="4" w:space="0" w:color="979991"/>
              <w:right w:val="nil"/>
            </w:tcBorders>
            <w:shd w:val="clear" w:color="000000" w:fill="FFFFFF"/>
            <w:vAlign w:val="center"/>
            <w:hideMark/>
          </w:tcPr>
          <w:p w14:paraId="70B75FA4"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2,816</w:t>
            </w:r>
          </w:p>
        </w:tc>
        <w:tc>
          <w:tcPr>
            <w:tcW w:w="968" w:type="pct"/>
            <w:tcBorders>
              <w:top w:val="nil"/>
              <w:left w:val="single" w:sz="4" w:space="0" w:color="979991"/>
              <w:bottom w:val="single" w:sz="4" w:space="0" w:color="979991"/>
              <w:right w:val="nil"/>
            </w:tcBorders>
            <w:shd w:val="clear" w:color="000000" w:fill="FFFFFF"/>
            <w:vAlign w:val="center"/>
            <w:hideMark/>
          </w:tcPr>
          <w:p w14:paraId="45DD186E"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17,372</w:t>
            </w:r>
          </w:p>
        </w:tc>
        <w:tc>
          <w:tcPr>
            <w:tcW w:w="968" w:type="pct"/>
            <w:tcBorders>
              <w:top w:val="nil"/>
              <w:left w:val="single" w:sz="4" w:space="0" w:color="979991"/>
              <w:bottom w:val="single" w:sz="4" w:space="0" w:color="979991"/>
              <w:right w:val="nil"/>
            </w:tcBorders>
            <w:shd w:val="clear" w:color="000000" w:fill="FFFFFF"/>
            <w:vAlign w:val="center"/>
            <w:hideMark/>
          </w:tcPr>
          <w:p w14:paraId="4DFF058F"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15,302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B85115F"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98,521</w:t>
            </w:r>
          </w:p>
        </w:tc>
      </w:tr>
      <w:tr w:rsidR="008A3F44" w:rsidRPr="008A3F44" w14:paraId="5671AC96" w14:textId="77777777" w:rsidTr="008A3F44">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01D324D"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370316</w:t>
            </w:r>
          </w:p>
        </w:tc>
        <w:tc>
          <w:tcPr>
            <w:tcW w:w="1111" w:type="pct"/>
            <w:tcBorders>
              <w:top w:val="nil"/>
              <w:left w:val="single" w:sz="4" w:space="0" w:color="979991"/>
              <w:bottom w:val="single" w:sz="4" w:space="0" w:color="979991"/>
              <w:right w:val="nil"/>
            </w:tcBorders>
            <w:shd w:val="clear" w:color="000000" w:fill="FFFFFF"/>
            <w:vAlign w:val="center"/>
            <w:hideMark/>
          </w:tcPr>
          <w:p w14:paraId="6B1F8378"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74,596</w:t>
            </w:r>
          </w:p>
        </w:tc>
        <w:tc>
          <w:tcPr>
            <w:tcW w:w="968" w:type="pct"/>
            <w:tcBorders>
              <w:top w:val="nil"/>
              <w:left w:val="single" w:sz="4" w:space="0" w:color="979991"/>
              <w:bottom w:val="single" w:sz="4" w:space="0" w:color="979991"/>
              <w:right w:val="nil"/>
            </w:tcBorders>
            <w:shd w:val="clear" w:color="000000" w:fill="FFFFFF"/>
            <w:vAlign w:val="center"/>
            <w:hideMark/>
          </w:tcPr>
          <w:p w14:paraId="33038815"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68,865</w:t>
            </w:r>
          </w:p>
        </w:tc>
        <w:tc>
          <w:tcPr>
            <w:tcW w:w="968" w:type="pct"/>
            <w:tcBorders>
              <w:top w:val="nil"/>
              <w:left w:val="single" w:sz="4" w:space="0" w:color="979991"/>
              <w:bottom w:val="single" w:sz="4" w:space="0" w:color="979991"/>
              <w:right w:val="nil"/>
            </w:tcBorders>
            <w:shd w:val="clear" w:color="000000" w:fill="FFFFFF"/>
            <w:vAlign w:val="center"/>
            <w:hideMark/>
          </w:tcPr>
          <w:p w14:paraId="29886047"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78,696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FE244AE" w14:textId="77777777" w:rsidR="008A3F44" w:rsidRPr="008A3F44" w:rsidRDefault="008A3F44" w:rsidP="008A3F44">
            <w:pPr>
              <w:overflowPunct/>
              <w:autoSpaceDE/>
              <w:autoSpaceDN/>
              <w:bidi w:val="0"/>
              <w:adjustRightInd/>
              <w:jc w:val="center"/>
              <w:textAlignment w:val="auto"/>
              <w:rPr>
                <w:rFonts w:ascii="Calibri" w:hAnsi="Calibri" w:cs="Calibri"/>
                <w:color w:val="000000"/>
                <w:sz w:val="16"/>
                <w:szCs w:val="16"/>
                <w:lang w:eastAsia="en-US"/>
              </w:rPr>
            </w:pPr>
            <w:r w:rsidRPr="008A3F44">
              <w:rPr>
                <w:rFonts w:ascii="Calibri" w:hAnsi="Calibri" w:cs="Calibri"/>
                <w:color w:val="000000"/>
                <w:sz w:val="16"/>
                <w:szCs w:val="16"/>
                <w:lang w:eastAsia="en-US"/>
              </w:rPr>
              <w:t>123,275</w:t>
            </w:r>
          </w:p>
        </w:tc>
      </w:tr>
    </w:tbl>
    <w:p w14:paraId="3A9DE24F" w14:textId="77777777" w:rsidR="008A3F44" w:rsidRPr="008A3F44" w:rsidRDefault="008A3F44" w:rsidP="008A3F44">
      <w:pPr>
        <w:jc w:val="center"/>
        <w:rPr>
          <w:rFonts w:cs="FrankRuehl"/>
          <w:b/>
          <w:bCs/>
          <w:sz w:val="26"/>
          <w:szCs w:val="26"/>
          <w:rtl/>
        </w:rPr>
      </w:pPr>
    </w:p>
    <w:p w14:paraId="255303DA" w14:textId="77777777" w:rsidR="008A3F44" w:rsidRPr="000A3FA0" w:rsidRDefault="008A3F44">
      <w:pPr>
        <w:rPr>
          <w:rFonts w:cs="FrankRuehl"/>
          <w:sz w:val="26"/>
          <w:szCs w:val="26"/>
          <w:rtl/>
        </w:rPr>
      </w:pPr>
    </w:p>
    <w:sectPr w:rsidR="008A3F44"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F3AD" w14:textId="77777777" w:rsidR="00B9224C" w:rsidRDefault="00B9224C" w:rsidP="00A32326">
      <w:r>
        <w:separator/>
      </w:r>
    </w:p>
  </w:endnote>
  <w:endnote w:type="continuationSeparator" w:id="0">
    <w:p w14:paraId="6A047EC8" w14:textId="77777777" w:rsidR="00B9224C" w:rsidRDefault="00B9224C"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ADB4"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B0B2F"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07307"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95DF3" w14:textId="77777777" w:rsidR="00B9224C" w:rsidRDefault="00B9224C" w:rsidP="00A32326">
      <w:r>
        <w:separator/>
      </w:r>
    </w:p>
  </w:footnote>
  <w:footnote w:type="continuationSeparator" w:id="0">
    <w:p w14:paraId="4FCE056E" w14:textId="77777777" w:rsidR="00B9224C" w:rsidRDefault="00B9224C"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1CA59"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E5CC7" w14:textId="77777777" w:rsidR="00A32326" w:rsidRPr="00CB5FFD" w:rsidRDefault="00B9224C" w:rsidP="00A32326">
    <w:pPr>
      <w:pStyle w:val="a4"/>
      <w:jc w:val="right"/>
      <w:rPr>
        <w:color w:val="4F81BD"/>
        <w:rtl/>
        <w:cs/>
      </w:rPr>
    </w:pPr>
    <w:r>
      <w:rPr>
        <w:noProof/>
        <w:rtl/>
      </w:rPr>
      <w:pict w14:anchorId="3F7BA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513A4430" w14:textId="77777777" w:rsidR="00A32326" w:rsidRPr="00CB5FFD" w:rsidRDefault="00A32326" w:rsidP="00A32326">
    <w:pPr>
      <w:pStyle w:val="a4"/>
      <w:jc w:val="right"/>
      <w:rPr>
        <w:color w:val="4F81BD"/>
        <w:rtl/>
        <w:cs/>
      </w:rPr>
    </w:pPr>
  </w:p>
  <w:p w14:paraId="4356D60E" w14:textId="77777777" w:rsidR="00A32326" w:rsidRDefault="00A32326" w:rsidP="00A32326">
    <w:pPr>
      <w:pStyle w:val="a4"/>
    </w:pPr>
  </w:p>
  <w:p w14:paraId="755EB126"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F739"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75B9B"/>
    <w:rsid w:val="000A3FA0"/>
    <w:rsid w:val="000B7C14"/>
    <w:rsid w:val="00411078"/>
    <w:rsid w:val="00507569"/>
    <w:rsid w:val="0051496B"/>
    <w:rsid w:val="00596B46"/>
    <w:rsid w:val="007332A2"/>
    <w:rsid w:val="008A3F44"/>
    <w:rsid w:val="0096594F"/>
    <w:rsid w:val="009E3253"/>
    <w:rsid w:val="00A14A9C"/>
    <w:rsid w:val="00A32326"/>
    <w:rsid w:val="00A51CFB"/>
    <w:rsid w:val="00A6761F"/>
    <w:rsid w:val="00AC0FB8"/>
    <w:rsid w:val="00B9224C"/>
    <w:rsid w:val="00BE74E8"/>
    <w:rsid w:val="00C81BEB"/>
    <w:rsid w:val="00D00A6A"/>
    <w:rsid w:val="00D02451"/>
    <w:rsid w:val="00D1564D"/>
    <w:rsid w:val="00D15DD5"/>
    <w:rsid w:val="00E15D12"/>
    <w:rsid w:val="00ED46C6"/>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DF502A4"/>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704436">
      <w:bodyDiv w:val="1"/>
      <w:marLeft w:val="0"/>
      <w:marRight w:val="0"/>
      <w:marTop w:val="0"/>
      <w:marBottom w:val="0"/>
      <w:divBdr>
        <w:top w:val="none" w:sz="0" w:space="0" w:color="auto"/>
        <w:left w:val="none" w:sz="0" w:space="0" w:color="auto"/>
        <w:bottom w:val="none" w:sz="0" w:space="0" w:color="auto"/>
        <w:right w:val="none" w:sz="0" w:space="0" w:color="auto"/>
      </w:divBdr>
    </w:div>
    <w:div w:id="17885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2356</Characters>
  <Application>Microsoft Office Word</Application>
  <DocSecurity>0</DocSecurity>
  <Lines>19</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2026-04-28T11:42:00Z</dcterms:created>
  <dcterms:modified xsi:type="dcterms:W3CDTF">2026-04-28T13:14:00Z</dcterms:modified>
</cp:coreProperties>
</file>