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ACB00" w14:textId="77777777" w:rsidR="0051496B" w:rsidRDefault="0051496B">
      <w:pPr>
        <w:pStyle w:val="a7"/>
        <w:rPr>
          <w:rtl/>
        </w:rPr>
      </w:pPr>
      <w:r>
        <w:rPr>
          <w:rtl/>
        </w:rPr>
        <w:t>מדינת ישראל</w:t>
      </w:r>
    </w:p>
    <w:p w14:paraId="191AAA86" w14:textId="77777777" w:rsidR="0051496B" w:rsidRDefault="0051496B">
      <w:pPr>
        <w:pStyle w:val="a7"/>
        <w:rPr>
          <w:rtl/>
        </w:rPr>
      </w:pPr>
      <w:r>
        <w:rPr>
          <w:rtl/>
        </w:rPr>
        <w:t>האוצר - אגף התקציבים</w:t>
      </w:r>
    </w:p>
    <w:p w14:paraId="2F0CA342" w14:textId="77777777" w:rsidR="0051496B" w:rsidRDefault="0051496B">
      <w:pPr>
        <w:rPr>
          <w:rtl/>
        </w:rPr>
      </w:pPr>
    </w:p>
    <w:p w14:paraId="12DFE6E2" w14:textId="77777777" w:rsidR="0051496B" w:rsidRDefault="0051496B">
      <w:pPr>
        <w:rPr>
          <w:rtl/>
        </w:rPr>
      </w:pPr>
    </w:p>
    <w:p w14:paraId="32A91FA7" w14:textId="77777777" w:rsidR="0051496B" w:rsidRPr="000A3FA0" w:rsidRDefault="0051496B">
      <w:pPr>
        <w:tabs>
          <w:tab w:val="left" w:pos="6300"/>
        </w:tabs>
        <w:rPr>
          <w:rFonts w:cs="FrankRuehl"/>
          <w:sz w:val="26"/>
          <w:szCs w:val="26"/>
          <w:rtl/>
        </w:rPr>
      </w:pPr>
      <w:r>
        <w:rPr>
          <w:rtl/>
        </w:rPr>
        <w:tab/>
      </w:r>
      <w:bookmarkStart w:id="0" w:name="TAKZIV8"/>
      <w:bookmarkEnd w:id="0"/>
    </w:p>
    <w:p w14:paraId="1D302250" w14:textId="77777777" w:rsidR="0051496B" w:rsidRPr="000A3FA0" w:rsidRDefault="0051496B">
      <w:pPr>
        <w:tabs>
          <w:tab w:val="left" w:pos="6300"/>
        </w:tabs>
        <w:rPr>
          <w:rFonts w:cs="FrankRuehl"/>
          <w:sz w:val="26"/>
          <w:szCs w:val="26"/>
          <w:rtl/>
        </w:rPr>
      </w:pPr>
      <w:r w:rsidRPr="000A3FA0">
        <w:rPr>
          <w:rFonts w:cs="FrankRuehl"/>
          <w:sz w:val="26"/>
          <w:szCs w:val="26"/>
          <w:rtl/>
        </w:rPr>
        <w:tab/>
      </w:r>
      <w:r w:rsidRPr="000A3FA0">
        <w:rPr>
          <w:rFonts w:cs="FrankRuehl"/>
          <w:sz w:val="26"/>
          <w:szCs w:val="26"/>
          <w:rtl/>
        </w:rPr>
        <w:tab/>
      </w:r>
    </w:p>
    <w:p w14:paraId="5AA105F7" w14:textId="77777777" w:rsidR="0051496B" w:rsidRPr="000A3FA0" w:rsidRDefault="0051496B" w:rsidP="007332A2">
      <w:pPr>
        <w:rPr>
          <w:rFonts w:cs="FrankRuehl"/>
          <w:sz w:val="26"/>
          <w:szCs w:val="26"/>
          <w:rtl/>
        </w:rPr>
      </w:pPr>
      <w:r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Pr="000A3FA0">
        <w:rPr>
          <w:rFonts w:cs="FrankRuehl"/>
          <w:sz w:val="26"/>
          <w:szCs w:val="26"/>
          <w:rtl/>
        </w:rPr>
        <w:t xml:space="preserve">ירושלים, </w:t>
      </w:r>
      <w:bookmarkStart w:id="1" w:name="TAKZIV9"/>
      <w:bookmarkEnd w:id="1"/>
    </w:p>
    <w:p w14:paraId="6E6EC9B1" w14:textId="5063287A" w:rsidR="0051496B" w:rsidRPr="000A3FA0" w:rsidRDefault="0051496B" w:rsidP="007332A2">
      <w:pPr>
        <w:tabs>
          <w:tab w:val="left" w:pos="6039"/>
        </w:tabs>
        <w:rPr>
          <w:rFonts w:cs="FrankRuehl"/>
          <w:sz w:val="26"/>
          <w:szCs w:val="26"/>
          <w:rtl/>
        </w:rPr>
      </w:pPr>
      <w:r w:rsidRPr="000A3FA0">
        <w:rPr>
          <w:rFonts w:cs="FrankRuehl"/>
          <w:sz w:val="26"/>
          <w:szCs w:val="26"/>
          <w:rtl/>
        </w:rPr>
        <w:tab/>
        <w:t xml:space="preserve">בקשה מספר </w:t>
      </w:r>
      <w:bookmarkStart w:id="2" w:name="TAKZIV4"/>
      <w:r w:rsidR="009927FC">
        <w:rPr>
          <w:rFonts w:cs="FrankRuehl"/>
          <w:sz w:val="26"/>
          <w:szCs w:val="26"/>
          <w:rtl/>
        </w:rPr>
        <w:t>201</w:t>
      </w:r>
      <w:bookmarkEnd w:id="2"/>
      <w:r w:rsidRPr="000A3FA0">
        <w:rPr>
          <w:rFonts w:cs="FrankRuehl"/>
          <w:sz w:val="26"/>
          <w:szCs w:val="26"/>
          <w:rtl/>
        </w:rPr>
        <w:t xml:space="preserve"> - </w:t>
      </w:r>
      <w:bookmarkStart w:id="3" w:name="TAKZIV3"/>
      <w:r w:rsidR="009927FC">
        <w:rPr>
          <w:rFonts w:cs="FrankRuehl"/>
          <w:sz w:val="26"/>
          <w:szCs w:val="26"/>
          <w:rtl/>
        </w:rPr>
        <w:t>36</w:t>
      </w:r>
      <w:bookmarkEnd w:id="3"/>
    </w:p>
    <w:p w14:paraId="2B3C79E6"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4A1D23ED"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5AF81DDA" w14:textId="77777777" w:rsidR="0051496B" w:rsidRPr="000A3FA0" w:rsidRDefault="0051496B">
      <w:pPr>
        <w:rPr>
          <w:rFonts w:cs="FrankRuehl"/>
          <w:sz w:val="26"/>
          <w:szCs w:val="26"/>
          <w:rtl/>
        </w:rPr>
      </w:pPr>
      <w:r w:rsidRPr="000A3FA0">
        <w:rPr>
          <w:rFonts w:cs="FrankRuehl"/>
          <w:sz w:val="26"/>
          <w:szCs w:val="26"/>
          <w:rtl/>
        </w:rPr>
        <w:t>לכבוד,</w:t>
      </w:r>
    </w:p>
    <w:p w14:paraId="7B9E1D77" w14:textId="77777777" w:rsidR="0051496B" w:rsidRPr="000A3FA0" w:rsidRDefault="0051496B">
      <w:pPr>
        <w:rPr>
          <w:rFonts w:cs="FrankRuehl"/>
          <w:sz w:val="26"/>
          <w:szCs w:val="26"/>
          <w:rtl/>
        </w:rPr>
      </w:pPr>
      <w:r w:rsidRPr="000A3FA0">
        <w:rPr>
          <w:rFonts w:cs="FrankRuehl"/>
          <w:sz w:val="26"/>
          <w:szCs w:val="26"/>
          <w:rtl/>
        </w:rPr>
        <w:t>יו"ר ועדת הכספים</w:t>
      </w:r>
    </w:p>
    <w:p w14:paraId="7BDD664C" w14:textId="77777777" w:rsidR="0051496B" w:rsidRPr="000A3FA0" w:rsidRDefault="0051496B">
      <w:pPr>
        <w:rPr>
          <w:rFonts w:cs="FrankRuehl"/>
          <w:sz w:val="26"/>
          <w:szCs w:val="26"/>
          <w:rtl/>
        </w:rPr>
      </w:pPr>
      <w:r w:rsidRPr="000A3FA0">
        <w:rPr>
          <w:rFonts w:cs="FrankRuehl"/>
          <w:sz w:val="26"/>
          <w:szCs w:val="26"/>
          <w:rtl/>
        </w:rPr>
        <w:t>הכנסת</w:t>
      </w:r>
    </w:p>
    <w:p w14:paraId="77AA6C6A" w14:textId="77777777" w:rsidR="0051496B" w:rsidRPr="000A3FA0" w:rsidRDefault="0051496B">
      <w:pPr>
        <w:rPr>
          <w:rFonts w:cs="FrankRuehl"/>
          <w:sz w:val="26"/>
          <w:szCs w:val="26"/>
          <w:rtl/>
        </w:rPr>
      </w:pPr>
    </w:p>
    <w:p w14:paraId="600E139E" w14:textId="77777777" w:rsidR="0051496B" w:rsidRPr="000A3FA0" w:rsidRDefault="0051496B">
      <w:pPr>
        <w:rPr>
          <w:rFonts w:cs="FrankRuehl"/>
          <w:sz w:val="26"/>
          <w:szCs w:val="26"/>
          <w:rtl/>
        </w:rPr>
      </w:pPr>
      <w:r w:rsidRPr="000A3FA0">
        <w:rPr>
          <w:rFonts w:cs="FrankRuehl"/>
          <w:sz w:val="26"/>
          <w:szCs w:val="26"/>
          <w:rtl/>
        </w:rPr>
        <w:t>א.נ.,</w:t>
      </w:r>
    </w:p>
    <w:p w14:paraId="17139102" w14:textId="77777777" w:rsidR="0051496B" w:rsidRPr="000A3FA0" w:rsidRDefault="0051496B">
      <w:pPr>
        <w:rPr>
          <w:rFonts w:cs="FrankRuehl"/>
          <w:sz w:val="26"/>
          <w:szCs w:val="26"/>
          <w:rtl/>
        </w:rPr>
      </w:pPr>
    </w:p>
    <w:p w14:paraId="64AEAFD3" w14:textId="7A87B750" w:rsidR="0051496B" w:rsidRPr="000A3FA0" w:rsidRDefault="0051496B">
      <w:pPr>
        <w:pStyle w:val="a6"/>
        <w:rPr>
          <w:rFonts w:cs="FrankRuehl"/>
          <w:sz w:val="26"/>
          <w:rtl/>
        </w:rPr>
      </w:pPr>
      <w:r w:rsidRPr="000A3FA0">
        <w:rPr>
          <w:rFonts w:cs="FrankRuehl"/>
          <w:bCs w:val="0"/>
          <w:sz w:val="26"/>
          <w:u w:val="none"/>
          <w:rtl/>
        </w:rPr>
        <w:t xml:space="preserve">הנדון: </w:t>
      </w:r>
      <w:r w:rsidRPr="000A3FA0">
        <w:rPr>
          <w:rFonts w:cs="FrankRuehl"/>
          <w:bCs w:val="0"/>
          <w:sz w:val="26"/>
          <w:rtl/>
        </w:rPr>
        <w:t>שימוש בעודפי תקציב לשנת</w:t>
      </w:r>
      <w:r w:rsidRPr="000A3FA0">
        <w:rPr>
          <w:rFonts w:cs="FrankRuehl"/>
          <w:sz w:val="26"/>
          <w:rtl/>
        </w:rPr>
        <w:t xml:space="preserve"> </w:t>
      </w:r>
      <w:bookmarkStart w:id="4" w:name="TAKZIV1_2"/>
      <w:bookmarkStart w:id="5" w:name="TAKZIV1_1"/>
      <w:bookmarkEnd w:id="4"/>
      <w:r w:rsidR="009927FC">
        <w:rPr>
          <w:rFonts w:cs="FrankRuehl"/>
          <w:sz w:val="26"/>
          <w:rtl/>
        </w:rPr>
        <w:t>2026</w:t>
      </w:r>
      <w:bookmarkEnd w:id="5"/>
      <w:r w:rsidRPr="000A3FA0">
        <w:rPr>
          <w:rFonts w:cs="FrankRuehl"/>
          <w:sz w:val="26"/>
          <w:rtl/>
        </w:rPr>
        <w:t xml:space="preserve">     </w:t>
      </w:r>
    </w:p>
    <w:p w14:paraId="1C9C110A" w14:textId="77777777" w:rsidR="0051496B" w:rsidRPr="000A3FA0" w:rsidRDefault="0051496B" w:rsidP="00A6761F">
      <w:pPr>
        <w:jc w:val="both"/>
        <w:rPr>
          <w:rFonts w:cs="FrankRuehl"/>
          <w:sz w:val="26"/>
          <w:szCs w:val="26"/>
          <w:rtl/>
        </w:rPr>
      </w:pPr>
    </w:p>
    <w:p w14:paraId="6A3234B6" w14:textId="2E285A32" w:rsidR="0051496B" w:rsidRPr="000A3FA0" w:rsidRDefault="0051496B" w:rsidP="00E620D0">
      <w:pPr>
        <w:jc w:val="both"/>
        <w:rPr>
          <w:rFonts w:cs="FrankRuehl"/>
          <w:sz w:val="26"/>
          <w:szCs w:val="26"/>
          <w:rtl/>
        </w:rPr>
      </w:pPr>
      <w:r w:rsidRPr="000A3FA0">
        <w:rPr>
          <w:rFonts w:cs="FrankRuehl"/>
          <w:sz w:val="26"/>
          <w:szCs w:val="26"/>
          <w:rtl/>
        </w:rPr>
        <w:t>שר האוצר מתכבד להודיע לו</w:t>
      </w:r>
      <w:r w:rsidR="00A14A9C" w:rsidRPr="000A3FA0">
        <w:rPr>
          <w:rFonts w:cs="FrankRuehl" w:hint="cs"/>
          <w:sz w:val="26"/>
          <w:szCs w:val="26"/>
          <w:rtl/>
        </w:rPr>
        <w:t>ו</w:t>
      </w:r>
      <w:r w:rsidRPr="000A3FA0">
        <w:rPr>
          <w:rFonts w:cs="FrankRuehl"/>
          <w:sz w:val="26"/>
          <w:szCs w:val="26"/>
          <w:rtl/>
        </w:rPr>
        <w:t xml:space="preserve">עדת הכספים של הכנסת על העברת סכום של </w:t>
      </w:r>
      <w:bookmarkStart w:id="6" w:name="TAKZIV30"/>
      <w:r w:rsidR="009927FC">
        <w:rPr>
          <w:rFonts w:cs="FrankRuehl"/>
          <w:sz w:val="26"/>
          <w:szCs w:val="26"/>
          <w:rtl/>
        </w:rPr>
        <w:t>426,128</w:t>
      </w:r>
      <w:bookmarkEnd w:id="6"/>
      <w:r w:rsidRPr="000A3FA0">
        <w:rPr>
          <w:rFonts w:cs="FrankRuehl"/>
          <w:sz w:val="26"/>
          <w:szCs w:val="26"/>
          <w:rtl/>
        </w:rPr>
        <w:t xml:space="preserve"> אלפי שקלים חדשים מסעיף </w:t>
      </w:r>
      <w:bookmarkStart w:id="7" w:name="TAKZIV3_1"/>
      <w:r w:rsidR="009927FC">
        <w:rPr>
          <w:rFonts w:cs="FrankRuehl"/>
          <w:sz w:val="26"/>
          <w:szCs w:val="26"/>
          <w:rtl/>
        </w:rPr>
        <w:t>36</w:t>
      </w:r>
      <w:bookmarkEnd w:id="7"/>
      <w:r w:rsidRPr="000A3FA0">
        <w:rPr>
          <w:rFonts w:cs="FrankRuehl"/>
          <w:sz w:val="26"/>
          <w:szCs w:val="26"/>
          <w:rtl/>
        </w:rPr>
        <w:t xml:space="preserve"> - </w:t>
      </w:r>
      <w:bookmarkStart w:id="8" w:name="TAKZIV6_2"/>
      <w:r w:rsidR="009927FC">
        <w:rPr>
          <w:rFonts w:cs="FrankRuehl"/>
          <w:sz w:val="26"/>
          <w:szCs w:val="26"/>
          <w:rtl/>
        </w:rPr>
        <w:t>תעסוקה</w:t>
      </w:r>
      <w:bookmarkEnd w:id="8"/>
      <w:r w:rsidRPr="000A3FA0">
        <w:rPr>
          <w:rFonts w:cs="FrankRuehl"/>
          <w:sz w:val="26"/>
          <w:szCs w:val="26"/>
          <w:rtl/>
        </w:rPr>
        <w:t xml:space="preserve"> משנת הכספים </w:t>
      </w:r>
      <w:bookmarkStart w:id="9" w:name="TAKZIV2_1"/>
      <w:r w:rsidR="009927FC">
        <w:rPr>
          <w:rFonts w:cs="FrankRuehl"/>
          <w:sz w:val="26"/>
          <w:szCs w:val="26"/>
          <w:rtl/>
        </w:rPr>
        <w:t>2025</w:t>
      </w:r>
      <w:bookmarkEnd w:id="9"/>
      <w:r w:rsidRPr="000A3FA0">
        <w:rPr>
          <w:rFonts w:cs="FrankRuehl"/>
          <w:sz w:val="26"/>
          <w:szCs w:val="26"/>
          <w:rtl/>
        </w:rPr>
        <w:t xml:space="preserve">, כעודף לשימוש בשנת הכספים </w:t>
      </w:r>
      <w:bookmarkStart w:id="10" w:name="TAKZIV1"/>
      <w:r w:rsidR="009927FC">
        <w:rPr>
          <w:rFonts w:cs="FrankRuehl"/>
          <w:sz w:val="26"/>
          <w:szCs w:val="26"/>
          <w:rtl/>
        </w:rPr>
        <w:t>2026</w:t>
      </w:r>
      <w:bookmarkEnd w:id="10"/>
      <w:r w:rsidRPr="000A3FA0">
        <w:rPr>
          <w:rFonts w:cs="FrankRuehl"/>
          <w:sz w:val="26"/>
          <w:szCs w:val="26"/>
          <w:rtl/>
        </w:rPr>
        <w:t xml:space="preserve">, בהתאם לסעיף 13 (א) לחוק יסודות התקציב </w:t>
      </w:r>
      <w:proofErr w:type="spellStart"/>
      <w:r w:rsidRPr="000A3FA0">
        <w:rPr>
          <w:rFonts w:cs="FrankRuehl"/>
          <w:sz w:val="26"/>
          <w:szCs w:val="26"/>
          <w:rtl/>
        </w:rPr>
        <w:t>התשמ"ה</w:t>
      </w:r>
      <w:proofErr w:type="spellEnd"/>
      <w:r w:rsidRPr="000A3FA0">
        <w:rPr>
          <w:rFonts w:cs="FrankRuehl"/>
          <w:sz w:val="26"/>
          <w:szCs w:val="26"/>
          <w:rtl/>
        </w:rPr>
        <w:t xml:space="preserve"> - 1985,</w:t>
      </w:r>
      <w:r w:rsidR="00E620D0">
        <w:rPr>
          <w:rFonts w:cs="FrankRuehl" w:hint="cs"/>
          <w:sz w:val="26"/>
          <w:szCs w:val="26"/>
          <w:rtl/>
        </w:rPr>
        <w:t xml:space="preserve"> </w:t>
      </w:r>
      <w:r w:rsidRPr="000A3FA0">
        <w:rPr>
          <w:rFonts w:cs="FrankRuehl"/>
          <w:sz w:val="26"/>
          <w:szCs w:val="26"/>
          <w:rtl/>
        </w:rPr>
        <w:t>כמפורט בתדפיס המצורף בזה.</w:t>
      </w:r>
    </w:p>
    <w:p w14:paraId="231D1411" w14:textId="7549227C" w:rsidR="0051496B" w:rsidRDefault="0051496B" w:rsidP="00E620D0">
      <w:pPr>
        <w:jc w:val="both"/>
        <w:rPr>
          <w:rFonts w:cs="FrankRuehl"/>
          <w:sz w:val="26"/>
          <w:szCs w:val="26"/>
          <w:rtl/>
        </w:rPr>
      </w:pPr>
    </w:p>
    <w:p w14:paraId="5B70C541" w14:textId="205D4B2E" w:rsidR="00E620D0" w:rsidRDefault="00E620D0" w:rsidP="00E620D0">
      <w:pPr>
        <w:jc w:val="both"/>
        <w:rPr>
          <w:rFonts w:ascii="FrankRuehl" w:hAnsi="FrankRuehl" w:cs="FrankRuehl"/>
          <w:sz w:val="26"/>
          <w:szCs w:val="26"/>
          <w:lang w:eastAsia="en-US"/>
        </w:rPr>
      </w:pPr>
      <w:bookmarkStart w:id="11" w:name="DIVREY_HESBER"/>
      <w:bookmarkStart w:id="12" w:name="_Hlk190268221"/>
      <w:bookmarkEnd w:id="11"/>
      <w:r w:rsidRPr="00E620D0">
        <w:rPr>
          <w:rFonts w:ascii="FrankRuehl" w:hAnsi="FrankRuehl" w:cs="FrankRuehl"/>
          <w:b/>
          <w:bCs/>
          <w:sz w:val="26"/>
          <w:szCs w:val="26"/>
          <w:rtl/>
        </w:rPr>
        <w:t>הבקשה דנה בסעיף תקציבי:</w:t>
      </w:r>
      <w:r>
        <w:rPr>
          <w:rFonts w:ascii="FrankRuehl" w:hAnsi="FrankRuehl" w:cs="FrankRuehl"/>
          <w:sz w:val="26"/>
          <w:szCs w:val="26"/>
          <w:rtl/>
        </w:rPr>
        <w:t xml:space="preserve"> 36 </w:t>
      </w:r>
      <w:r>
        <w:rPr>
          <w:rFonts w:ascii="FrankRuehl" w:hAnsi="FrankRuehl" w:cs="FrankRuehl" w:hint="cs"/>
          <w:sz w:val="26"/>
          <w:szCs w:val="26"/>
          <w:rtl/>
        </w:rPr>
        <w:t>-</w:t>
      </w:r>
      <w:r>
        <w:rPr>
          <w:rFonts w:ascii="FrankRuehl" w:hAnsi="FrankRuehl" w:cs="FrankRuehl"/>
          <w:sz w:val="26"/>
          <w:szCs w:val="26"/>
          <w:rtl/>
        </w:rPr>
        <w:t xml:space="preserve"> תעסוקה</w:t>
      </w:r>
    </w:p>
    <w:p w14:paraId="104C423B" w14:textId="77777777" w:rsidR="00E620D0" w:rsidRDefault="00E620D0" w:rsidP="00E620D0">
      <w:pPr>
        <w:jc w:val="both"/>
        <w:rPr>
          <w:rFonts w:ascii="FrankRuehl" w:hAnsi="FrankRuehl" w:cs="FrankRuehl"/>
          <w:sz w:val="26"/>
          <w:szCs w:val="26"/>
          <w:rtl/>
        </w:rPr>
      </w:pPr>
    </w:p>
    <w:p w14:paraId="58958F53" w14:textId="77777777" w:rsidR="00E620D0" w:rsidRDefault="00E620D0" w:rsidP="00E620D0">
      <w:pPr>
        <w:jc w:val="both"/>
        <w:rPr>
          <w:rFonts w:ascii="FrankRuehl" w:hAnsi="FrankRuehl" w:cs="FrankRuehl"/>
          <w:b/>
          <w:bCs/>
          <w:sz w:val="26"/>
          <w:szCs w:val="26"/>
          <w:rtl/>
        </w:rPr>
      </w:pPr>
      <w:r>
        <w:rPr>
          <w:rFonts w:ascii="FrankRuehl" w:hAnsi="FrankRuehl" w:cs="FrankRuehl"/>
          <w:b/>
          <w:bCs/>
          <w:sz w:val="26"/>
          <w:szCs w:val="26"/>
          <w:rtl/>
        </w:rPr>
        <w:t xml:space="preserve">עיקרי הפנייה: </w:t>
      </w:r>
    </w:p>
    <w:p w14:paraId="7CA83E56" w14:textId="77777777" w:rsidR="00E620D0" w:rsidRDefault="00E620D0" w:rsidP="00E620D0">
      <w:pPr>
        <w:jc w:val="both"/>
        <w:rPr>
          <w:rFonts w:ascii="FrankRuehl" w:hAnsi="FrankRuehl" w:cs="FrankRuehl"/>
          <w:sz w:val="26"/>
          <w:szCs w:val="26"/>
          <w:rtl/>
        </w:rPr>
      </w:pPr>
      <w:r>
        <w:rPr>
          <w:rFonts w:ascii="FrankRuehl" w:hAnsi="FrankRuehl" w:cs="FrankRuehl"/>
          <w:sz w:val="26"/>
          <w:szCs w:val="26"/>
          <w:rtl/>
        </w:rPr>
        <w:t xml:space="preserve">הפניה התקציבית נועדה להעברת עודפים משנת התקציב 2025 לשנת התקציב 2026 בסך של </w:t>
      </w:r>
      <w:r>
        <w:rPr>
          <w:rFonts w:cs="FrankRuehl"/>
          <w:sz w:val="26"/>
          <w:szCs w:val="26"/>
          <w:rtl/>
        </w:rPr>
        <w:t>426,128</w:t>
      </w:r>
      <w:r>
        <w:rPr>
          <w:rFonts w:ascii="FrankRuehl" w:hAnsi="FrankRuehl" w:cs="FrankRuehl"/>
          <w:sz w:val="26"/>
          <w:szCs w:val="26"/>
          <w:rtl/>
        </w:rPr>
        <w:t xml:space="preserve"> אלפי ש"ח בהוצאה נטו, וזאת כפי שמפורט להלן:</w:t>
      </w:r>
    </w:p>
    <w:p w14:paraId="5D6C6B9E" w14:textId="77777777" w:rsidR="00E620D0" w:rsidRDefault="00E620D0" w:rsidP="00E620D0">
      <w:pPr>
        <w:jc w:val="both"/>
        <w:rPr>
          <w:rFonts w:ascii="FrankRuehl" w:hAnsi="FrankRuehl" w:cs="FrankRuehl"/>
          <w:sz w:val="26"/>
          <w:szCs w:val="26"/>
          <w:rtl/>
        </w:rPr>
      </w:pPr>
    </w:p>
    <w:p w14:paraId="23696856" w14:textId="77777777" w:rsidR="00E620D0" w:rsidRDefault="00E620D0" w:rsidP="00E620D0">
      <w:pPr>
        <w:jc w:val="both"/>
        <w:rPr>
          <w:rFonts w:cs="FrankRuehl"/>
          <w:b/>
          <w:bCs/>
          <w:sz w:val="26"/>
          <w:szCs w:val="26"/>
          <w:rtl/>
        </w:rPr>
      </w:pPr>
      <w:r>
        <w:rPr>
          <w:rFonts w:cs="FrankRuehl"/>
          <w:b/>
          <w:bCs/>
          <w:sz w:val="26"/>
          <w:szCs w:val="26"/>
          <w:rtl/>
        </w:rPr>
        <w:t>תכנית 36-30-02: מטה ורגולציה 55,034 אלפי ש"ח</w:t>
      </w:r>
    </w:p>
    <w:p w14:paraId="1DD48037" w14:textId="77777777" w:rsidR="00E620D0" w:rsidRDefault="00E620D0" w:rsidP="00E620D0">
      <w:pPr>
        <w:jc w:val="both"/>
        <w:rPr>
          <w:rFonts w:cs="FrankRuehl"/>
          <w:sz w:val="26"/>
          <w:szCs w:val="26"/>
          <w:rtl/>
        </w:rPr>
      </w:pPr>
      <w:r>
        <w:rPr>
          <w:rFonts w:cs="FrankRuehl"/>
          <w:b/>
          <w:bCs/>
          <w:sz w:val="26"/>
          <w:szCs w:val="26"/>
          <w:rtl/>
        </w:rPr>
        <w:t>תיאור התוכנית:</w:t>
      </w:r>
      <w:r>
        <w:rPr>
          <w:rFonts w:cs="FrankRuehl"/>
          <w:sz w:val="26"/>
          <w:szCs w:val="26"/>
          <w:rtl/>
        </w:rPr>
        <w:t xml:space="preserve"> תכנית זו מאגדת את ההוצאות התפעוליות של המשרד בגין שכר דירה, דמי שימוש עבור מבנים, אחזקת רכב, ניקיון, אחזקה שוטפת, שמירה, הדרכה, פרסום ומחשוב. כמו כן, מספר יחידות במשרד העוסקות באכיפת חוקי עבודה, בטיחות בעבודה, רישום עיסוקים ומחקר.</w:t>
      </w:r>
    </w:p>
    <w:p w14:paraId="7C4770B4" w14:textId="77777777" w:rsidR="00E620D0" w:rsidRDefault="00E620D0" w:rsidP="00E620D0">
      <w:pPr>
        <w:jc w:val="both"/>
        <w:rPr>
          <w:rFonts w:cs="FrankRuehl"/>
          <w:b/>
          <w:bCs/>
          <w:sz w:val="26"/>
          <w:szCs w:val="26"/>
          <w:rtl/>
        </w:rPr>
      </w:pPr>
      <w:r>
        <w:rPr>
          <w:rFonts w:cs="FrankRuehl"/>
          <w:b/>
          <w:bCs/>
          <w:sz w:val="26"/>
          <w:szCs w:val="26"/>
          <w:rtl/>
        </w:rPr>
        <w:t xml:space="preserve">סיבות מרכזיות בגינן נוצרו עודפים </w:t>
      </w:r>
      <w:proofErr w:type="spellStart"/>
      <w:r>
        <w:rPr>
          <w:rFonts w:cs="FrankRuehl"/>
          <w:b/>
          <w:bCs/>
          <w:sz w:val="26"/>
          <w:szCs w:val="26"/>
          <w:rtl/>
        </w:rPr>
        <w:t>בתכנית</w:t>
      </w:r>
      <w:proofErr w:type="spellEnd"/>
      <w:r>
        <w:rPr>
          <w:rFonts w:cs="FrankRuehl"/>
          <w:b/>
          <w:bCs/>
          <w:sz w:val="26"/>
          <w:szCs w:val="26"/>
          <w:rtl/>
        </w:rPr>
        <w:t>:</w:t>
      </w:r>
      <w:r>
        <w:rPr>
          <w:rFonts w:cs="FrankRuehl" w:hint="cs"/>
          <w:b/>
          <w:bCs/>
          <w:sz w:val="26"/>
          <w:szCs w:val="26"/>
        </w:rPr>
        <w:t xml:space="preserve"> </w:t>
      </w:r>
      <w:r>
        <w:rPr>
          <w:rFonts w:cs="FrankRuehl"/>
          <w:sz w:val="26"/>
          <w:szCs w:val="26"/>
          <w:rtl/>
        </w:rPr>
        <w:t>העודפים של ההוצאות התפעוליות נוצרים בשל התחייבויות בגין חוזים שנחתמו מול ספקים במהלך שנת 2025 לתקופה החוצה שנת תקציב. העודפים ביחידות הרגולציה, כמו האכיפה והבטיחות גם הם עבור פעילויות חוצות שנת תקציב הכוללות הדרכות בתחום הבטיחות, רכישת ציוד למפקחים, מכרזים בתחום התרגום, איתור ומסירה ועוד</w:t>
      </w:r>
      <w:r>
        <w:rPr>
          <w:rFonts w:cs="FrankRuehl"/>
          <w:b/>
          <w:bCs/>
          <w:sz w:val="26"/>
          <w:szCs w:val="26"/>
          <w:rtl/>
        </w:rPr>
        <w:t>.</w:t>
      </w:r>
    </w:p>
    <w:p w14:paraId="5BBBA878" w14:textId="77777777" w:rsidR="00E620D0" w:rsidRDefault="00E620D0" w:rsidP="00E620D0">
      <w:pPr>
        <w:jc w:val="both"/>
        <w:rPr>
          <w:rFonts w:cs="FrankRuehl"/>
          <w:b/>
          <w:bCs/>
          <w:sz w:val="26"/>
          <w:szCs w:val="26"/>
          <w:rtl/>
        </w:rPr>
      </w:pPr>
    </w:p>
    <w:p w14:paraId="493ADFD5" w14:textId="77777777" w:rsidR="00E620D0" w:rsidRDefault="00E620D0" w:rsidP="00E620D0">
      <w:pPr>
        <w:jc w:val="both"/>
        <w:rPr>
          <w:rFonts w:cs="FrankRuehl"/>
          <w:b/>
          <w:bCs/>
          <w:sz w:val="26"/>
          <w:szCs w:val="26"/>
          <w:rtl/>
        </w:rPr>
      </w:pPr>
      <w:r>
        <w:rPr>
          <w:rFonts w:cs="FrankRuehl"/>
          <w:b/>
          <w:bCs/>
          <w:sz w:val="26"/>
          <w:szCs w:val="26"/>
          <w:rtl/>
        </w:rPr>
        <w:t>תכנית 36-41-01: סבסוד שהות ילדי הורים עובדים במעונות יום, משפחתונים וצהרונים – 61,581 אלפי ש"ח</w:t>
      </w:r>
    </w:p>
    <w:p w14:paraId="72A9B8DB" w14:textId="77777777" w:rsidR="00E620D0" w:rsidRDefault="00E620D0" w:rsidP="00E620D0">
      <w:pPr>
        <w:jc w:val="both"/>
        <w:rPr>
          <w:rFonts w:cs="FrankRuehl"/>
          <w:sz w:val="26"/>
          <w:szCs w:val="26"/>
          <w:rtl/>
        </w:rPr>
      </w:pPr>
      <w:r>
        <w:rPr>
          <w:rFonts w:cs="FrankRuehl"/>
          <w:b/>
          <w:bCs/>
          <w:sz w:val="26"/>
          <w:szCs w:val="26"/>
          <w:rtl/>
        </w:rPr>
        <w:t>תיאור התוכנית:</w:t>
      </w:r>
      <w:r>
        <w:rPr>
          <w:rFonts w:cs="FrankRuehl"/>
          <w:sz w:val="26"/>
          <w:szCs w:val="26"/>
          <w:rtl/>
        </w:rPr>
        <w:t xml:space="preserve"> האגף למעונות יום עוסק בפיתוח ובפיקוח על שירותים המסייעים להורים עובדים ובסבסוד שהותם של ילדים בגיל הרך במעונות יום, במשפחתונים ובצהרונים. כמו כן, עוסק האגף ברישוי ופיקוח על משפחתונים וצהרונים, הדרכה והכשרה של כוח אדם המועסק.</w:t>
      </w:r>
    </w:p>
    <w:p w14:paraId="74259886" w14:textId="77777777" w:rsidR="00E620D0" w:rsidRDefault="00E620D0" w:rsidP="00E620D0">
      <w:pPr>
        <w:jc w:val="both"/>
        <w:rPr>
          <w:rFonts w:cs="FrankRuehl"/>
          <w:b/>
          <w:bCs/>
          <w:sz w:val="26"/>
          <w:szCs w:val="26"/>
          <w:rtl/>
        </w:rPr>
      </w:pPr>
      <w:r>
        <w:rPr>
          <w:rFonts w:cs="FrankRuehl"/>
          <w:b/>
          <w:bCs/>
          <w:sz w:val="26"/>
          <w:szCs w:val="26"/>
          <w:rtl/>
        </w:rPr>
        <w:t xml:space="preserve">סיבות מרכזיות בגינן נוצרו עודפים </w:t>
      </w:r>
      <w:proofErr w:type="spellStart"/>
      <w:r>
        <w:rPr>
          <w:rFonts w:cs="FrankRuehl"/>
          <w:b/>
          <w:bCs/>
          <w:sz w:val="26"/>
          <w:szCs w:val="26"/>
          <w:rtl/>
        </w:rPr>
        <w:t>בתכנית</w:t>
      </w:r>
      <w:proofErr w:type="spellEnd"/>
      <w:r>
        <w:rPr>
          <w:rFonts w:cs="FrankRuehl"/>
          <w:b/>
          <w:bCs/>
          <w:sz w:val="26"/>
          <w:szCs w:val="26"/>
          <w:rtl/>
        </w:rPr>
        <w:t>:</w:t>
      </w:r>
      <w:r>
        <w:rPr>
          <w:rFonts w:cs="FrankRuehl" w:hint="cs"/>
          <w:b/>
          <w:bCs/>
          <w:sz w:val="26"/>
          <w:szCs w:val="26"/>
        </w:rPr>
        <w:t xml:space="preserve"> </w:t>
      </w:r>
      <w:r>
        <w:rPr>
          <w:rFonts w:cs="FrankRuehl"/>
          <w:sz w:val="26"/>
          <w:szCs w:val="26"/>
          <w:rtl/>
        </w:rPr>
        <w:t xml:space="preserve">התחייבויות בגין פעילות משפחתונים והצהרונים הינה פעילות שמקבילה לשנת לימודים ולכן היא </w:t>
      </w:r>
      <w:proofErr w:type="spellStart"/>
      <w:r>
        <w:rPr>
          <w:rFonts w:cs="FrankRuehl"/>
          <w:sz w:val="26"/>
          <w:szCs w:val="26"/>
          <w:rtl/>
        </w:rPr>
        <w:t>חוצת</w:t>
      </w:r>
      <w:proofErr w:type="spellEnd"/>
      <w:r>
        <w:rPr>
          <w:rFonts w:cs="FrankRuehl"/>
          <w:sz w:val="26"/>
          <w:szCs w:val="26"/>
          <w:rtl/>
        </w:rPr>
        <w:t xml:space="preserve"> שנת תקציב ועל כן תשלום הסבסוד לגופים המפעילים את המסגרות האלה והמוקד להורים חוצים שנת תקציב.</w:t>
      </w:r>
    </w:p>
    <w:p w14:paraId="61594D54" w14:textId="77777777" w:rsidR="00E620D0" w:rsidRDefault="00E620D0" w:rsidP="00E620D0">
      <w:pPr>
        <w:jc w:val="both"/>
        <w:rPr>
          <w:rFonts w:cs="FrankRuehl"/>
          <w:sz w:val="26"/>
          <w:szCs w:val="26"/>
        </w:rPr>
      </w:pPr>
    </w:p>
    <w:p w14:paraId="39F88B13" w14:textId="77777777" w:rsidR="00E620D0" w:rsidRDefault="00E620D0" w:rsidP="00E620D0">
      <w:pPr>
        <w:jc w:val="both"/>
        <w:rPr>
          <w:rFonts w:cs="FrankRuehl"/>
          <w:b/>
          <w:bCs/>
          <w:sz w:val="26"/>
          <w:szCs w:val="26"/>
          <w:rtl/>
        </w:rPr>
      </w:pPr>
      <w:r>
        <w:rPr>
          <w:rFonts w:cs="FrankRuehl"/>
          <w:b/>
          <w:bCs/>
          <w:sz w:val="26"/>
          <w:szCs w:val="26"/>
          <w:rtl/>
        </w:rPr>
        <w:t>תכנית 36-42-01: עידוד תעסוקת אוכלוסיות ייעודיות ומעוטות השתתפות – 53,911 אלפי ש"ח</w:t>
      </w:r>
    </w:p>
    <w:p w14:paraId="0EFC1F8A" w14:textId="77777777" w:rsidR="00E620D0" w:rsidRDefault="00E620D0" w:rsidP="00E620D0">
      <w:pPr>
        <w:jc w:val="both"/>
        <w:rPr>
          <w:rFonts w:cs="FrankRuehl"/>
          <w:sz w:val="26"/>
          <w:szCs w:val="26"/>
        </w:rPr>
      </w:pPr>
      <w:r>
        <w:rPr>
          <w:rFonts w:cs="FrankRuehl"/>
          <w:b/>
          <w:bCs/>
          <w:sz w:val="26"/>
          <w:szCs w:val="26"/>
          <w:rtl/>
        </w:rPr>
        <w:t>תיאור התוכנית:</w:t>
      </w:r>
      <w:r>
        <w:rPr>
          <w:rFonts w:cs="FrankRuehl"/>
          <w:sz w:val="26"/>
          <w:szCs w:val="26"/>
          <w:rtl/>
        </w:rPr>
        <w:t xml:space="preserve"> </w:t>
      </w:r>
      <w:proofErr w:type="spellStart"/>
      <w:r>
        <w:rPr>
          <w:rFonts w:cs="FrankRuehl"/>
          <w:sz w:val="26"/>
          <w:szCs w:val="26"/>
          <w:rtl/>
        </w:rPr>
        <w:t>בתכנית</w:t>
      </w:r>
      <w:proofErr w:type="spellEnd"/>
      <w:r>
        <w:rPr>
          <w:rFonts w:cs="FrankRuehl"/>
          <w:sz w:val="26"/>
          <w:szCs w:val="26"/>
          <w:rtl/>
        </w:rPr>
        <w:t xml:space="preserve"> זו מתוקצבות פעילויות להגדלת שיעורי התעסוקה וההשתתפות בכוח העבודה של אוכלוסיות אשר מאופיינות בשיעור השתתפות נמוך בשוק העבודה.</w:t>
      </w:r>
    </w:p>
    <w:p w14:paraId="7952971E" w14:textId="77777777" w:rsidR="00E620D0" w:rsidRDefault="00E620D0" w:rsidP="00E620D0">
      <w:pPr>
        <w:jc w:val="both"/>
        <w:rPr>
          <w:rFonts w:cs="FrankRuehl"/>
          <w:b/>
          <w:bCs/>
          <w:sz w:val="26"/>
          <w:szCs w:val="26"/>
          <w:rtl/>
        </w:rPr>
      </w:pPr>
      <w:r>
        <w:rPr>
          <w:rFonts w:cs="FrankRuehl"/>
          <w:b/>
          <w:bCs/>
          <w:sz w:val="26"/>
          <w:szCs w:val="26"/>
          <w:rtl/>
        </w:rPr>
        <w:t xml:space="preserve">סיבות מרכזיות בגינן נוצרו עודפים </w:t>
      </w:r>
      <w:proofErr w:type="spellStart"/>
      <w:r>
        <w:rPr>
          <w:rFonts w:cs="FrankRuehl"/>
          <w:b/>
          <w:bCs/>
          <w:sz w:val="26"/>
          <w:szCs w:val="26"/>
          <w:rtl/>
        </w:rPr>
        <w:t>בתכנית</w:t>
      </w:r>
      <w:proofErr w:type="spellEnd"/>
      <w:r>
        <w:rPr>
          <w:rFonts w:cs="FrankRuehl"/>
          <w:b/>
          <w:bCs/>
          <w:sz w:val="26"/>
          <w:szCs w:val="26"/>
          <w:rtl/>
        </w:rPr>
        <w:t>:</w:t>
      </w:r>
      <w:r>
        <w:rPr>
          <w:rFonts w:cs="FrankRuehl" w:hint="cs"/>
          <w:b/>
          <w:bCs/>
          <w:sz w:val="26"/>
          <w:szCs w:val="26"/>
        </w:rPr>
        <w:t xml:space="preserve"> </w:t>
      </w:r>
      <w:r>
        <w:rPr>
          <w:rFonts w:cs="FrankRuehl"/>
          <w:sz w:val="26"/>
          <w:szCs w:val="26"/>
          <w:rtl/>
        </w:rPr>
        <w:t xml:space="preserve">הפעלת מרכזי ההכוון התעסוקתיים לאוכלוסייה הערבית והחרדית שהינה פרויקט ארוך טווח וההתקשרות עם הגורמים המפעילים נפרסת על פני יותר משנת תקציב אחת. </w:t>
      </w:r>
    </w:p>
    <w:p w14:paraId="707C5D9F" w14:textId="77777777" w:rsidR="00E620D0" w:rsidRDefault="00E620D0" w:rsidP="00E620D0">
      <w:pPr>
        <w:jc w:val="both"/>
        <w:rPr>
          <w:rFonts w:cs="FrankRuehl"/>
          <w:b/>
          <w:bCs/>
          <w:sz w:val="26"/>
          <w:szCs w:val="26"/>
          <w:rtl/>
        </w:rPr>
      </w:pPr>
    </w:p>
    <w:p w14:paraId="6E208330" w14:textId="77777777" w:rsidR="00E620D0" w:rsidRDefault="00E620D0" w:rsidP="00E620D0">
      <w:pPr>
        <w:jc w:val="both"/>
        <w:rPr>
          <w:rFonts w:cs="FrankRuehl"/>
          <w:b/>
          <w:bCs/>
          <w:sz w:val="26"/>
          <w:szCs w:val="26"/>
          <w:rtl/>
        </w:rPr>
      </w:pPr>
      <w:r>
        <w:rPr>
          <w:rFonts w:cs="FrankRuehl"/>
          <w:b/>
          <w:bCs/>
          <w:sz w:val="26"/>
          <w:szCs w:val="26"/>
          <w:rtl/>
        </w:rPr>
        <w:t>תכנית 36-43-02 : שירות התעסוקה - תפעול ופעולות- 25,633 אלפי ש"ח</w:t>
      </w:r>
    </w:p>
    <w:p w14:paraId="7055ADF6" w14:textId="77777777" w:rsidR="00E620D0" w:rsidRDefault="00E620D0" w:rsidP="00E620D0">
      <w:pPr>
        <w:jc w:val="both"/>
        <w:rPr>
          <w:rFonts w:cs="FrankRuehl"/>
          <w:sz w:val="26"/>
          <w:szCs w:val="26"/>
          <w:rtl/>
        </w:rPr>
      </w:pPr>
      <w:r>
        <w:rPr>
          <w:rFonts w:cs="FrankRuehl"/>
          <w:b/>
          <w:bCs/>
          <w:sz w:val="26"/>
          <w:szCs w:val="26"/>
          <w:rtl/>
        </w:rPr>
        <w:t>תיאור התוכנית:</w:t>
      </w:r>
      <w:r>
        <w:rPr>
          <w:rFonts w:cs="FrankRuehl"/>
          <w:sz w:val="26"/>
          <w:szCs w:val="26"/>
          <w:rtl/>
        </w:rPr>
        <w:t xml:space="preserve"> שירות התעסוקה מקבל ומטפל בקהל דורשי העבודה בלשכות הפזורות ברחבי הארץ. </w:t>
      </w:r>
    </w:p>
    <w:p w14:paraId="21FFBB5E" w14:textId="77777777" w:rsidR="00E620D0" w:rsidRDefault="00E620D0" w:rsidP="00E620D0">
      <w:pPr>
        <w:jc w:val="both"/>
        <w:rPr>
          <w:rFonts w:cs="FrankRuehl"/>
          <w:b/>
          <w:bCs/>
          <w:sz w:val="26"/>
          <w:szCs w:val="26"/>
          <w:rtl/>
        </w:rPr>
      </w:pPr>
      <w:r>
        <w:rPr>
          <w:rFonts w:cs="FrankRuehl"/>
          <w:b/>
          <w:bCs/>
          <w:sz w:val="26"/>
          <w:szCs w:val="26"/>
          <w:rtl/>
        </w:rPr>
        <w:t xml:space="preserve">סיבות מרכזיות בגינן נוצרו עודפים </w:t>
      </w:r>
      <w:proofErr w:type="spellStart"/>
      <w:r>
        <w:rPr>
          <w:rFonts w:cs="FrankRuehl"/>
          <w:b/>
          <w:bCs/>
          <w:sz w:val="26"/>
          <w:szCs w:val="26"/>
          <w:rtl/>
        </w:rPr>
        <w:t>בתכנית</w:t>
      </w:r>
      <w:proofErr w:type="spellEnd"/>
      <w:r>
        <w:rPr>
          <w:rFonts w:cs="FrankRuehl"/>
          <w:b/>
          <w:bCs/>
          <w:sz w:val="26"/>
          <w:szCs w:val="26"/>
          <w:rtl/>
        </w:rPr>
        <w:t>:</w:t>
      </w:r>
      <w:r>
        <w:rPr>
          <w:rFonts w:cs="FrankRuehl" w:hint="cs"/>
          <w:b/>
          <w:bCs/>
          <w:sz w:val="26"/>
          <w:szCs w:val="26"/>
        </w:rPr>
        <w:t xml:space="preserve"> </w:t>
      </w:r>
      <w:r>
        <w:rPr>
          <w:rFonts w:cs="FrankRuehl"/>
          <w:sz w:val="26"/>
          <w:szCs w:val="26"/>
          <w:rtl/>
        </w:rPr>
        <w:t xml:space="preserve">בגין המבנים בהם פועל שירות התעסוקה קיימות התחייבויות לשיפוצים ואחזקה ותפעול מערכות מידע. ההתקשרות מול הספקים היא לתקופות הנפרסות על יותר משנת תקציב אחת. בנוסף שירות התעסוקה מפעיל </w:t>
      </w:r>
      <w:proofErr w:type="spellStart"/>
      <w:r>
        <w:rPr>
          <w:rFonts w:cs="FrankRuehl"/>
          <w:sz w:val="26"/>
          <w:szCs w:val="26"/>
          <w:rtl/>
        </w:rPr>
        <w:t>תכניות</w:t>
      </w:r>
      <w:proofErr w:type="spellEnd"/>
      <w:r>
        <w:rPr>
          <w:rFonts w:cs="FrankRuehl"/>
          <w:sz w:val="26"/>
          <w:szCs w:val="26"/>
          <w:rtl/>
        </w:rPr>
        <w:t xml:space="preserve"> שילוב בעולם העבודה הכוללות את "מעגלי תעסוקה", ולצורך הפעלת </w:t>
      </w:r>
      <w:proofErr w:type="spellStart"/>
      <w:r>
        <w:rPr>
          <w:rFonts w:cs="FrankRuehl"/>
          <w:sz w:val="26"/>
          <w:szCs w:val="26"/>
          <w:rtl/>
        </w:rPr>
        <w:t>תכניות</w:t>
      </w:r>
      <w:proofErr w:type="spellEnd"/>
      <w:r>
        <w:rPr>
          <w:rFonts w:cs="FrankRuehl"/>
          <w:sz w:val="26"/>
          <w:szCs w:val="26"/>
          <w:rtl/>
        </w:rPr>
        <w:t xml:space="preserve"> אלה נפתחו התחייבויות הנפרסות על יותר משנת תקציב אחת.</w:t>
      </w:r>
    </w:p>
    <w:p w14:paraId="6AC3C882" w14:textId="77777777" w:rsidR="00E620D0" w:rsidRDefault="00E620D0" w:rsidP="00E620D0">
      <w:pPr>
        <w:ind w:left="360"/>
        <w:jc w:val="both"/>
        <w:rPr>
          <w:rFonts w:cs="FrankRuehl"/>
          <w:sz w:val="26"/>
          <w:szCs w:val="26"/>
          <w:rtl/>
        </w:rPr>
      </w:pPr>
    </w:p>
    <w:p w14:paraId="73F00860" w14:textId="77777777" w:rsidR="00E620D0" w:rsidRDefault="00E620D0" w:rsidP="00E620D0">
      <w:pPr>
        <w:jc w:val="both"/>
        <w:rPr>
          <w:rFonts w:cs="FrankRuehl"/>
          <w:b/>
          <w:bCs/>
          <w:sz w:val="26"/>
          <w:szCs w:val="26"/>
          <w:rtl/>
        </w:rPr>
      </w:pPr>
      <w:r>
        <w:rPr>
          <w:rFonts w:cs="FrankRuehl"/>
          <w:b/>
          <w:bCs/>
          <w:sz w:val="26"/>
          <w:szCs w:val="26"/>
          <w:rtl/>
        </w:rPr>
        <w:t>תכנית 36-44-03 : הכשרה מקצועית – 32,709 אלפי ש"ח</w:t>
      </w:r>
    </w:p>
    <w:p w14:paraId="5A7E5351" w14:textId="77777777" w:rsidR="00E620D0" w:rsidRDefault="00E620D0" w:rsidP="00E620D0">
      <w:pPr>
        <w:jc w:val="both"/>
        <w:rPr>
          <w:rFonts w:cs="FrankRuehl"/>
          <w:sz w:val="26"/>
          <w:szCs w:val="26"/>
          <w:rtl/>
        </w:rPr>
      </w:pPr>
      <w:r>
        <w:rPr>
          <w:rFonts w:cs="FrankRuehl"/>
          <w:b/>
          <w:bCs/>
          <w:sz w:val="26"/>
          <w:szCs w:val="26"/>
          <w:rtl/>
        </w:rPr>
        <w:t>תיאור התוכנית:</w:t>
      </w:r>
      <w:r>
        <w:rPr>
          <w:rFonts w:cs="FrankRuehl"/>
          <w:sz w:val="26"/>
          <w:szCs w:val="26"/>
          <w:rtl/>
        </w:rPr>
        <w:t xml:space="preserve"> האגף להכשרה מקצועית מפעיל מערך שוברי הכשרה , חלוקת מלגות, מערך פדגוגיה, פיקוח ותפעול לביצוע בחינות של הלומדים בקורסי הכשרה מפוקחים. זאת בכדי לסייע להשתלבות בשוק העבודה ולהגדיל את הפריון לעובד.</w:t>
      </w:r>
    </w:p>
    <w:p w14:paraId="3B4F41CA" w14:textId="77777777" w:rsidR="00E620D0" w:rsidRDefault="00E620D0" w:rsidP="00E620D0">
      <w:pPr>
        <w:jc w:val="both"/>
        <w:rPr>
          <w:rFonts w:cs="FrankRuehl"/>
          <w:sz w:val="26"/>
          <w:szCs w:val="26"/>
          <w:rtl/>
        </w:rPr>
      </w:pPr>
      <w:r>
        <w:rPr>
          <w:rFonts w:cs="FrankRuehl"/>
          <w:b/>
          <w:bCs/>
          <w:sz w:val="26"/>
          <w:szCs w:val="26"/>
          <w:rtl/>
        </w:rPr>
        <w:t xml:space="preserve">סיבות מרכזיות בגינן נוצרו עודפים </w:t>
      </w:r>
      <w:proofErr w:type="spellStart"/>
      <w:r>
        <w:rPr>
          <w:rFonts w:cs="FrankRuehl"/>
          <w:b/>
          <w:bCs/>
          <w:sz w:val="26"/>
          <w:szCs w:val="26"/>
          <w:rtl/>
        </w:rPr>
        <w:t>בתכנית</w:t>
      </w:r>
      <w:proofErr w:type="spellEnd"/>
      <w:r>
        <w:rPr>
          <w:rFonts w:cs="FrankRuehl"/>
          <w:b/>
          <w:bCs/>
          <w:sz w:val="26"/>
          <w:szCs w:val="26"/>
          <w:rtl/>
        </w:rPr>
        <w:t>:</w:t>
      </w:r>
      <w:r>
        <w:rPr>
          <w:rFonts w:cs="FrankRuehl" w:hint="cs"/>
          <w:b/>
          <w:bCs/>
          <w:sz w:val="26"/>
          <w:szCs w:val="26"/>
        </w:rPr>
        <w:t xml:space="preserve"> </w:t>
      </w:r>
      <w:r>
        <w:rPr>
          <w:rFonts w:cs="FrankRuehl"/>
          <w:sz w:val="26"/>
          <w:szCs w:val="26"/>
          <w:rtl/>
        </w:rPr>
        <w:t xml:space="preserve">חלוקת השוברים ללומדים במוסדות הכשרה ופעולות שונות של האגף להכשרה מקצועית נעשות באמצעות גורמים חיצוניים. שנת לימודים במוסדות ההכשרה אינה חופפת לשנת התקציב ולכן ההתקשרויות מול אותם הגורמים חוצות שנות תקציב. בנוסף, אורך חיים של שובר הוא מעל שנתיים והתשלום לזכאים הוא בשלוש פעימות ולכן התקשרויות אלה חוצות שנה ואף שנתיים. </w:t>
      </w:r>
    </w:p>
    <w:p w14:paraId="6A9BA36B" w14:textId="77777777" w:rsidR="00E620D0" w:rsidRDefault="00E620D0" w:rsidP="00E620D0">
      <w:pPr>
        <w:jc w:val="both"/>
        <w:rPr>
          <w:rFonts w:cs="FrankRuehl"/>
          <w:sz w:val="26"/>
          <w:szCs w:val="26"/>
          <w:rtl/>
        </w:rPr>
      </w:pPr>
    </w:p>
    <w:p w14:paraId="6FD9332F" w14:textId="77777777" w:rsidR="00E620D0" w:rsidRDefault="00E620D0" w:rsidP="00E620D0">
      <w:pPr>
        <w:jc w:val="both"/>
        <w:rPr>
          <w:rFonts w:cs="FrankRuehl"/>
          <w:b/>
          <w:bCs/>
          <w:sz w:val="26"/>
          <w:szCs w:val="26"/>
          <w:rtl/>
        </w:rPr>
      </w:pPr>
      <w:r>
        <w:rPr>
          <w:rFonts w:cs="FrankRuehl"/>
          <w:b/>
          <w:bCs/>
          <w:sz w:val="26"/>
          <w:szCs w:val="26"/>
          <w:rtl/>
        </w:rPr>
        <w:t>תכנית 36-44-05 : הכשרת נוער- בתי ספר – 50,783 אלפי ש"ח</w:t>
      </w:r>
    </w:p>
    <w:p w14:paraId="7A8D80D1" w14:textId="77777777" w:rsidR="00E620D0" w:rsidRDefault="00E620D0" w:rsidP="00E620D0">
      <w:pPr>
        <w:jc w:val="both"/>
        <w:rPr>
          <w:rFonts w:cs="FrankRuehl"/>
          <w:sz w:val="26"/>
          <w:szCs w:val="26"/>
          <w:rtl/>
        </w:rPr>
      </w:pPr>
      <w:r>
        <w:rPr>
          <w:rFonts w:cs="FrankRuehl"/>
          <w:b/>
          <w:bCs/>
          <w:sz w:val="26"/>
          <w:szCs w:val="26"/>
          <w:rtl/>
        </w:rPr>
        <w:t>תיאור התוכנית:</w:t>
      </w:r>
      <w:r>
        <w:rPr>
          <w:rFonts w:cs="FrankRuehl"/>
          <w:sz w:val="26"/>
          <w:szCs w:val="26"/>
          <w:rtl/>
        </w:rPr>
        <w:t xml:space="preserve"> אוכלוסיית היעד של מערך הכשרת הנוער היא בני נוער בגיל 15 ומעלה המעוניינים לרכוש מקצוע על ידי שילוב של עבודה ולימודים בבתי הספר שבפיקוח של משרד העבודה.</w:t>
      </w:r>
    </w:p>
    <w:p w14:paraId="2193BDC0" w14:textId="77777777" w:rsidR="00E620D0" w:rsidRDefault="00E620D0" w:rsidP="00E620D0">
      <w:pPr>
        <w:jc w:val="both"/>
        <w:rPr>
          <w:rFonts w:cs="FrankRuehl"/>
          <w:b/>
          <w:bCs/>
          <w:sz w:val="26"/>
          <w:szCs w:val="26"/>
          <w:rtl/>
        </w:rPr>
      </w:pPr>
      <w:r>
        <w:rPr>
          <w:rFonts w:cs="FrankRuehl"/>
          <w:b/>
          <w:bCs/>
          <w:sz w:val="26"/>
          <w:szCs w:val="26"/>
          <w:rtl/>
        </w:rPr>
        <w:t xml:space="preserve">סיבות מרכזיות בגינן נוצרו עודפים </w:t>
      </w:r>
      <w:proofErr w:type="spellStart"/>
      <w:r>
        <w:rPr>
          <w:rFonts w:cs="FrankRuehl"/>
          <w:b/>
          <w:bCs/>
          <w:sz w:val="26"/>
          <w:szCs w:val="26"/>
          <w:rtl/>
        </w:rPr>
        <w:t>בתכנית</w:t>
      </w:r>
      <w:proofErr w:type="spellEnd"/>
      <w:r>
        <w:rPr>
          <w:rFonts w:cs="FrankRuehl"/>
          <w:b/>
          <w:bCs/>
          <w:sz w:val="26"/>
          <w:szCs w:val="26"/>
          <w:rtl/>
        </w:rPr>
        <w:t>:</w:t>
      </w:r>
      <w:r>
        <w:rPr>
          <w:rFonts w:cs="FrankRuehl" w:hint="cs"/>
          <w:b/>
          <w:bCs/>
          <w:sz w:val="26"/>
          <w:szCs w:val="26"/>
        </w:rPr>
        <w:t xml:space="preserve"> </w:t>
      </w:r>
      <w:r>
        <w:rPr>
          <w:rFonts w:cs="FrankRuehl"/>
          <w:sz w:val="26"/>
          <w:szCs w:val="26"/>
          <w:rtl/>
        </w:rPr>
        <w:t>מדובר בפעילות של בתי ספר מקצועיים אשר הפעילות בהם מקבילה לשנת לימודים ולא לשנת תקציב ולכן ההתחייבויות בה חוצות שנת תקציב.</w:t>
      </w:r>
      <w:r>
        <w:rPr>
          <w:rFonts w:cs="FrankRuehl"/>
          <w:b/>
          <w:bCs/>
          <w:sz w:val="26"/>
          <w:szCs w:val="26"/>
          <w:rtl/>
        </w:rPr>
        <w:t xml:space="preserve"> </w:t>
      </w:r>
      <w:r>
        <w:rPr>
          <w:rFonts w:cs="FrankRuehl"/>
          <w:sz w:val="26"/>
          <w:szCs w:val="26"/>
          <w:rtl/>
        </w:rPr>
        <w:t>בנוסף, ישנן התקשרויות שבוצעו עבור בינוי ושיפוצים בבתי הספר – מדובר בתהליכים ארוכים שנמשכים מספר שנים כך שההזמנות בגינן חוצות שנים.</w:t>
      </w:r>
    </w:p>
    <w:p w14:paraId="3BE330EA" w14:textId="77777777" w:rsidR="00E620D0" w:rsidRDefault="00E620D0" w:rsidP="00E620D0">
      <w:pPr>
        <w:jc w:val="both"/>
        <w:rPr>
          <w:rFonts w:cs="FrankRuehl"/>
          <w:sz w:val="26"/>
          <w:szCs w:val="26"/>
          <w:rtl/>
        </w:rPr>
      </w:pPr>
    </w:p>
    <w:p w14:paraId="15D84366" w14:textId="77777777" w:rsidR="00E620D0" w:rsidRDefault="00E620D0" w:rsidP="00E620D0">
      <w:pPr>
        <w:jc w:val="both"/>
        <w:rPr>
          <w:rFonts w:cs="FrankRuehl"/>
          <w:b/>
          <w:bCs/>
          <w:sz w:val="26"/>
          <w:szCs w:val="26"/>
          <w:rtl/>
        </w:rPr>
      </w:pPr>
      <w:r>
        <w:rPr>
          <w:rFonts w:cs="FrankRuehl"/>
          <w:b/>
          <w:bCs/>
          <w:sz w:val="26"/>
          <w:szCs w:val="26"/>
          <w:rtl/>
        </w:rPr>
        <w:t>תכנית 36-44-06 : הכשרת הנדסאים וטכנאים- 98,061 אלפי ש"ח</w:t>
      </w:r>
    </w:p>
    <w:p w14:paraId="249E50FC" w14:textId="77777777" w:rsidR="00E620D0" w:rsidRDefault="00E620D0" w:rsidP="00E620D0">
      <w:pPr>
        <w:jc w:val="both"/>
        <w:rPr>
          <w:rFonts w:cs="FrankRuehl"/>
          <w:sz w:val="26"/>
          <w:szCs w:val="26"/>
          <w:rtl/>
        </w:rPr>
      </w:pPr>
      <w:r>
        <w:rPr>
          <w:rFonts w:cs="FrankRuehl"/>
          <w:b/>
          <w:bCs/>
          <w:sz w:val="26"/>
          <w:szCs w:val="26"/>
          <w:rtl/>
        </w:rPr>
        <w:t>תיאור התוכנית:</w:t>
      </w:r>
      <w:r>
        <w:rPr>
          <w:rFonts w:cs="FrankRuehl"/>
          <w:sz w:val="26"/>
          <w:szCs w:val="26"/>
          <w:rtl/>
        </w:rPr>
        <w:t xml:space="preserve"> המכון הממשלתי להכשרה בטכנולוגיה ובמדע עוסק בהכרה ותקצוב מכללות להכשרת הנדסאים וטכנאים מוסמכים ובמתן שירותים פדגוגיים למכללות הטכנולוגיות. נוסף לכך, ישנו דגש על הכשרה של אוכלוסייה מעוטת השתתפות שהינם זכאים להשתתפות במימון שכר הלימוד במכללות.</w:t>
      </w:r>
    </w:p>
    <w:p w14:paraId="68959E79" w14:textId="77777777" w:rsidR="00E620D0" w:rsidRDefault="00E620D0" w:rsidP="00E620D0">
      <w:pPr>
        <w:jc w:val="both"/>
        <w:rPr>
          <w:rFonts w:cs="FrankRuehl"/>
          <w:b/>
          <w:bCs/>
          <w:sz w:val="26"/>
          <w:szCs w:val="26"/>
          <w:rtl/>
        </w:rPr>
      </w:pPr>
      <w:r>
        <w:rPr>
          <w:rFonts w:cs="FrankRuehl"/>
          <w:b/>
          <w:bCs/>
          <w:sz w:val="26"/>
          <w:szCs w:val="26"/>
          <w:rtl/>
        </w:rPr>
        <w:t xml:space="preserve">סיבות מרכזיות בגינן נוצרו עודפים </w:t>
      </w:r>
      <w:proofErr w:type="spellStart"/>
      <w:r>
        <w:rPr>
          <w:rFonts w:cs="FrankRuehl"/>
          <w:b/>
          <w:bCs/>
          <w:sz w:val="26"/>
          <w:szCs w:val="26"/>
          <w:rtl/>
        </w:rPr>
        <w:t>בתכנית</w:t>
      </w:r>
      <w:proofErr w:type="spellEnd"/>
      <w:r>
        <w:rPr>
          <w:rFonts w:cs="FrankRuehl"/>
          <w:b/>
          <w:bCs/>
          <w:sz w:val="26"/>
          <w:szCs w:val="26"/>
          <w:rtl/>
        </w:rPr>
        <w:t>:</w:t>
      </w:r>
      <w:r>
        <w:rPr>
          <w:rFonts w:cs="FrankRuehl" w:hint="cs"/>
          <w:b/>
          <w:bCs/>
          <w:sz w:val="26"/>
          <w:szCs w:val="26"/>
        </w:rPr>
        <w:t xml:space="preserve"> </w:t>
      </w:r>
      <w:r>
        <w:rPr>
          <w:rFonts w:cs="FrankRuehl"/>
          <w:sz w:val="26"/>
          <w:szCs w:val="26"/>
          <w:rtl/>
        </w:rPr>
        <w:t>פעילות המכללות הטכנולוגיות מקבילה לשנת הלימודים האקדמית ואינה חופפת לשנת התקציב כך שרבות מההתחייבויות בשנת 2025 ישולמו למכללות במהלך שנת 2026 ועל כן נוצרו העודפים.</w:t>
      </w:r>
      <w:r>
        <w:rPr>
          <w:rFonts w:cs="FrankRuehl"/>
          <w:b/>
          <w:bCs/>
          <w:sz w:val="26"/>
          <w:szCs w:val="26"/>
          <w:rtl/>
        </w:rPr>
        <w:t xml:space="preserve"> </w:t>
      </w:r>
    </w:p>
    <w:p w14:paraId="4EED7A5F" w14:textId="77777777" w:rsidR="00E620D0" w:rsidRDefault="00E620D0" w:rsidP="00E620D0">
      <w:pPr>
        <w:jc w:val="both"/>
        <w:rPr>
          <w:rFonts w:cs="FrankRuehl"/>
          <w:sz w:val="26"/>
          <w:szCs w:val="26"/>
          <w:rtl/>
        </w:rPr>
      </w:pPr>
    </w:p>
    <w:p w14:paraId="077C765E" w14:textId="77777777" w:rsidR="00E620D0" w:rsidRDefault="00E620D0" w:rsidP="00E620D0">
      <w:pPr>
        <w:jc w:val="both"/>
        <w:rPr>
          <w:rFonts w:cs="FrankRuehl"/>
          <w:b/>
          <w:bCs/>
          <w:sz w:val="26"/>
          <w:szCs w:val="26"/>
          <w:rtl/>
        </w:rPr>
      </w:pPr>
      <w:r>
        <w:rPr>
          <w:rFonts w:cs="FrankRuehl"/>
          <w:b/>
          <w:bCs/>
          <w:sz w:val="26"/>
          <w:szCs w:val="26"/>
          <w:rtl/>
        </w:rPr>
        <w:t>תכנית 36-60-01 : מנהלת השירות האזרחי- לאומי – 48,416 אלפי ש"ח</w:t>
      </w:r>
    </w:p>
    <w:p w14:paraId="4CD59E2F" w14:textId="77777777" w:rsidR="00E620D0" w:rsidRDefault="00E620D0" w:rsidP="00E620D0">
      <w:pPr>
        <w:jc w:val="both"/>
        <w:rPr>
          <w:rFonts w:cs="FrankRuehl"/>
          <w:sz w:val="26"/>
          <w:szCs w:val="26"/>
          <w:rtl/>
        </w:rPr>
      </w:pPr>
      <w:r>
        <w:rPr>
          <w:rFonts w:cs="FrankRuehl"/>
          <w:b/>
          <w:bCs/>
          <w:sz w:val="26"/>
          <w:szCs w:val="26"/>
          <w:rtl/>
        </w:rPr>
        <w:t>תיאור התוכנית:</w:t>
      </w:r>
      <w:r>
        <w:rPr>
          <w:rFonts w:cs="FrankRuehl"/>
          <w:sz w:val="26"/>
          <w:szCs w:val="26"/>
          <w:rtl/>
        </w:rPr>
        <w:t xml:space="preserve"> רשות השירות האזרחי-לאומי פועלת כרגולטור על תחומי השירות האזרחי והשירות הלאומי, שבמסגרתם תורמים שנה או שנתיים מזמנם צעירות וצעירים, אזרחי מדינת ישראל מכל קבוצות האוכלוסייה אשר קיבלו פטור משירות ביטחון או שלא נקראו לגיוס (בני מיעוטים), בפעילות אזרחית לחיזוק החוסן החברתי שיש בה תועלת לחברה בכלל ולאוכלוסיות חלשות בפרט.</w:t>
      </w:r>
    </w:p>
    <w:p w14:paraId="3A224718" w14:textId="77777777" w:rsidR="00E620D0" w:rsidRDefault="00E620D0" w:rsidP="00E620D0">
      <w:pPr>
        <w:jc w:val="both"/>
        <w:rPr>
          <w:rFonts w:cs="FrankRuehl"/>
          <w:b/>
          <w:bCs/>
          <w:sz w:val="26"/>
          <w:szCs w:val="26"/>
          <w:rtl/>
        </w:rPr>
      </w:pPr>
      <w:r>
        <w:rPr>
          <w:rFonts w:cs="FrankRuehl"/>
          <w:b/>
          <w:bCs/>
          <w:sz w:val="26"/>
          <w:szCs w:val="26"/>
          <w:rtl/>
        </w:rPr>
        <w:t xml:space="preserve">סיבות מרכזיות בגינן נוצרו עודפים </w:t>
      </w:r>
      <w:proofErr w:type="spellStart"/>
      <w:r>
        <w:rPr>
          <w:rFonts w:cs="FrankRuehl"/>
          <w:b/>
          <w:bCs/>
          <w:sz w:val="26"/>
          <w:szCs w:val="26"/>
          <w:rtl/>
        </w:rPr>
        <w:t>בתכנית</w:t>
      </w:r>
      <w:proofErr w:type="spellEnd"/>
      <w:r>
        <w:rPr>
          <w:rFonts w:cs="FrankRuehl"/>
          <w:b/>
          <w:bCs/>
          <w:sz w:val="26"/>
          <w:szCs w:val="26"/>
          <w:rtl/>
        </w:rPr>
        <w:t>:</w:t>
      </w:r>
      <w:r>
        <w:rPr>
          <w:rFonts w:cs="FrankRuehl" w:hint="cs"/>
          <w:b/>
          <w:bCs/>
          <w:sz w:val="26"/>
          <w:szCs w:val="26"/>
        </w:rPr>
        <w:t xml:space="preserve"> </w:t>
      </w:r>
      <w:r>
        <w:rPr>
          <w:rFonts w:cs="FrankRuehl"/>
          <w:sz w:val="26"/>
          <w:szCs w:val="26"/>
          <w:rtl/>
        </w:rPr>
        <w:t xml:space="preserve">פעילות השירות הלאומי אינה חופפת לשנת התקציב, ההתחייבויות </w:t>
      </w:r>
      <w:proofErr w:type="spellStart"/>
      <w:r>
        <w:rPr>
          <w:rFonts w:cs="FrankRuehl"/>
          <w:sz w:val="26"/>
          <w:szCs w:val="26"/>
          <w:rtl/>
        </w:rPr>
        <w:t>בתכנית</w:t>
      </w:r>
      <w:proofErr w:type="spellEnd"/>
      <w:r>
        <w:rPr>
          <w:rFonts w:cs="FrankRuehl"/>
          <w:sz w:val="26"/>
          <w:szCs w:val="26"/>
          <w:rtl/>
        </w:rPr>
        <w:t xml:space="preserve"> זו הינן חוצות שנת תקציב, לרבות תקצוב תקנים של השירות הלאומי, תקצוב מערך ההיסעים, המגורים וההכשרות למתנדבי השירות.</w:t>
      </w:r>
    </w:p>
    <w:p w14:paraId="500E2B46" w14:textId="77777777" w:rsidR="00E620D0" w:rsidRDefault="00E620D0" w:rsidP="00E620D0">
      <w:pPr>
        <w:jc w:val="both"/>
        <w:rPr>
          <w:rFonts w:ascii="FrankRuehl" w:hAnsi="FrankRuehl" w:cs="FrankRuehl"/>
          <w:sz w:val="26"/>
          <w:szCs w:val="26"/>
          <w:rtl/>
        </w:rPr>
      </w:pPr>
    </w:p>
    <w:p w14:paraId="4A9F082D" w14:textId="77777777" w:rsidR="00E620D0" w:rsidRDefault="00E620D0" w:rsidP="00E620D0">
      <w:pPr>
        <w:jc w:val="both"/>
        <w:rPr>
          <w:rFonts w:ascii="FrankRuehl" w:hAnsi="FrankRuehl" w:cs="FrankRuehl"/>
          <w:sz w:val="26"/>
          <w:szCs w:val="26"/>
          <w:rtl/>
        </w:rPr>
      </w:pPr>
      <w:r w:rsidRPr="00E620D0">
        <w:rPr>
          <w:rFonts w:ascii="FrankRuehl" w:hAnsi="FrankRuehl" w:cs="FrankRuehl"/>
          <w:b/>
          <w:bCs/>
          <w:sz w:val="26"/>
          <w:szCs w:val="26"/>
          <w:rtl/>
        </w:rPr>
        <w:t xml:space="preserve">השפעה על </w:t>
      </w:r>
      <w:proofErr w:type="spellStart"/>
      <w:r w:rsidRPr="00E620D0">
        <w:rPr>
          <w:rFonts w:ascii="FrankRuehl" w:hAnsi="FrankRuehl" w:cs="FrankRuehl"/>
          <w:b/>
          <w:bCs/>
          <w:sz w:val="26"/>
          <w:szCs w:val="26"/>
          <w:rtl/>
        </w:rPr>
        <w:t>כח</w:t>
      </w:r>
      <w:proofErr w:type="spellEnd"/>
      <w:r w:rsidRPr="00E620D0">
        <w:rPr>
          <w:rFonts w:ascii="FrankRuehl" w:hAnsi="FrankRuehl" w:cs="FrankRuehl"/>
          <w:b/>
          <w:bCs/>
          <w:sz w:val="26"/>
          <w:szCs w:val="26"/>
          <w:rtl/>
        </w:rPr>
        <w:t xml:space="preserve"> אדם:</w:t>
      </w:r>
      <w:r>
        <w:rPr>
          <w:rFonts w:ascii="FrankRuehl" w:hAnsi="FrankRuehl" w:cs="FrankRuehl"/>
          <w:sz w:val="26"/>
          <w:szCs w:val="26"/>
          <w:rtl/>
        </w:rPr>
        <w:t xml:space="preserve"> אין</w:t>
      </w:r>
    </w:p>
    <w:bookmarkEnd w:id="12"/>
    <w:p w14:paraId="520987D4" w14:textId="77777777" w:rsidR="00E620D0" w:rsidRDefault="00E620D0" w:rsidP="00E620D0">
      <w:pPr>
        <w:jc w:val="both"/>
        <w:rPr>
          <w:rFonts w:cs="FrankRuehl"/>
          <w:sz w:val="26"/>
          <w:szCs w:val="26"/>
          <w:rtl/>
        </w:rPr>
      </w:pPr>
    </w:p>
    <w:p w14:paraId="2D7677BB" w14:textId="77777777" w:rsidR="0051496B" w:rsidRPr="000A3FA0" w:rsidRDefault="0051496B" w:rsidP="00E620D0">
      <w:pPr>
        <w:jc w:val="both"/>
        <w:rPr>
          <w:rFonts w:cs="FrankRuehl"/>
          <w:sz w:val="26"/>
          <w:szCs w:val="26"/>
          <w:rtl/>
        </w:rPr>
      </w:pPr>
      <w:r w:rsidRPr="000A3FA0">
        <w:rPr>
          <w:rFonts w:cs="FrankRuehl"/>
          <w:sz w:val="26"/>
          <w:szCs w:val="26"/>
          <w:rtl/>
        </w:rPr>
        <w:t>האישור ייכנס לתקפו, אם לא יעוכב ע"י ועדת הכספים של הכנסת, לאחר 21 יום מתאריך מכתב זה.</w:t>
      </w:r>
    </w:p>
    <w:p w14:paraId="34DC12FB" w14:textId="77777777" w:rsidR="0051496B" w:rsidRPr="000A3FA0" w:rsidRDefault="0051496B" w:rsidP="00A6761F">
      <w:pPr>
        <w:jc w:val="both"/>
        <w:rPr>
          <w:rFonts w:cs="FrankRuehl"/>
          <w:sz w:val="26"/>
          <w:szCs w:val="26"/>
          <w:rtl/>
        </w:rPr>
      </w:pPr>
    </w:p>
    <w:p w14:paraId="79D0FD0C" w14:textId="77777777" w:rsidR="0051496B" w:rsidRPr="000A3FA0" w:rsidRDefault="0051496B" w:rsidP="00A6761F">
      <w:pPr>
        <w:jc w:val="both"/>
        <w:rPr>
          <w:rFonts w:cs="FrankRuehl"/>
          <w:sz w:val="26"/>
          <w:szCs w:val="26"/>
          <w:rtl/>
        </w:rPr>
      </w:pPr>
    </w:p>
    <w:p w14:paraId="6188BBB4" w14:textId="77777777" w:rsidR="0051496B" w:rsidRPr="000A3FA0" w:rsidRDefault="0051496B" w:rsidP="00AC0FB8">
      <w:pPr>
        <w:tabs>
          <w:tab w:val="left" w:pos="6416"/>
          <w:tab w:val="center" w:pos="6867"/>
        </w:tabs>
        <w:rPr>
          <w:rFonts w:cs="FrankRuehl"/>
          <w:sz w:val="26"/>
          <w:szCs w:val="26"/>
          <w:rtl/>
        </w:rPr>
      </w:pPr>
      <w:r w:rsidRPr="000A3FA0">
        <w:rPr>
          <w:rFonts w:cs="FrankRuehl"/>
          <w:sz w:val="26"/>
          <w:szCs w:val="26"/>
          <w:rtl/>
        </w:rPr>
        <w:tab/>
      </w:r>
      <w:r w:rsidR="00AC0FB8">
        <w:rPr>
          <w:rFonts w:cs="FrankRuehl"/>
          <w:sz w:val="26"/>
          <w:szCs w:val="26"/>
          <w:rtl/>
        </w:rPr>
        <w:tab/>
      </w:r>
      <w:r w:rsidRPr="000A3FA0">
        <w:rPr>
          <w:rFonts w:cs="FrankRuehl"/>
          <w:sz w:val="26"/>
          <w:szCs w:val="26"/>
          <w:rtl/>
        </w:rPr>
        <w:t>בכבוד רב,</w:t>
      </w:r>
    </w:p>
    <w:p w14:paraId="5595DC74" w14:textId="77777777" w:rsidR="0051496B" w:rsidRDefault="0051496B">
      <w:pPr>
        <w:tabs>
          <w:tab w:val="center" w:pos="6867"/>
        </w:tabs>
        <w:rPr>
          <w:rFonts w:cs="FrankRuehl"/>
          <w:sz w:val="26"/>
          <w:szCs w:val="26"/>
          <w:rtl/>
        </w:rPr>
      </w:pPr>
    </w:p>
    <w:p w14:paraId="713735D7" w14:textId="77777777" w:rsidR="00AC0FB8" w:rsidRPr="000A3FA0" w:rsidRDefault="00AC0FB8">
      <w:pPr>
        <w:tabs>
          <w:tab w:val="center" w:pos="6867"/>
        </w:tabs>
        <w:rPr>
          <w:rFonts w:cs="FrankRuehl"/>
          <w:sz w:val="26"/>
          <w:szCs w:val="26"/>
        </w:rPr>
      </w:pPr>
      <w:r>
        <w:rPr>
          <w:rFonts w:cs="FrankRuehl"/>
          <w:sz w:val="26"/>
          <w:szCs w:val="26"/>
          <w:rtl/>
        </w:rPr>
        <w:lastRenderedPageBreak/>
        <w:tab/>
      </w:r>
      <w:bookmarkStart w:id="13" w:name="Sign_Image"/>
      <w:bookmarkEnd w:id="13"/>
    </w:p>
    <w:p w14:paraId="6E1961ED" w14:textId="77777777" w:rsidR="0051496B" w:rsidRPr="000A3FA0" w:rsidRDefault="0051496B">
      <w:pPr>
        <w:tabs>
          <w:tab w:val="center" w:pos="6867"/>
        </w:tabs>
        <w:rPr>
          <w:rFonts w:cs="FrankRuehl"/>
          <w:sz w:val="26"/>
          <w:szCs w:val="26"/>
          <w:rtl/>
        </w:rPr>
      </w:pPr>
    </w:p>
    <w:p w14:paraId="5ECEC5CB" w14:textId="77777777" w:rsidR="0051496B" w:rsidRPr="000A3FA0" w:rsidRDefault="0051496B">
      <w:pPr>
        <w:tabs>
          <w:tab w:val="center" w:pos="6867"/>
        </w:tabs>
        <w:rPr>
          <w:rFonts w:cs="FrankRuehl"/>
          <w:sz w:val="26"/>
          <w:szCs w:val="26"/>
        </w:rPr>
      </w:pPr>
      <w:r w:rsidRPr="000A3FA0">
        <w:rPr>
          <w:rFonts w:cs="FrankRuehl"/>
          <w:sz w:val="26"/>
          <w:szCs w:val="26"/>
          <w:rtl/>
        </w:rPr>
        <w:tab/>
      </w:r>
    </w:p>
    <w:p w14:paraId="3D86F0F6" w14:textId="77777777" w:rsidR="0051496B" w:rsidRPr="000A3FA0" w:rsidRDefault="0051496B" w:rsidP="000062C3">
      <w:pPr>
        <w:tabs>
          <w:tab w:val="center" w:pos="6867"/>
        </w:tabs>
        <w:rPr>
          <w:rFonts w:cs="FrankRuehl"/>
          <w:sz w:val="26"/>
          <w:szCs w:val="26"/>
          <w:rtl/>
        </w:rPr>
      </w:pPr>
      <w:r w:rsidRPr="000A3FA0">
        <w:rPr>
          <w:rFonts w:cs="FrankRuehl"/>
          <w:sz w:val="26"/>
          <w:szCs w:val="26"/>
          <w:rtl/>
        </w:rPr>
        <w:tab/>
      </w:r>
    </w:p>
    <w:p w14:paraId="7CD6DCA3" w14:textId="77777777" w:rsidR="0051496B" w:rsidRPr="000A3FA0" w:rsidRDefault="0051496B">
      <w:pPr>
        <w:rPr>
          <w:rFonts w:cs="FrankRuehl"/>
          <w:sz w:val="26"/>
          <w:szCs w:val="26"/>
          <w:rtl/>
        </w:rPr>
      </w:pPr>
    </w:p>
    <w:p w14:paraId="59DB6029" w14:textId="77777777" w:rsidR="0051496B" w:rsidRPr="000A3FA0" w:rsidRDefault="0051496B">
      <w:pPr>
        <w:rPr>
          <w:rFonts w:cs="FrankRuehl"/>
          <w:sz w:val="26"/>
          <w:szCs w:val="26"/>
          <w:rtl/>
        </w:rPr>
      </w:pPr>
      <w:r w:rsidRPr="000A3FA0">
        <w:rPr>
          <w:rFonts w:cs="FrankRuehl"/>
          <w:sz w:val="26"/>
          <w:szCs w:val="26"/>
          <w:rtl/>
        </w:rPr>
        <w:t>העתק:</w:t>
      </w:r>
    </w:p>
    <w:p w14:paraId="5004E3FA" w14:textId="77777777" w:rsidR="0051496B" w:rsidRPr="000A3FA0" w:rsidRDefault="0051496B">
      <w:pPr>
        <w:rPr>
          <w:rFonts w:cs="FrankRuehl"/>
          <w:sz w:val="26"/>
          <w:szCs w:val="26"/>
          <w:rtl/>
        </w:rPr>
      </w:pPr>
      <w:r w:rsidRPr="000A3FA0">
        <w:rPr>
          <w:rFonts w:cs="FrankRuehl"/>
          <w:sz w:val="26"/>
          <w:szCs w:val="26"/>
          <w:rtl/>
        </w:rPr>
        <w:t>החשב הכללי</w:t>
      </w:r>
    </w:p>
    <w:p w14:paraId="66AADAEA" w14:textId="77777777" w:rsidR="0051496B" w:rsidRPr="000A3FA0" w:rsidRDefault="0051496B">
      <w:pPr>
        <w:rPr>
          <w:rFonts w:cs="FrankRuehl"/>
          <w:sz w:val="26"/>
          <w:szCs w:val="26"/>
          <w:rtl/>
        </w:rPr>
      </w:pPr>
      <w:r w:rsidRPr="000A3FA0">
        <w:rPr>
          <w:rFonts w:cs="FrankRuehl"/>
          <w:sz w:val="26"/>
          <w:szCs w:val="26"/>
          <w:rtl/>
        </w:rPr>
        <w:t>מבקר המדינה (2)</w:t>
      </w:r>
    </w:p>
    <w:p w14:paraId="26D2E24C" w14:textId="77777777" w:rsidR="009927FC" w:rsidRDefault="009927FC">
      <w:pPr>
        <w:rPr>
          <w:rFonts w:cs="FrankRuehl"/>
          <w:sz w:val="26"/>
          <w:szCs w:val="26"/>
          <w:rtl/>
        </w:rPr>
      </w:pPr>
      <w:bookmarkStart w:id="14" w:name="TAKZIV22"/>
      <w:r>
        <w:rPr>
          <w:rFonts w:cs="FrankRuehl"/>
          <w:sz w:val="26"/>
          <w:szCs w:val="26"/>
          <w:rtl/>
        </w:rPr>
        <w:t>חשב זרוע עבודה - משרד הכלכלה</w:t>
      </w:r>
    </w:p>
    <w:p w14:paraId="5387C98E" w14:textId="77777777" w:rsidR="009927FC" w:rsidRDefault="009927FC">
      <w:pPr>
        <w:rPr>
          <w:rFonts w:cs="FrankRuehl"/>
          <w:sz w:val="26"/>
          <w:szCs w:val="26"/>
          <w:rtl/>
        </w:rPr>
      </w:pPr>
      <w:r>
        <w:rPr>
          <w:rFonts w:cs="FrankRuehl"/>
          <w:sz w:val="26"/>
          <w:szCs w:val="26"/>
          <w:rtl/>
        </w:rPr>
        <w:t>חשב שירות התעסוקה</w:t>
      </w:r>
    </w:p>
    <w:p w14:paraId="439D2ED4" w14:textId="4EA3161A" w:rsidR="0051496B" w:rsidRPr="000A3FA0" w:rsidRDefault="009927FC">
      <w:pPr>
        <w:rPr>
          <w:rFonts w:cs="FrankRuehl"/>
          <w:sz w:val="26"/>
          <w:szCs w:val="26"/>
          <w:rtl/>
        </w:rPr>
      </w:pPr>
      <w:r>
        <w:rPr>
          <w:rFonts w:cs="FrankRuehl"/>
          <w:sz w:val="26"/>
          <w:szCs w:val="26"/>
          <w:rtl/>
        </w:rPr>
        <w:t>חשב הרשות לשירות לאומי אזרחי</w:t>
      </w:r>
      <w:bookmarkEnd w:id="14"/>
      <w:r w:rsidR="0051496B" w:rsidRPr="000A3FA0">
        <w:rPr>
          <w:rFonts w:cs="FrankRuehl"/>
          <w:sz w:val="26"/>
          <w:szCs w:val="26"/>
          <w:rtl/>
        </w:rPr>
        <w:t xml:space="preserve"> </w:t>
      </w:r>
    </w:p>
    <w:p w14:paraId="001A6378" w14:textId="0714B387" w:rsidR="0051496B" w:rsidRPr="000A3FA0" w:rsidRDefault="0051496B">
      <w:pPr>
        <w:rPr>
          <w:rFonts w:cs="FrankRuehl"/>
          <w:sz w:val="26"/>
          <w:szCs w:val="26"/>
          <w:rtl/>
        </w:rPr>
      </w:pPr>
      <w:r w:rsidRPr="000A3FA0">
        <w:rPr>
          <w:rFonts w:cs="FrankRuehl"/>
          <w:sz w:val="26"/>
          <w:szCs w:val="26"/>
          <w:rtl/>
        </w:rPr>
        <w:t xml:space="preserve">קצין תקציבים </w:t>
      </w:r>
      <w:bookmarkStart w:id="15" w:name="TAKZIV6"/>
      <w:r w:rsidR="009927FC">
        <w:rPr>
          <w:rFonts w:cs="FrankRuehl"/>
          <w:sz w:val="26"/>
          <w:szCs w:val="26"/>
          <w:rtl/>
        </w:rPr>
        <w:t>תעסוקה</w:t>
      </w:r>
      <w:bookmarkEnd w:id="15"/>
    </w:p>
    <w:p w14:paraId="0F66AE04" w14:textId="40380867" w:rsidR="0051496B" w:rsidRPr="000A3FA0" w:rsidRDefault="0051496B">
      <w:pPr>
        <w:rPr>
          <w:rFonts w:cs="FrankRuehl"/>
          <w:sz w:val="26"/>
          <w:szCs w:val="26"/>
          <w:rtl/>
        </w:rPr>
      </w:pPr>
      <w:r w:rsidRPr="000A3FA0">
        <w:rPr>
          <w:rFonts w:cs="FrankRuehl"/>
          <w:sz w:val="26"/>
          <w:szCs w:val="26"/>
          <w:rtl/>
        </w:rPr>
        <w:t xml:space="preserve">רפרנט </w:t>
      </w:r>
      <w:bookmarkStart w:id="16" w:name="TAKZIV6_1"/>
      <w:r w:rsidR="009927FC">
        <w:rPr>
          <w:rFonts w:cs="FrankRuehl"/>
          <w:sz w:val="26"/>
          <w:szCs w:val="26"/>
          <w:rtl/>
        </w:rPr>
        <w:t>תעסוקה</w:t>
      </w:r>
      <w:bookmarkEnd w:id="16"/>
    </w:p>
    <w:p w14:paraId="712E8480" w14:textId="77777777" w:rsidR="0051496B" w:rsidRPr="000A3FA0" w:rsidRDefault="0051496B">
      <w:pPr>
        <w:rPr>
          <w:rFonts w:cs="FrankRuehl"/>
          <w:sz w:val="26"/>
          <w:szCs w:val="26"/>
          <w:rtl/>
        </w:rPr>
      </w:pPr>
      <w:bookmarkStart w:id="17" w:name="TAKZIV23"/>
      <w:bookmarkEnd w:id="17"/>
    </w:p>
    <w:p w14:paraId="209E21C9" w14:textId="77777777" w:rsidR="0051496B" w:rsidRPr="000A3FA0" w:rsidRDefault="0051496B">
      <w:pPr>
        <w:rPr>
          <w:rFonts w:cs="FrankRuehl"/>
          <w:sz w:val="26"/>
          <w:szCs w:val="26"/>
          <w:rtl/>
        </w:rPr>
      </w:pPr>
    </w:p>
    <w:p w14:paraId="6D82EEAA" w14:textId="0E7E1016" w:rsidR="0051496B" w:rsidRDefault="0051496B">
      <w:pPr>
        <w:rPr>
          <w:rFonts w:cs="FrankRuehl"/>
          <w:sz w:val="26"/>
          <w:szCs w:val="26"/>
          <w:rtl/>
        </w:rPr>
      </w:pPr>
      <w:bookmarkStart w:id="18" w:name="TAKZIV25"/>
      <w:bookmarkEnd w:id="18"/>
    </w:p>
    <w:p w14:paraId="153BE354" w14:textId="34AAD8C5" w:rsidR="008D023D" w:rsidRDefault="008D023D">
      <w:pPr>
        <w:rPr>
          <w:rFonts w:cs="FrankRuehl"/>
          <w:sz w:val="26"/>
          <w:szCs w:val="26"/>
          <w:rtl/>
        </w:rPr>
      </w:pPr>
    </w:p>
    <w:p w14:paraId="194AC9C5" w14:textId="652B59FD" w:rsidR="008D023D" w:rsidRDefault="008D023D">
      <w:pPr>
        <w:rPr>
          <w:rFonts w:cs="FrankRuehl"/>
          <w:sz w:val="26"/>
          <w:szCs w:val="26"/>
          <w:rtl/>
        </w:rPr>
      </w:pPr>
    </w:p>
    <w:p w14:paraId="4B282D6E" w14:textId="5F63ABBA" w:rsidR="008D023D" w:rsidRDefault="008D023D">
      <w:pPr>
        <w:rPr>
          <w:rFonts w:cs="FrankRuehl"/>
          <w:sz w:val="26"/>
          <w:szCs w:val="26"/>
          <w:rtl/>
        </w:rPr>
      </w:pPr>
    </w:p>
    <w:p w14:paraId="0DBFE573" w14:textId="15D22F51" w:rsidR="008D023D" w:rsidRDefault="008D023D">
      <w:pPr>
        <w:rPr>
          <w:rFonts w:cs="FrankRuehl"/>
          <w:sz w:val="26"/>
          <w:szCs w:val="26"/>
          <w:rtl/>
        </w:rPr>
      </w:pPr>
    </w:p>
    <w:p w14:paraId="3B6DF54B" w14:textId="046800F0" w:rsidR="008D023D" w:rsidRDefault="008D023D">
      <w:pPr>
        <w:rPr>
          <w:rFonts w:cs="FrankRuehl"/>
          <w:sz w:val="26"/>
          <w:szCs w:val="26"/>
          <w:rtl/>
        </w:rPr>
      </w:pPr>
    </w:p>
    <w:p w14:paraId="24F89DA1" w14:textId="70C3E3EE" w:rsidR="008D023D" w:rsidRDefault="008D023D">
      <w:pPr>
        <w:rPr>
          <w:rFonts w:cs="FrankRuehl"/>
          <w:sz w:val="26"/>
          <w:szCs w:val="26"/>
          <w:rtl/>
        </w:rPr>
      </w:pPr>
    </w:p>
    <w:p w14:paraId="260C1560" w14:textId="389CDDB7" w:rsidR="008D023D" w:rsidRDefault="008D023D">
      <w:pPr>
        <w:rPr>
          <w:rFonts w:cs="FrankRuehl"/>
          <w:sz w:val="26"/>
          <w:szCs w:val="26"/>
          <w:rtl/>
        </w:rPr>
      </w:pPr>
    </w:p>
    <w:p w14:paraId="74F28726" w14:textId="1737BC8F" w:rsidR="008D023D" w:rsidRDefault="008D023D">
      <w:pPr>
        <w:rPr>
          <w:rFonts w:cs="FrankRuehl"/>
          <w:sz w:val="26"/>
          <w:szCs w:val="26"/>
          <w:rtl/>
        </w:rPr>
      </w:pPr>
    </w:p>
    <w:p w14:paraId="50498840" w14:textId="2FFCD1F9" w:rsidR="008D023D" w:rsidRDefault="008D023D">
      <w:pPr>
        <w:rPr>
          <w:rFonts w:cs="FrankRuehl"/>
          <w:sz w:val="26"/>
          <w:szCs w:val="26"/>
          <w:rtl/>
        </w:rPr>
      </w:pPr>
    </w:p>
    <w:p w14:paraId="11100551" w14:textId="2EA8AF52" w:rsidR="008D023D" w:rsidRDefault="008D023D">
      <w:pPr>
        <w:rPr>
          <w:rFonts w:cs="FrankRuehl"/>
          <w:sz w:val="26"/>
          <w:szCs w:val="26"/>
          <w:rtl/>
        </w:rPr>
      </w:pPr>
    </w:p>
    <w:p w14:paraId="185AADCA" w14:textId="69C9DF6B" w:rsidR="008D023D" w:rsidRDefault="008D023D">
      <w:pPr>
        <w:rPr>
          <w:rFonts w:cs="FrankRuehl"/>
          <w:sz w:val="26"/>
          <w:szCs w:val="26"/>
          <w:rtl/>
        </w:rPr>
      </w:pPr>
    </w:p>
    <w:p w14:paraId="008CFF31" w14:textId="3C269CD2" w:rsidR="008D023D" w:rsidRDefault="008D023D">
      <w:pPr>
        <w:rPr>
          <w:rFonts w:cs="FrankRuehl"/>
          <w:sz w:val="26"/>
          <w:szCs w:val="26"/>
          <w:rtl/>
        </w:rPr>
      </w:pPr>
    </w:p>
    <w:p w14:paraId="305AE99A" w14:textId="2AC07890" w:rsidR="008D023D" w:rsidRDefault="008D023D">
      <w:pPr>
        <w:rPr>
          <w:rFonts w:cs="FrankRuehl"/>
          <w:sz w:val="26"/>
          <w:szCs w:val="26"/>
          <w:rtl/>
        </w:rPr>
      </w:pPr>
    </w:p>
    <w:p w14:paraId="34DDE7F5" w14:textId="40186BF5" w:rsidR="008D023D" w:rsidRDefault="008D023D">
      <w:pPr>
        <w:rPr>
          <w:rFonts w:cs="FrankRuehl"/>
          <w:sz w:val="26"/>
          <w:szCs w:val="26"/>
          <w:rtl/>
        </w:rPr>
      </w:pPr>
    </w:p>
    <w:p w14:paraId="03F27A90" w14:textId="085490A7" w:rsidR="008D023D" w:rsidRDefault="008D023D">
      <w:pPr>
        <w:rPr>
          <w:rFonts w:cs="FrankRuehl"/>
          <w:sz w:val="26"/>
          <w:szCs w:val="26"/>
          <w:rtl/>
        </w:rPr>
      </w:pPr>
    </w:p>
    <w:p w14:paraId="2F3DFBD5" w14:textId="77F2F7D0" w:rsidR="008D023D" w:rsidRDefault="008D023D">
      <w:pPr>
        <w:rPr>
          <w:rFonts w:cs="FrankRuehl"/>
          <w:sz w:val="26"/>
          <w:szCs w:val="26"/>
          <w:rtl/>
        </w:rPr>
      </w:pPr>
    </w:p>
    <w:p w14:paraId="3F19D3CF" w14:textId="5CDF7FBE" w:rsidR="008D023D" w:rsidRDefault="008D023D">
      <w:pPr>
        <w:rPr>
          <w:rFonts w:cs="FrankRuehl"/>
          <w:sz w:val="26"/>
          <w:szCs w:val="26"/>
          <w:rtl/>
        </w:rPr>
      </w:pPr>
    </w:p>
    <w:p w14:paraId="05348A2C" w14:textId="4BA56DE9" w:rsidR="008D023D" w:rsidRDefault="008D023D">
      <w:pPr>
        <w:rPr>
          <w:rFonts w:cs="FrankRuehl"/>
          <w:sz w:val="26"/>
          <w:szCs w:val="26"/>
          <w:rtl/>
        </w:rPr>
      </w:pPr>
    </w:p>
    <w:p w14:paraId="247658C4" w14:textId="6B3817DD" w:rsidR="008D023D" w:rsidRDefault="008D023D">
      <w:pPr>
        <w:rPr>
          <w:rFonts w:cs="FrankRuehl"/>
          <w:sz w:val="26"/>
          <w:szCs w:val="26"/>
          <w:rtl/>
        </w:rPr>
      </w:pPr>
    </w:p>
    <w:p w14:paraId="61F8701F" w14:textId="12F23267" w:rsidR="008D023D" w:rsidRDefault="008D023D">
      <w:pPr>
        <w:rPr>
          <w:rFonts w:cs="FrankRuehl"/>
          <w:sz w:val="26"/>
          <w:szCs w:val="26"/>
          <w:rtl/>
        </w:rPr>
      </w:pPr>
    </w:p>
    <w:p w14:paraId="7084446D" w14:textId="1D41ED7B" w:rsidR="008D023D" w:rsidRDefault="008D023D">
      <w:pPr>
        <w:rPr>
          <w:rFonts w:cs="FrankRuehl"/>
          <w:sz w:val="26"/>
          <w:szCs w:val="26"/>
          <w:rtl/>
        </w:rPr>
      </w:pPr>
    </w:p>
    <w:p w14:paraId="0540401C" w14:textId="0CE81D09" w:rsidR="008D023D" w:rsidRDefault="008D023D">
      <w:pPr>
        <w:rPr>
          <w:rFonts w:cs="FrankRuehl"/>
          <w:sz w:val="26"/>
          <w:szCs w:val="26"/>
          <w:rtl/>
        </w:rPr>
      </w:pPr>
    </w:p>
    <w:p w14:paraId="3FAE91D9" w14:textId="271E18C9" w:rsidR="008D023D" w:rsidRDefault="008D023D">
      <w:pPr>
        <w:rPr>
          <w:rFonts w:cs="FrankRuehl"/>
          <w:sz w:val="26"/>
          <w:szCs w:val="26"/>
          <w:rtl/>
        </w:rPr>
      </w:pPr>
    </w:p>
    <w:p w14:paraId="48A9A086" w14:textId="2E8015CA" w:rsidR="008D023D" w:rsidRDefault="008D023D">
      <w:pPr>
        <w:rPr>
          <w:rFonts w:cs="FrankRuehl"/>
          <w:sz w:val="26"/>
          <w:szCs w:val="26"/>
          <w:rtl/>
        </w:rPr>
      </w:pPr>
    </w:p>
    <w:p w14:paraId="02D0A973" w14:textId="1A0143B2" w:rsidR="008D023D" w:rsidRDefault="008D023D">
      <w:pPr>
        <w:rPr>
          <w:rFonts w:cs="FrankRuehl"/>
          <w:sz w:val="26"/>
          <w:szCs w:val="26"/>
          <w:rtl/>
        </w:rPr>
      </w:pPr>
    </w:p>
    <w:p w14:paraId="3D8ECFDE" w14:textId="2AC95E14" w:rsidR="008D023D" w:rsidRDefault="008D023D">
      <w:pPr>
        <w:rPr>
          <w:rFonts w:cs="FrankRuehl"/>
          <w:sz w:val="26"/>
          <w:szCs w:val="26"/>
          <w:rtl/>
        </w:rPr>
      </w:pPr>
    </w:p>
    <w:p w14:paraId="0A2AE45C" w14:textId="2A874EA7" w:rsidR="008D023D" w:rsidRDefault="008D023D">
      <w:pPr>
        <w:rPr>
          <w:rFonts w:cs="FrankRuehl"/>
          <w:sz w:val="26"/>
          <w:szCs w:val="26"/>
          <w:rtl/>
        </w:rPr>
      </w:pPr>
    </w:p>
    <w:p w14:paraId="23E11D1C" w14:textId="0E2676BE" w:rsidR="008D023D" w:rsidRDefault="008D023D">
      <w:pPr>
        <w:rPr>
          <w:rFonts w:cs="FrankRuehl"/>
          <w:sz w:val="26"/>
          <w:szCs w:val="26"/>
          <w:rtl/>
        </w:rPr>
      </w:pPr>
    </w:p>
    <w:p w14:paraId="74A61A02" w14:textId="2340A767" w:rsidR="008D023D" w:rsidRDefault="008D023D">
      <w:pPr>
        <w:rPr>
          <w:rFonts w:cs="FrankRuehl"/>
          <w:sz w:val="26"/>
          <w:szCs w:val="26"/>
          <w:rtl/>
        </w:rPr>
      </w:pPr>
    </w:p>
    <w:p w14:paraId="0262EAD2" w14:textId="27D729F2" w:rsidR="008D023D" w:rsidRDefault="008D023D">
      <w:pPr>
        <w:rPr>
          <w:rFonts w:cs="FrankRuehl"/>
          <w:sz w:val="26"/>
          <w:szCs w:val="26"/>
          <w:rtl/>
        </w:rPr>
      </w:pPr>
    </w:p>
    <w:p w14:paraId="0470F07A" w14:textId="7BC62E57" w:rsidR="008D023D" w:rsidRDefault="008D023D">
      <w:pPr>
        <w:rPr>
          <w:rFonts w:cs="FrankRuehl"/>
          <w:sz w:val="26"/>
          <w:szCs w:val="26"/>
          <w:rtl/>
        </w:rPr>
      </w:pPr>
    </w:p>
    <w:p w14:paraId="7CECBE61" w14:textId="21509C55" w:rsidR="008D023D" w:rsidRDefault="008D023D">
      <w:pPr>
        <w:rPr>
          <w:rFonts w:cs="FrankRuehl"/>
          <w:sz w:val="26"/>
          <w:szCs w:val="26"/>
          <w:rtl/>
        </w:rPr>
      </w:pPr>
    </w:p>
    <w:p w14:paraId="2C8A1D8E" w14:textId="499C9EA9" w:rsidR="008D023D" w:rsidRDefault="008D023D">
      <w:pPr>
        <w:rPr>
          <w:rFonts w:cs="FrankRuehl"/>
          <w:sz w:val="26"/>
          <w:szCs w:val="26"/>
          <w:rtl/>
        </w:rPr>
      </w:pPr>
    </w:p>
    <w:p w14:paraId="187F9D94" w14:textId="72CCE49E" w:rsidR="008D023D" w:rsidRDefault="008D023D">
      <w:pPr>
        <w:rPr>
          <w:rFonts w:cs="FrankRuehl"/>
          <w:sz w:val="26"/>
          <w:szCs w:val="26"/>
          <w:rtl/>
        </w:rPr>
      </w:pPr>
    </w:p>
    <w:p w14:paraId="396B87E5" w14:textId="6D4937D4" w:rsidR="008D023D" w:rsidRDefault="008D023D">
      <w:pPr>
        <w:rPr>
          <w:rFonts w:cs="FrankRuehl"/>
          <w:sz w:val="26"/>
          <w:szCs w:val="26"/>
          <w:rtl/>
        </w:rPr>
      </w:pPr>
    </w:p>
    <w:p w14:paraId="2CEF9F7A" w14:textId="7FC5CEAD" w:rsidR="008D023D" w:rsidRDefault="008D023D">
      <w:pPr>
        <w:rPr>
          <w:rFonts w:cs="FrankRuehl"/>
          <w:sz w:val="26"/>
          <w:szCs w:val="26"/>
          <w:rtl/>
        </w:rPr>
      </w:pPr>
    </w:p>
    <w:p w14:paraId="1EA589D7" w14:textId="77777777" w:rsidR="008D023D" w:rsidRDefault="008D023D" w:rsidP="008D023D">
      <w:pPr>
        <w:jc w:val="center"/>
        <w:rPr>
          <w:rFonts w:cs="FrankRuehl"/>
          <w:b/>
          <w:bCs/>
          <w:sz w:val="26"/>
          <w:szCs w:val="26"/>
          <w:u w:val="single"/>
        </w:rPr>
      </w:pPr>
      <w:r>
        <w:rPr>
          <w:rFonts w:cs="FrankRuehl"/>
          <w:b/>
          <w:bCs/>
          <w:sz w:val="26"/>
          <w:szCs w:val="26"/>
          <w:u w:val="single"/>
          <w:rtl/>
        </w:rPr>
        <w:lastRenderedPageBreak/>
        <w:t>נספח לדברי ההסבר</w:t>
      </w:r>
    </w:p>
    <w:p w14:paraId="4FA5BE5E" w14:textId="77777777" w:rsidR="008D023D" w:rsidRDefault="008D023D" w:rsidP="008D023D">
      <w:pPr>
        <w:jc w:val="center"/>
        <w:rPr>
          <w:rFonts w:cs="FrankRuehl"/>
          <w:b/>
          <w:bCs/>
          <w:sz w:val="26"/>
          <w:szCs w:val="26"/>
          <w:u w:val="single"/>
          <w:rtl/>
        </w:rPr>
      </w:pPr>
    </w:p>
    <w:p w14:paraId="2484FE02" w14:textId="77777777" w:rsidR="008D023D" w:rsidRDefault="008D023D" w:rsidP="008D023D">
      <w:pPr>
        <w:jc w:val="center"/>
        <w:rPr>
          <w:rFonts w:cs="FrankRuehl"/>
          <w:b/>
          <w:bCs/>
          <w:sz w:val="26"/>
          <w:szCs w:val="26"/>
          <w:rtl/>
        </w:rPr>
      </w:pPr>
      <w:r>
        <w:rPr>
          <w:rFonts w:cs="FrankRuehl"/>
          <w:b/>
          <w:bCs/>
          <w:sz w:val="26"/>
          <w:szCs w:val="26"/>
          <w:rtl/>
        </w:rPr>
        <w:t>היסטוריה תקציבית של הפנייה</w:t>
      </w:r>
    </w:p>
    <w:p w14:paraId="6296CE5D" w14:textId="1797F886" w:rsidR="008D023D" w:rsidRDefault="008D023D">
      <w:pPr>
        <w:rPr>
          <w:rFonts w:cs="FrankRuehl"/>
          <w:sz w:val="26"/>
          <w:szCs w:val="26"/>
          <w:rtl/>
        </w:rPr>
      </w:pPr>
    </w:p>
    <w:tbl>
      <w:tblPr>
        <w:tblW w:w="5000" w:type="pct"/>
        <w:tblLook w:val="04A0" w:firstRow="1" w:lastRow="0" w:firstColumn="1" w:lastColumn="0" w:noHBand="0" w:noVBand="1"/>
      </w:tblPr>
      <w:tblGrid>
        <w:gridCol w:w="1650"/>
        <w:gridCol w:w="1894"/>
        <w:gridCol w:w="1650"/>
        <w:gridCol w:w="1650"/>
        <w:gridCol w:w="1679"/>
      </w:tblGrid>
      <w:tr w:rsidR="008D023D" w:rsidRPr="008D023D" w14:paraId="41275021" w14:textId="77777777" w:rsidTr="008D023D">
        <w:trPr>
          <w:trHeight w:val="675"/>
        </w:trPr>
        <w:tc>
          <w:tcPr>
            <w:tcW w:w="968" w:type="pct"/>
            <w:tcBorders>
              <w:top w:val="single" w:sz="4" w:space="0" w:color="979991"/>
              <w:left w:val="single" w:sz="4" w:space="0" w:color="979991"/>
              <w:bottom w:val="nil"/>
              <w:right w:val="nil"/>
            </w:tcBorders>
            <w:shd w:val="clear" w:color="000000" w:fill="F0F4FA"/>
            <w:vAlign w:val="center"/>
            <w:hideMark/>
          </w:tcPr>
          <w:p w14:paraId="76CA47CD" w14:textId="77777777" w:rsidR="008D023D" w:rsidRPr="008D023D" w:rsidRDefault="008D023D" w:rsidP="008D023D">
            <w:pPr>
              <w:overflowPunct/>
              <w:autoSpaceDE/>
              <w:autoSpaceDN/>
              <w:adjustRightInd/>
              <w:jc w:val="center"/>
              <w:textAlignment w:val="auto"/>
              <w:rPr>
                <w:rFonts w:ascii="Calibri" w:hAnsi="Calibri" w:cs="Calibri"/>
                <w:b/>
                <w:bCs/>
                <w:color w:val="000000"/>
                <w:sz w:val="16"/>
                <w:szCs w:val="16"/>
                <w:lang w:eastAsia="en-US"/>
              </w:rPr>
            </w:pPr>
            <w:r w:rsidRPr="008D023D">
              <w:rPr>
                <w:rFonts w:ascii="Calibri" w:hAnsi="Calibri" w:cs="Calibri"/>
                <w:b/>
                <w:bCs/>
                <w:color w:val="000000"/>
                <w:sz w:val="16"/>
                <w:szCs w:val="16"/>
                <w:rtl/>
                <w:lang w:eastAsia="en-US"/>
              </w:rPr>
              <w:t>קוד תוכנית</w:t>
            </w:r>
          </w:p>
        </w:tc>
        <w:tc>
          <w:tcPr>
            <w:tcW w:w="1111" w:type="pct"/>
            <w:tcBorders>
              <w:top w:val="single" w:sz="4" w:space="0" w:color="979991"/>
              <w:left w:val="single" w:sz="4" w:space="0" w:color="979991"/>
              <w:bottom w:val="single" w:sz="4" w:space="0" w:color="979991"/>
              <w:right w:val="nil"/>
            </w:tcBorders>
            <w:shd w:val="clear" w:color="000000" w:fill="F0F4FA"/>
            <w:vAlign w:val="center"/>
            <w:hideMark/>
          </w:tcPr>
          <w:p w14:paraId="49316CC0" w14:textId="77777777" w:rsidR="008D023D" w:rsidRPr="008D023D" w:rsidRDefault="008D023D" w:rsidP="008D023D">
            <w:pPr>
              <w:overflowPunct/>
              <w:autoSpaceDE/>
              <w:autoSpaceDN/>
              <w:adjustRightInd/>
              <w:jc w:val="center"/>
              <w:textAlignment w:val="auto"/>
              <w:rPr>
                <w:rFonts w:ascii="Calibri" w:hAnsi="Calibri" w:cs="Calibri"/>
                <w:b/>
                <w:bCs/>
                <w:color w:val="000000"/>
                <w:sz w:val="16"/>
                <w:szCs w:val="16"/>
                <w:rtl/>
                <w:lang w:eastAsia="en-US"/>
              </w:rPr>
            </w:pPr>
            <w:r w:rsidRPr="008D023D">
              <w:rPr>
                <w:rFonts w:ascii="Calibri" w:hAnsi="Calibri" w:cs="Calibri"/>
                <w:b/>
                <w:bCs/>
                <w:color w:val="000000"/>
                <w:sz w:val="16"/>
                <w:szCs w:val="16"/>
                <w:rtl/>
                <w:lang w:eastAsia="en-US"/>
              </w:rPr>
              <w:t>השינוי התקציבי של העודף המוצע בפניה</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0825CACF" w14:textId="77777777" w:rsidR="008D023D" w:rsidRPr="008D023D" w:rsidRDefault="008D023D" w:rsidP="008D023D">
            <w:pPr>
              <w:overflowPunct/>
              <w:autoSpaceDE/>
              <w:autoSpaceDN/>
              <w:adjustRightInd/>
              <w:jc w:val="center"/>
              <w:textAlignment w:val="auto"/>
              <w:rPr>
                <w:rFonts w:ascii="Calibri" w:hAnsi="Calibri" w:cs="Calibri"/>
                <w:b/>
                <w:bCs/>
                <w:color w:val="000000"/>
                <w:sz w:val="16"/>
                <w:szCs w:val="16"/>
                <w:rtl/>
                <w:lang w:eastAsia="en-US"/>
              </w:rPr>
            </w:pPr>
            <w:r w:rsidRPr="008D023D">
              <w:rPr>
                <w:rFonts w:ascii="Calibri" w:hAnsi="Calibri" w:cs="Calibri"/>
                <w:b/>
                <w:bCs/>
                <w:color w:val="000000"/>
                <w:sz w:val="16"/>
                <w:szCs w:val="16"/>
                <w:rtl/>
                <w:lang w:eastAsia="en-US"/>
              </w:rPr>
              <w:t>סך עודף שהועבר ב-2025</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2CE21E7F" w14:textId="77777777" w:rsidR="008D023D" w:rsidRPr="008D023D" w:rsidRDefault="008D023D" w:rsidP="008D023D">
            <w:pPr>
              <w:overflowPunct/>
              <w:autoSpaceDE/>
              <w:autoSpaceDN/>
              <w:adjustRightInd/>
              <w:jc w:val="center"/>
              <w:textAlignment w:val="auto"/>
              <w:rPr>
                <w:rFonts w:ascii="Calibri" w:hAnsi="Calibri" w:cs="Calibri"/>
                <w:b/>
                <w:bCs/>
                <w:color w:val="000000"/>
                <w:sz w:val="16"/>
                <w:szCs w:val="16"/>
                <w:rtl/>
                <w:lang w:eastAsia="en-US"/>
              </w:rPr>
            </w:pPr>
            <w:r w:rsidRPr="008D023D">
              <w:rPr>
                <w:rFonts w:ascii="Calibri" w:hAnsi="Calibri" w:cs="Calibri"/>
                <w:b/>
                <w:bCs/>
                <w:color w:val="000000"/>
                <w:sz w:val="16"/>
                <w:szCs w:val="16"/>
                <w:rtl/>
                <w:lang w:eastAsia="en-US"/>
              </w:rPr>
              <w:t>סך עודף שהועבר ב-2024</w:t>
            </w:r>
          </w:p>
        </w:tc>
        <w:tc>
          <w:tcPr>
            <w:tcW w:w="986" w:type="pct"/>
            <w:tcBorders>
              <w:top w:val="single" w:sz="4" w:space="0" w:color="979991"/>
              <w:left w:val="single" w:sz="4" w:space="0" w:color="979991"/>
              <w:bottom w:val="single" w:sz="4" w:space="0" w:color="979991"/>
              <w:right w:val="single" w:sz="4" w:space="0" w:color="979991"/>
            </w:tcBorders>
            <w:shd w:val="clear" w:color="000000" w:fill="F0F4FA"/>
            <w:vAlign w:val="center"/>
            <w:hideMark/>
          </w:tcPr>
          <w:p w14:paraId="79B8C9EC" w14:textId="77777777" w:rsidR="008D023D" w:rsidRPr="008D023D" w:rsidRDefault="008D023D" w:rsidP="008D023D">
            <w:pPr>
              <w:overflowPunct/>
              <w:autoSpaceDE/>
              <w:autoSpaceDN/>
              <w:adjustRightInd/>
              <w:jc w:val="center"/>
              <w:textAlignment w:val="auto"/>
              <w:rPr>
                <w:rFonts w:ascii="Calibri" w:hAnsi="Calibri" w:cs="Calibri"/>
                <w:b/>
                <w:bCs/>
                <w:color w:val="000000"/>
                <w:sz w:val="16"/>
                <w:szCs w:val="16"/>
                <w:rtl/>
                <w:lang w:eastAsia="en-US"/>
              </w:rPr>
            </w:pPr>
            <w:r w:rsidRPr="008D023D">
              <w:rPr>
                <w:rFonts w:ascii="Calibri" w:hAnsi="Calibri" w:cs="Calibri"/>
                <w:b/>
                <w:bCs/>
                <w:color w:val="000000"/>
                <w:sz w:val="16"/>
                <w:szCs w:val="16"/>
                <w:rtl/>
                <w:lang w:eastAsia="en-US"/>
              </w:rPr>
              <w:t>סך עודף שהועבר ב-2023</w:t>
            </w:r>
          </w:p>
        </w:tc>
      </w:tr>
      <w:tr w:rsidR="008D023D" w:rsidRPr="008D023D" w14:paraId="70AF94AD" w14:textId="77777777" w:rsidTr="008D023D">
        <w:trPr>
          <w:trHeight w:val="300"/>
        </w:trPr>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1C39E353"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rtl/>
                <w:lang w:eastAsia="en-US"/>
              </w:rPr>
            </w:pPr>
            <w:r w:rsidRPr="008D023D">
              <w:rPr>
                <w:rFonts w:ascii="Calibri" w:hAnsi="Calibri" w:cs="Calibri"/>
                <w:color w:val="000000"/>
                <w:sz w:val="16"/>
                <w:szCs w:val="16"/>
                <w:lang w:eastAsia="en-US"/>
              </w:rPr>
              <w:t>363002</w:t>
            </w:r>
          </w:p>
        </w:tc>
        <w:tc>
          <w:tcPr>
            <w:tcW w:w="1111" w:type="pct"/>
            <w:tcBorders>
              <w:top w:val="nil"/>
              <w:left w:val="single" w:sz="4" w:space="0" w:color="979991"/>
              <w:bottom w:val="single" w:sz="4" w:space="0" w:color="979991"/>
              <w:right w:val="nil"/>
            </w:tcBorders>
            <w:shd w:val="clear" w:color="000000" w:fill="FFFFFF"/>
            <w:vAlign w:val="center"/>
            <w:hideMark/>
          </w:tcPr>
          <w:p w14:paraId="73D298C1"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55,034</w:t>
            </w:r>
          </w:p>
        </w:tc>
        <w:tc>
          <w:tcPr>
            <w:tcW w:w="968" w:type="pct"/>
            <w:tcBorders>
              <w:top w:val="nil"/>
              <w:left w:val="single" w:sz="4" w:space="0" w:color="979991"/>
              <w:bottom w:val="single" w:sz="4" w:space="0" w:color="979991"/>
              <w:right w:val="nil"/>
            </w:tcBorders>
            <w:shd w:val="clear" w:color="000000" w:fill="FFFFFF"/>
            <w:vAlign w:val="center"/>
            <w:hideMark/>
          </w:tcPr>
          <w:p w14:paraId="713B0764"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38,187</w:t>
            </w:r>
          </w:p>
        </w:tc>
        <w:tc>
          <w:tcPr>
            <w:tcW w:w="968" w:type="pct"/>
            <w:tcBorders>
              <w:top w:val="nil"/>
              <w:left w:val="single" w:sz="4" w:space="0" w:color="979991"/>
              <w:bottom w:val="single" w:sz="4" w:space="0" w:color="979991"/>
              <w:right w:val="nil"/>
            </w:tcBorders>
            <w:shd w:val="clear" w:color="000000" w:fill="FFFFFF"/>
            <w:vAlign w:val="center"/>
            <w:hideMark/>
          </w:tcPr>
          <w:p w14:paraId="00977B19"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23,944</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4E5A139F"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33,661</w:t>
            </w:r>
          </w:p>
        </w:tc>
      </w:tr>
      <w:tr w:rsidR="008D023D" w:rsidRPr="008D023D" w14:paraId="01EA6821" w14:textId="77777777" w:rsidTr="008D023D">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1AE794F4"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364101</w:t>
            </w:r>
          </w:p>
        </w:tc>
        <w:tc>
          <w:tcPr>
            <w:tcW w:w="1111" w:type="pct"/>
            <w:tcBorders>
              <w:top w:val="nil"/>
              <w:left w:val="single" w:sz="4" w:space="0" w:color="979991"/>
              <w:bottom w:val="single" w:sz="4" w:space="0" w:color="979991"/>
              <w:right w:val="nil"/>
            </w:tcBorders>
            <w:shd w:val="clear" w:color="000000" w:fill="FFFFFF"/>
            <w:vAlign w:val="center"/>
            <w:hideMark/>
          </w:tcPr>
          <w:p w14:paraId="414A21E4"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61,581</w:t>
            </w:r>
          </w:p>
        </w:tc>
        <w:tc>
          <w:tcPr>
            <w:tcW w:w="968" w:type="pct"/>
            <w:tcBorders>
              <w:top w:val="nil"/>
              <w:left w:val="single" w:sz="4" w:space="0" w:color="979991"/>
              <w:bottom w:val="single" w:sz="4" w:space="0" w:color="979991"/>
              <w:right w:val="nil"/>
            </w:tcBorders>
            <w:shd w:val="clear" w:color="000000" w:fill="FFFFFF"/>
            <w:vAlign w:val="center"/>
            <w:hideMark/>
          </w:tcPr>
          <w:p w14:paraId="54030C15"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118,509</w:t>
            </w:r>
          </w:p>
        </w:tc>
        <w:tc>
          <w:tcPr>
            <w:tcW w:w="968" w:type="pct"/>
            <w:tcBorders>
              <w:top w:val="nil"/>
              <w:left w:val="single" w:sz="4" w:space="0" w:color="979991"/>
              <w:bottom w:val="single" w:sz="4" w:space="0" w:color="979991"/>
              <w:right w:val="nil"/>
            </w:tcBorders>
            <w:shd w:val="clear" w:color="000000" w:fill="FFFFFF"/>
            <w:vAlign w:val="center"/>
            <w:hideMark/>
          </w:tcPr>
          <w:p w14:paraId="13F35CD2"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81,486</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7A3C99EF"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65,500</w:t>
            </w:r>
          </w:p>
        </w:tc>
      </w:tr>
      <w:tr w:rsidR="008D023D" w:rsidRPr="008D023D" w14:paraId="176F246A" w14:textId="77777777" w:rsidTr="008D023D">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18A968AC"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364201</w:t>
            </w:r>
          </w:p>
        </w:tc>
        <w:tc>
          <w:tcPr>
            <w:tcW w:w="1111" w:type="pct"/>
            <w:tcBorders>
              <w:top w:val="nil"/>
              <w:left w:val="single" w:sz="4" w:space="0" w:color="979991"/>
              <w:bottom w:val="single" w:sz="4" w:space="0" w:color="979991"/>
              <w:right w:val="nil"/>
            </w:tcBorders>
            <w:shd w:val="clear" w:color="000000" w:fill="FFFFFF"/>
            <w:vAlign w:val="center"/>
            <w:hideMark/>
          </w:tcPr>
          <w:p w14:paraId="3621482F"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53,911</w:t>
            </w:r>
          </w:p>
        </w:tc>
        <w:tc>
          <w:tcPr>
            <w:tcW w:w="968" w:type="pct"/>
            <w:tcBorders>
              <w:top w:val="nil"/>
              <w:left w:val="single" w:sz="4" w:space="0" w:color="979991"/>
              <w:bottom w:val="single" w:sz="4" w:space="0" w:color="979991"/>
              <w:right w:val="nil"/>
            </w:tcBorders>
            <w:shd w:val="clear" w:color="000000" w:fill="FFFFFF"/>
            <w:vAlign w:val="center"/>
            <w:hideMark/>
          </w:tcPr>
          <w:p w14:paraId="35DAF84F"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83,746</w:t>
            </w:r>
          </w:p>
        </w:tc>
        <w:tc>
          <w:tcPr>
            <w:tcW w:w="968" w:type="pct"/>
            <w:tcBorders>
              <w:top w:val="nil"/>
              <w:left w:val="single" w:sz="4" w:space="0" w:color="979991"/>
              <w:bottom w:val="single" w:sz="4" w:space="0" w:color="979991"/>
              <w:right w:val="nil"/>
            </w:tcBorders>
            <w:shd w:val="clear" w:color="000000" w:fill="FFFFFF"/>
            <w:vAlign w:val="center"/>
            <w:hideMark/>
          </w:tcPr>
          <w:p w14:paraId="2C74C23F"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137,286</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164CB2AC"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216,723</w:t>
            </w:r>
          </w:p>
        </w:tc>
      </w:tr>
      <w:tr w:rsidR="008D023D" w:rsidRPr="008D023D" w14:paraId="5FA2647E" w14:textId="77777777" w:rsidTr="008D023D">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1DD4A544"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364302</w:t>
            </w:r>
          </w:p>
        </w:tc>
        <w:tc>
          <w:tcPr>
            <w:tcW w:w="1111" w:type="pct"/>
            <w:tcBorders>
              <w:top w:val="nil"/>
              <w:left w:val="single" w:sz="4" w:space="0" w:color="979991"/>
              <w:bottom w:val="single" w:sz="4" w:space="0" w:color="979991"/>
              <w:right w:val="nil"/>
            </w:tcBorders>
            <w:shd w:val="clear" w:color="000000" w:fill="FFFFFF"/>
            <w:vAlign w:val="center"/>
            <w:hideMark/>
          </w:tcPr>
          <w:p w14:paraId="01D4E25F"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25,633</w:t>
            </w:r>
          </w:p>
        </w:tc>
        <w:tc>
          <w:tcPr>
            <w:tcW w:w="968" w:type="pct"/>
            <w:tcBorders>
              <w:top w:val="nil"/>
              <w:left w:val="single" w:sz="4" w:space="0" w:color="979991"/>
              <w:bottom w:val="single" w:sz="4" w:space="0" w:color="979991"/>
              <w:right w:val="nil"/>
            </w:tcBorders>
            <w:shd w:val="clear" w:color="000000" w:fill="FFFFFF"/>
            <w:vAlign w:val="center"/>
            <w:hideMark/>
          </w:tcPr>
          <w:p w14:paraId="5EFD009F"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15,673</w:t>
            </w:r>
          </w:p>
        </w:tc>
        <w:tc>
          <w:tcPr>
            <w:tcW w:w="968" w:type="pct"/>
            <w:tcBorders>
              <w:top w:val="nil"/>
              <w:left w:val="single" w:sz="4" w:space="0" w:color="979991"/>
              <w:bottom w:val="single" w:sz="4" w:space="0" w:color="979991"/>
              <w:right w:val="nil"/>
            </w:tcBorders>
            <w:shd w:val="clear" w:color="000000" w:fill="FFFFFF"/>
            <w:vAlign w:val="center"/>
            <w:hideMark/>
          </w:tcPr>
          <w:p w14:paraId="2B0DB0C0"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12,562</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47429030"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13,070</w:t>
            </w:r>
          </w:p>
        </w:tc>
      </w:tr>
      <w:tr w:rsidR="008D023D" w:rsidRPr="008D023D" w14:paraId="0FB2F52E" w14:textId="77777777" w:rsidTr="008D023D">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73F6148E"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364403</w:t>
            </w:r>
          </w:p>
        </w:tc>
        <w:tc>
          <w:tcPr>
            <w:tcW w:w="1111" w:type="pct"/>
            <w:tcBorders>
              <w:top w:val="nil"/>
              <w:left w:val="single" w:sz="4" w:space="0" w:color="979991"/>
              <w:bottom w:val="single" w:sz="4" w:space="0" w:color="979991"/>
              <w:right w:val="nil"/>
            </w:tcBorders>
            <w:shd w:val="clear" w:color="000000" w:fill="FFFFFF"/>
            <w:vAlign w:val="center"/>
            <w:hideMark/>
          </w:tcPr>
          <w:p w14:paraId="427F832C"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32,709</w:t>
            </w:r>
          </w:p>
        </w:tc>
        <w:tc>
          <w:tcPr>
            <w:tcW w:w="968" w:type="pct"/>
            <w:tcBorders>
              <w:top w:val="nil"/>
              <w:left w:val="single" w:sz="4" w:space="0" w:color="979991"/>
              <w:bottom w:val="single" w:sz="4" w:space="0" w:color="979991"/>
              <w:right w:val="nil"/>
            </w:tcBorders>
            <w:shd w:val="clear" w:color="000000" w:fill="FFFFFF"/>
            <w:vAlign w:val="center"/>
            <w:hideMark/>
          </w:tcPr>
          <w:p w14:paraId="30D804EE"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36,458</w:t>
            </w:r>
          </w:p>
        </w:tc>
        <w:tc>
          <w:tcPr>
            <w:tcW w:w="968" w:type="pct"/>
            <w:tcBorders>
              <w:top w:val="nil"/>
              <w:left w:val="single" w:sz="4" w:space="0" w:color="979991"/>
              <w:bottom w:val="single" w:sz="4" w:space="0" w:color="979991"/>
              <w:right w:val="nil"/>
            </w:tcBorders>
            <w:shd w:val="clear" w:color="000000" w:fill="FFFFFF"/>
            <w:vAlign w:val="center"/>
            <w:hideMark/>
          </w:tcPr>
          <w:p w14:paraId="6A41DF0C"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103,195</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7C16BF39"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240,568</w:t>
            </w:r>
          </w:p>
        </w:tc>
      </w:tr>
      <w:tr w:rsidR="008D023D" w:rsidRPr="008D023D" w14:paraId="7E83630E" w14:textId="77777777" w:rsidTr="008D023D">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5F74A8C5"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364405</w:t>
            </w:r>
          </w:p>
        </w:tc>
        <w:tc>
          <w:tcPr>
            <w:tcW w:w="1111" w:type="pct"/>
            <w:tcBorders>
              <w:top w:val="nil"/>
              <w:left w:val="single" w:sz="4" w:space="0" w:color="979991"/>
              <w:bottom w:val="single" w:sz="4" w:space="0" w:color="979991"/>
              <w:right w:val="nil"/>
            </w:tcBorders>
            <w:shd w:val="clear" w:color="000000" w:fill="FFFFFF"/>
            <w:vAlign w:val="center"/>
            <w:hideMark/>
          </w:tcPr>
          <w:p w14:paraId="197B7D36"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50,783</w:t>
            </w:r>
          </w:p>
        </w:tc>
        <w:tc>
          <w:tcPr>
            <w:tcW w:w="968" w:type="pct"/>
            <w:tcBorders>
              <w:top w:val="nil"/>
              <w:left w:val="single" w:sz="4" w:space="0" w:color="979991"/>
              <w:bottom w:val="single" w:sz="4" w:space="0" w:color="979991"/>
              <w:right w:val="nil"/>
            </w:tcBorders>
            <w:shd w:val="clear" w:color="000000" w:fill="FFFFFF"/>
            <w:vAlign w:val="center"/>
            <w:hideMark/>
          </w:tcPr>
          <w:p w14:paraId="317F4CD2"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38,477</w:t>
            </w:r>
          </w:p>
        </w:tc>
        <w:tc>
          <w:tcPr>
            <w:tcW w:w="968" w:type="pct"/>
            <w:tcBorders>
              <w:top w:val="nil"/>
              <w:left w:val="single" w:sz="4" w:space="0" w:color="979991"/>
              <w:bottom w:val="single" w:sz="4" w:space="0" w:color="979991"/>
              <w:right w:val="nil"/>
            </w:tcBorders>
            <w:shd w:val="clear" w:color="000000" w:fill="FFFFFF"/>
            <w:vAlign w:val="center"/>
            <w:hideMark/>
          </w:tcPr>
          <w:p w14:paraId="7BB2E3B6"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34,255</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18D6ABA4"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25,562</w:t>
            </w:r>
          </w:p>
        </w:tc>
      </w:tr>
      <w:tr w:rsidR="008D023D" w:rsidRPr="008D023D" w14:paraId="48DD082C" w14:textId="77777777" w:rsidTr="008D023D">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117BFDEF"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364406</w:t>
            </w:r>
          </w:p>
        </w:tc>
        <w:tc>
          <w:tcPr>
            <w:tcW w:w="1111" w:type="pct"/>
            <w:tcBorders>
              <w:top w:val="nil"/>
              <w:left w:val="single" w:sz="4" w:space="0" w:color="979991"/>
              <w:bottom w:val="single" w:sz="4" w:space="0" w:color="979991"/>
              <w:right w:val="nil"/>
            </w:tcBorders>
            <w:shd w:val="clear" w:color="000000" w:fill="FFFFFF"/>
            <w:vAlign w:val="center"/>
            <w:hideMark/>
          </w:tcPr>
          <w:p w14:paraId="5CC97863"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98,061</w:t>
            </w:r>
          </w:p>
        </w:tc>
        <w:tc>
          <w:tcPr>
            <w:tcW w:w="968" w:type="pct"/>
            <w:tcBorders>
              <w:top w:val="nil"/>
              <w:left w:val="single" w:sz="4" w:space="0" w:color="979991"/>
              <w:bottom w:val="single" w:sz="4" w:space="0" w:color="979991"/>
              <w:right w:val="nil"/>
            </w:tcBorders>
            <w:shd w:val="clear" w:color="000000" w:fill="FFFFFF"/>
            <w:vAlign w:val="center"/>
            <w:hideMark/>
          </w:tcPr>
          <w:p w14:paraId="381C6181"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104,920</w:t>
            </w:r>
          </w:p>
        </w:tc>
        <w:tc>
          <w:tcPr>
            <w:tcW w:w="968" w:type="pct"/>
            <w:tcBorders>
              <w:top w:val="nil"/>
              <w:left w:val="single" w:sz="4" w:space="0" w:color="979991"/>
              <w:bottom w:val="single" w:sz="4" w:space="0" w:color="979991"/>
              <w:right w:val="nil"/>
            </w:tcBorders>
            <w:shd w:val="clear" w:color="000000" w:fill="FFFFFF"/>
            <w:vAlign w:val="center"/>
            <w:hideMark/>
          </w:tcPr>
          <w:p w14:paraId="33D56F26"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12,081</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1E15E41E"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32,127</w:t>
            </w:r>
          </w:p>
        </w:tc>
      </w:tr>
      <w:tr w:rsidR="008D023D" w:rsidRPr="008D023D" w14:paraId="386B8B33" w14:textId="77777777" w:rsidTr="008D023D">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628F5F71"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366001</w:t>
            </w:r>
          </w:p>
        </w:tc>
        <w:tc>
          <w:tcPr>
            <w:tcW w:w="1111" w:type="pct"/>
            <w:tcBorders>
              <w:top w:val="nil"/>
              <w:left w:val="single" w:sz="4" w:space="0" w:color="979991"/>
              <w:bottom w:val="single" w:sz="4" w:space="0" w:color="979991"/>
              <w:right w:val="nil"/>
            </w:tcBorders>
            <w:shd w:val="clear" w:color="000000" w:fill="FFFFFF"/>
            <w:vAlign w:val="center"/>
            <w:hideMark/>
          </w:tcPr>
          <w:p w14:paraId="314D5BA0"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48,416</w:t>
            </w:r>
          </w:p>
        </w:tc>
        <w:tc>
          <w:tcPr>
            <w:tcW w:w="968" w:type="pct"/>
            <w:tcBorders>
              <w:top w:val="nil"/>
              <w:left w:val="single" w:sz="4" w:space="0" w:color="979991"/>
              <w:bottom w:val="single" w:sz="4" w:space="0" w:color="979991"/>
              <w:right w:val="nil"/>
            </w:tcBorders>
            <w:shd w:val="clear" w:color="000000" w:fill="FFFFFF"/>
            <w:vAlign w:val="center"/>
            <w:hideMark/>
          </w:tcPr>
          <w:p w14:paraId="7FC0E057"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93,234</w:t>
            </w:r>
          </w:p>
        </w:tc>
        <w:tc>
          <w:tcPr>
            <w:tcW w:w="968" w:type="pct"/>
            <w:tcBorders>
              <w:top w:val="nil"/>
              <w:left w:val="single" w:sz="4" w:space="0" w:color="979991"/>
              <w:bottom w:val="single" w:sz="4" w:space="0" w:color="979991"/>
              <w:right w:val="nil"/>
            </w:tcBorders>
            <w:shd w:val="clear" w:color="000000" w:fill="FFFFFF"/>
            <w:vAlign w:val="center"/>
            <w:hideMark/>
          </w:tcPr>
          <w:p w14:paraId="256B53EE"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76,236</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217FA1B6" w14:textId="77777777" w:rsidR="008D023D" w:rsidRPr="008D023D" w:rsidRDefault="008D023D" w:rsidP="008D023D">
            <w:pPr>
              <w:overflowPunct/>
              <w:autoSpaceDE/>
              <w:autoSpaceDN/>
              <w:bidi w:val="0"/>
              <w:adjustRightInd/>
              <w:jc w:val="center"/>
              <w:textAlignment w:val="auto"/>
              <w:rPr>
                <w:rFonts w:ascii="Calibri" w:hAnsi="Calibri" w:cs="Calibri"/>
                <w:color w:val="000000"/>
                <w:sz w:val="16"/>
                <w:szCs w:val="16"/>
                <w:lang w:eastAsia="en-US"/>
              </w:rPr>
            </w:pPr>
            <w:r w:rsidRPr="008D023D">
              <w:rPr>
                <w:rFonts w:ascii="Calibri" w:hAnsi="Calibri" w:cs="Calibri"/>
                <w:color w:val="000000"/>
                <w:sz w:val="16"/>
                <w:szCs w:val="16"/>
                <w:lang w:eastAsia="en-US"/>
              </w:rPr>
              <w:t>46,996</w:t>
            </w:r>
          </w:p>
        </w:tc>
      </w:tr>
    </w:tbl>
    <w:p w14:paraId="3C25FAFB" w14:textId="77777777" w:rsidR="008D023D" w:rsidRDefault="008D023D">
      <w:pPr>
        <w:rPr>
          <w:rFonts w:cs="FrankRuehl"/>
          <w:sz w:val="26"/>
          <w:szCs w:val="26"/>
          <w:rtl/>
        </w:rPr>
      </w:pPr>
    </w:p>
    <w:p w14:paraId="5F758050" w14:textId="39C85541" w:rsidR="008D023D" w:rsidRDefault="008D023D">
      <w:pPr>
        <w:rPr>
          <w:rFonts w:cs="FrankRuehl"/>
          <w:sz w:val="26"/>
          <w:szCs w:val="26"/>
          <w:rtl/>
        </w:rPr>
      </w:pPr>
    </w:p>
    <w:p w14:paraId="557B706F" w14:textId="7B9539A6" w:rsidR="008D023D" w:rsidRDefault="008D023D">
      <w:pPr>
        <w:rPr>
          <w:rFonts w:cs="FrankRuehl"/>
          <w:sz w:val="26"/>
          <w:szCs w:val="26"/>
          <w:rtl/>
        </w:rPr>
      </w:pPr>
    </w:p>
    <w:p w14:paraId="26D181A7" w14:textId="77777777" w:rsidR="008D023D" w:rsidRPr="000A3FA0" w:rsidRDefault="008D023D">
      <w:pPr>
        <w:rPr>
          <w:rFonts w:cs="FrankRuehl"/>
          <w:sz w:val="26"/>
          <w:szCs w:val="26"/>
          <w:rtl/>
        </w:rPr>
      </w:pPr>
    </w:p>
    <w:sectPr w:rsidR="008D023D" w:rsidRPr="000A3FA0" w:rsidSect="00A32326">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5E14B" w14:textId="77777777" w:rsidR="006F50F8" w:rsidRDefault="006F50F8" w:rsidP="00A32326">
      <w:r>
        <w:separator/>
      </w:r>
    </w:p>
  </w:endnote>
  <w:endnote w:type="continuationSeparator" w:id="0">
    <w:p w14:paraId="5CD83772" w14:textId="77777777" w:rsidR="006F50F8" w:rsidRDefault="006F50F8" w:rsidP="00A3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F7555" w14:textId="77777777" w:rsidR="0096594F" w:rsidRDefault="0096594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403DB" w14:textId="77777777" w:rsidR="0096594F" w:rsidRDefault="0096594F">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E99A4" w14:textId="77777777" w:rsidR="0096594F" w:rsidRDefault="0096594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EBC14" w14:textId="77777777" w:rsidR="006F50F8" w:rsidRDefault="006F50F8" w:rsidP="00A32326">
      <w:r>
        <w:separator/>
      </w:r>
    </w:p>
  </w:footnote>
  <w:footnote w:type="continuationSeparator" w:id="0">
    <w:p w14:paraId="7DD6E7B6" w14:textId="77777777" w:rsidR="006F50F8" w:rsidRDefault="006F50F8" w:rsidP="00A32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D9C53" w14:textId="77777777" w:rsidR="0096594F" w:rsidRDefault="0096594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10754" w14:textId="77777777" w:rsidR="00A32326" w:rsidRPr="00CB5FFD" w:rsidRDefault="006F50F8" w:rsidP="00A32326">
    <w:pPr>
      <w:pStyle w:val="a4"/>
      <w:jc w:val="right"/>
      <w:rPr>
        <w:color w:val="4F81BD"/>
        <w:rtl/>
        <w:cs/>
      </w:rPr>
    </w:pPr>
    <w:r>
      <w:rPr>
        <w:noProof/>
        <w:rtl/>
      </w:rPr>
      <w:pict w14:anchorId="2E41B1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90pt;margin-top:-88.05pt;width:594.75pt;height:87.3pt;z-index:1;mso-position-horizontal-relative:margin;mso-position-vertical-relative:margin">
          <v:imagedata r:id="rId1" o:title="Header"/>
          <w10:wrap type="square" anchorx="margin" anchory="margin"/>
        </v:shape>
      </w:pict>
    </w:r>
  </w:p>
  <w:p w14:paraId="0F82E6E7" w14:textId="77777777" w:rsidR="00A32326" w:rsidRPr="00CB5FFD" w:rsidRDefault="00A32326" w:rsidP="00A32326">
    <w:pPr>
      <w:pStyle w:val="a4"/>
      <w:jc w:val="right"/>
      <w:rPr>
        <w:color w:val="4F81BD"/>
        <w:rtl/>
        <w:cs/>
      </w:rPr>
    </w:pPr>
  </w:p>
  <w:p w14:paraId="2BE0E70A" w14:textId="77777777" w:rsidR="00A32326" w:rsidRDefault="00A32326" w:rsidP="00A32326">
    <w:pPr>
      <w:pStyle w:val="a4"/>
    </w:pPr>
  </w:p>
  <w:p w14:paraId="6E0C2A2B" w14:textId="77777777" w:rsidR="00A32326" w:rsidRDefault="00A323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26938" w14:textId="77777777" w:rsidR="0096594F" w:rsidRDefault="0096594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496B"/>
    <w:rsid w:val="000062C3"/>
    <w:rsid w:val="000A3FA0"/>
    <w:rsid w:val="001C754E"/>
    <w:rsid w:val="00411078"/>
    <w:rsid w:val="00507569"/>
    <w:rsid w:val="0051496B"/>
    <w:rsid w:val="00596B46"/>
    <w:rsid w:val="006F50F8"/>
    <w:rsid w:val="007332A2"/>
    <w:rsid w:val="008D023D"/>
    <w:rsid w:val="0096594F"/>
    <w:rsid w:val="009927FC"/>
    <w:rsid w:val="009E3253"/>
    <w:rsid w:val="00A14A9C"/>
    <w:rsid w:val="00A32326"/>
    <w:rsid w:val="00A51CFB"/>
    <w:rsid w:val="00A6761F"/>
    <w:rsid w:val="00AC0FB8"/>
    <w:rsid w:val="00BE74E8"/>
    <w:rsid w:val="00C81BEB"/>
    <w:rsid w:val="00D00A6A"/>
    <w:rsid w:val="00D02451"/>
    <w:rsid w:val="00D1564D"/>
    <w:rsid w:val="00D15DD5"/>
    <w:rsid w:val="00E15D12"/>
    <w:rsid w:val="00E620D0"/>
    <w:rsid w:val="00F7434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3220FA95"/>
  <w15:chartTrackingRefBased/>
  <w15:docId w15:val="{48F446EA-7D42-4FD9-9957-F309C84E1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A32326"/>
    <w:pPr>
      <w:tabs>
        <w:tab w:val="center" w:pos="4153"/>
        <w:tab w:val="right" w:pos="8306"/>
      </w:tabs>
    </w:pPr>
  </w:style>
  <w:style w:type="paragraph" w:customStyle="1" w:styleId="a6">
    <w:name w:val="כותרת נדון"/>
    <w:basedOn w:val="a"/>
    <w:rPr>
      <w:bCs/>
      <w:szCs w:val="26"/>
      <w:u w:val="single"/>
    </w:rPr>
  </w:style>
  <w:style w:type="paragraph" w:customStyle="1" w:styleId="a7">
    <w:name w:val="מדינת ישראל"/>
    <w:basedOn w:val="a"/>
    <w:pPr>
      <w:jc w:val="center"/>
    </w:pPr>
    <w:rPr>
      <w:b/>
      <w:bCs/>
      <w:szCs w:val="28"/>
    </w:rPr>
  </w:style>
  <w:style w:type="character" w:customStyle="1" w:styleId="a5">
    <w:name w:val="כותרת עליונה תו"/>
    <w:link w:val="a4"/>
    <w:uiPriority w:val="99"/>
    <w:rsid w:val="00A32326"/>
    <w:rPr>
      <w:rFonts w:cs="Narkisim"/>
      <w:szCs w:val="24"/>
      <w:lang w:eastAsia="he-IL"/>
    </w:rPr>
  </w:style>
  <w:style w:type="paragraph" w:styleId="a8">
    <w:name w:val="footer"/>
    <w:basedOn w:val="a"/>
    <w:link w:val="a9"/>
    <w:uiPriority w:val="99"/>
    <w:unhideWhenUsed/>
    <w:rsid w:val="00A32326"/>
    <w:pPr>
      <w:tabs>
        <w:tab w:val="center" w:pos="4153"/>
        <w:tab w:val="right" w:pos="8306"/>
      </w:tabs>
    </w:pPr>
  </w:style>
  <w:style w:type="character" w:customStyle="1" w:styleId="a9">
    <w:name w:val="כותרת תחתונה תו"/>
    <w:link w:val="a8"/>
    <w:uiPriority w:val="99"/>
    <w:rsid w:val="00A32326"/>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42761">
      <w:bodyDiv w:val="1"/>
      <w:marLeft w:val="0"/>
      <w:marRight w:val="0"/>
      <w:marTop w:val="0"/>
      <w:marBottom w:val="0"/>
      <w:divBdr>
        <w:top w:val="none" w:sz="0" w:space="0" w:color="auto"/>
        <w:left w:val="none" w:sz="0" w:space="0" w:color="auto"/>
        <w:bottom w:val="none" w:sz="0" w:space="0" w:color="auto"/>
        <w:right w:val="none" w:sz="0" w:space="0" w:color="auto"/>
      </w:divBdr>
    </w:div>
    <w:div w:id="515538272">
      <w:bodyDiv w:val="1"/>
      <w:marLeft w:val="0"/>
      <w:marRight w:val="0"/>
      <w:marTop w:val="0"/>
      <w:marBottom w:val="0"/>
      <w:divBdr>
        <w:top w:val="none" w:sz="0" w:space="0" w:color="auto"/>
        <w:left w:val="none" w:sz="0" w:space="0" w:color="auto"/>
        <w:bottom w:val="none" w:sz="0" w:space="0" w:color="auto"/>
        <w:right w:val="none" w:sz="0" w:space="0" w:color="auto"/>
      </w:divBdr>
    </w:div>
    <w:div w:id="192853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951</Words>
  <Characters>4758</Characters>
  <Application>Microsoft Office Word</Application>
  <DocSecurity>0</DocSecurity>
  <Lines>39</Lines>
  <Paragraphs>11</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שמרית יצחקי</cp:lastModifiedBy>
  <cp:revision>6</cp:revision>
  <cp:lastPrinted>1899-12-31T22:00:00Z</cp:lastPrinted>
  <dcterms:created xsi:type="dcterms:W3CDTF">2026-04-28T11:40:00Z</dcterms:created>
  <dcterms:modified xsi:type="dcterms:W3CDTF">2026-04-29T07:14:00Z</dcterms:modified>
</cp:coreProperties>
</file>